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6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940" w:type="dxa"/>
            <w:vAlign w:val="bottom"/>
          </w:tcPr>
          <w:p>
            <w:pPr>
              <w:ind w:left="640"/>
              <w:spacing w:after="0" w:line="273" w:lineRule="exact"/>
              <w:rPr>
                <w:sz w:val="20"/>
                <w:szCs w:val="20"/>
                <w:color w:val="auto"/>
              </w:rPr>
            </w:pPr>
            <w:r>
              <w:rPr>
                <w:rFonts w:ascii="Arial" w:cs="Arial" w:eastAsia="Arial" w:hAnsi="Arial"/>
                <w:sz w:val="24"/>
                <w:szCs w:val="24"/>
                <w:b w:val="1"/>
                <w:bCs w:val="1"/>
                <w:color w:val="auto"/>
              </w:rPr>
              <w:t>FORM 3</w:t>
            </w:r>
          </w:p>
        </w:tc>
        <w:tc>
          <w:tcPr>
            <w:tcW w:w="6900" w:type="dxa"/>
            <w:vAlign w:val="bottom"/>
          </w:tcPr>
          <w:p>
            <w:pPr>
              <w:jc w:val="center"/>
              <w:ind w:left="10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6900" w:type="dxa"/>
            <w:vAlign w:val="bottom"/>
            <w:vMerge w:val="restart"/>
          </w:tcPr>
          <w:p>
            <w:pPr>
              <w:jc w:val="center"/>
              <w:ind w:left="102"/>
              <w:spacing w:after="0" w:line="151"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1940" w:type="dxa"/>
            <w:vAlign w:val="bottom"/>
          </w:tcPr>
          <w:p>
            <w:pPr>
              <w:spacing w:after="0"/>
              <w:rPr>
                <w:sz w:val="8"/>
                <w:szCs w:val="8"/>
                <w:color w:val="auto"/>
              </w:rPr>
            </w:pPr>
          </w:p>
        </w:tc>
        <w:tc>
          <w:tcPr>
            <w:tcW w:w="69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0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194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6900" w:type="dxa"/>
            <w:vAlign w:val="bottom"/>
            <w:vMerge w:val="restart"/>
          </w:tcPr>
          <w:p>
            <w:pPr>
              <w:jc w:val="center"/>
              <w:ind w:left="10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940" w:type="dxa"/>
            <w:vAlign w:val="bottom"/>
          </w:tcPr>
          <w:p>
            <w:pPr>
              <w:spacing w:after="0"/>
              <w:rPr>
                <w:sz w:val="13"/>
                <w:szCs w:val="13"/>
                <w:color w:val="auto"/>
              </w:rPr>
            </w:pPr>
          </w:p>
        </w:tc>
        <w:tc>
          <w:tcPr>
            <w:tcW w:w="69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1940" w:type="dxa"/>
            <w:vAlign w:val="bottom"/>
          </w:tcPr>
          <w:p>
            <w:pPr>
              <w:spacing w:after="0"/>
              <w:rPr>
                <w:sz w:val="3"/>
                <w:szCs w:val="3"/>
                <w:color w:val="auto"/>
              </w:rPr>
            </w:pPr>
          </w:p>
        </w:tc>
        <w:tc>
          <w:tcPr>
            <w:tcW w:w="6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940" w:type="dxa"/>
            <w:vAlign w:val="bottom"/>
          </w:tcPr>
          <w:p>
            <w:pPr>
              <w:spacing w:after="0"/>
              <w:rPr>
                <w:sz w:val="16"/>
                <w:szCs w:val="16"/>
                <w:color w:val="auto"/>
              </w:rPr>
            </w:pPr>
          </w:p>
        </w:tc>
        <w:tc>
          <w:tcPr>
            <w:tcW w:w="6900" w:type="dxa"/>
            <w:vAlign w:val="bottom"/>
            <w:vMerge w:val="restart"/>
          </w:tcPr>
          <w:p>
            <w:pPr>
              <w:jc w:val="center"/>
              <w:ind w:left="10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6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1940" w:type="dxa"/>
            <w:vAlign w:val="bottom"/>
          </w:tcPr>
          <w:p>
            <w:pPr>
              <w:spacing w:after="0"/>
              <w:rPr>
                <w:sz w:val="3"/>
                <w:szCs w:val="3"/>
                <w:color w:val="auto"/>
              </w:rPr>
            </w:pPr>
          </w:p>
        </w:tc>
        <w:tc>
          <w:tcPr>
            <w:tcW w:w="6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6885305</wp:posOffset>
            </wp:positionH>
            <wp:positionV relativeFrom="paragraph">
              <wp:posOffset>-656590</wp:posOffset>
            </wp:positionV>
            <wp:extent cx="59690" cy="669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992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-656590</wp:posOffset>
            </wp:positionV>
            <wp:extent cx="59690" cy="6699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92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86905" cy="3927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6905" cy="3927475"/>
                    </a:xfrm>
                    <a:prstGeom prst="rect">
                      <a:avLst/>
                    </a:prstGeom>
                    <a:noFill/>
                  </pic:spPr>
                </pic:pic>
              </a:graphicData>
            </a:graphic>
          </wp:anchor>
        </w:drawing>
      </w:r>
    </w:p>
    <w:p>
      <w:pPr>
        <w:sectPr>
          <w:pgSz w:w="11900" w:h="16838" w:orient="portrait"/>
          <w:cols w:equalWidth="0" w:num="1">
            <w:col w:w="10980"/>
          </w:cols>
          <w:pgMar w:left="460" w:top="220" w:right="459" w:bottom="1440" w:gutter="0" w:footer="0" w:header="0"/>
        </w:sectPr>
      </w:pPr>
    </w:p>
    <w:p>
      <w:pPr>
        <w:spacing w:after="0" w:line="33"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14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4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120" w:type="dxa"/>
            <w:vAlign w:val="bottom"/>
            <w:gridSpan w:val="3"/>
            <w:vMerge w:val="restart"/>
          </w:tcPr>
          <w:p>
            <w:pPr>
              <w:ind w:left="40"/>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RATHKE FRANCES G</w:t>
              </w:r>
            </w:hyperlink>
          </w:p>
        </w:tc>
        <w:tc>
          <w:tcPr>
            <w:tcW w:w="1380" w:type="dxa"/>
            <w:vAlign w:val="bottom"/>
          </w:tcPr>
          <w:p>
            <w:pPr>
              <w:ind w:left="140"/>
              <w:spacing w:after="0" w:line="123" w:lineRule="exact"/>
              <w:rPr>
                <w:sz w:val="20"/>
                <w:szCs w:val="20"/>
                <w:color w:val="auto"/>
              </w:rPr>
            </w:pPr>
            <w:r>
              <w:rPr>
                <w:rFonts w:ascii="Arial" w:cs="Arial" w:eastAsia="Arial" w:hAnsi="Arial"/>
                <w:sz w:val="14"/>
                <w:szCs w:val="14"/>
                <w:color w:val="auto"/>
                <w:w w:val="95"/>
              </w:rPr>
              <w:t>Requiring Statement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20" w:type="dxa"/>
            <w:vAlign w:val="bottom"/>
            <w:gridSpan w:val="3"/>
            <w:vMerge w:val="continue"/>
          </w:tcPr>
          <w:p>
            <w:pPr>
              <w:spacing w:after="0"/>
              <w:rPr>
                <w:sz w:val="12"/>
                <w:szCs w:val="12"/>
                <w:color w:val="auto"/>
              </w:rPr>
            </w:pPr>
          </w:p>
        </w:tc>
        <w:tc>
          <w:tcPr>
            <w:tcW w:w="1380" w:type="dxa"/>
            <w:vAlign w:val="bottom"/>
          </w:tcPr>
          <w:p>
            <w:pPr>
              <w:ind w:left="140"/>
              <w:spacing w:after="0" w:line="148"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80" w:type="dxa"/>
            <w:vAlign w:val="bottom"/>
            <w:tcBorders>
              <w:top w:val="single" w:sz="8" w:color="0000EE"/>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380" w:type="dxa"/>
            <w:vAlign w:val="bottom"/>
          </w:tcPr>
          <w:p>
            <w:pPr>
              <w:ind w:left="140"/>
              <w:spacing w:after="0" w:line="170" w:lineRule="exact"/>
              <w:rPr>
                <w:sz w:val="20"/>
                <w:szCs w:val="20"/>
                <w:color w:val="auto"/>
              </w:rPr>
            </w:pPr>
            <w:r>
              <w:rPr>
                <w:rFonts w:ascii="Times New Roman" w:cs="Times New Roman" w:eastAsia="Times New Roman" w:hAnsi="Times New Roman"/>
                <w:sz w:val="18"/>
                <w:szCs w:val="18"/>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2" w:lineRule="exact"/>
        <w:rPr>
          <w:sz w:val="24"/>
          <w:szCs w:val="24"/>
          <w:color w:val="auto"/>
        </w:rPr>
      </w:pPr>
    </w:p>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u w:val="single" w:color="auto"/>
            <w:color w:val="0000EE"/>
          </w:rPr>
          <w:t>Oatly Group AB</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OTLY</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38" w:lineRule="exact"/>
        <w:rPr>
          <w:sz w:val="24"/>
          <w:szCs w:val="24"/>
          <w:color w:val="auto"/>
        </w:rPr>
      </w:pPr>
    </w:p>
    <w:p>
      <w:pPr>
        <w:sectPr>
          <w:pgSz w:w="11900" w:h="16838" w:orient="portrait"/>
          <w:cols w:equalWidth="0" w:num="2">
            <w:col w:w="4600" w:space="400"/>
            <w:col w:w="5980"/>
          </w:cols>
          <w:pgMar w:left="460" w:top="220" w:right="459" w:bottom="1440" w:gutter="0" w:footer="0" w:header="0"/>
          <w:type w:val="continuous"/>
        </w:sectPr>
      </w:pPr>
    </w:p>
    <w:p>
      <w:pPr>
        <w:spacing w:after="0" w:line="149"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40" w:type="dxa"/>
            <w:vAlign w:val="bottom"/>
          </w:tcPr>
          <w:p>
            <w:pPr>
              <w:ind w:left="40"/>
              <w:spacing w:after="0"/>
              <w:rPr>
                <w:sz w:val="20"/>
                <w:szCs w:val="20"/>
                <w:color w:val="auto"/>
              </w:rPr>
            </w:pPr>
            <w:r>
              <w:rPr>
                <w:rFonts w:ascii="Arial" w:cs="Arial" w:eastAsia="Arial" w:hAnsi="Arial"/>
                <w:sz w:val="14"/>
                <w:szCs w:val="14"/>
                <w:color w:val="auto"/>
              </w:rPr>
              <w:t>(Last)</w:t>
            </w:r>
          </w:p>
        </w:tc>
        <w:tc>
          <w:tcPr>
            <w:tcW w:w="1040" w:type="dxa"/>
            <w:vAlign w:val="bottom"/>
          </w:tcPr>
          <w:p>
            <w:pPr>
              <w:ind w:left="320"/>
              <w:spacing w:after="0"/>
              <w:rPr>
                <w:sz w:val="20"/>
                <w:szCs w:val="20"/>
                <w:color w:val="auto"/>
              </w:rPr>
            </w:pPr>
            <w:r>
              <w:rPr>
                <w:rFonts w:ascii="Arial" w:cs="Arial" w:eastAsia="Arial" w:hAnsi="Arial"/>
                <w:sz w:val="14"/>
                <w:szCs w:val="14"/>
                <w:color w:val="auto"/>
              </w:rPr>
              <w:t>(First)</w:t>
            </w:r>
          </w:p>
        </w:tc>
        <w:tc>
          <w:tcPr>
            <w:tcW w:w="1340" w:type="dxa"/>
            <w:vAlign w:val="bottom"/>
          </w:tcPr>
          <w:p>
            <w:pPr>
              <w:ind w:left="320"/>
              <w:spacing w:after="0"/>
              <w:rPr>
                <w:sz w:val="20"/>
                <w:szCs w:val="20"/>
                <w:color w:val="auto"/>
              </w:rPr>
            </w:pPr>
            <w:r>
              <w:rPr>
                <w:rFonts w:ascii="Arial" w:cs="Arial" w:eastAsia="Arial" w:hAnsi="Arial"/>
                <w:sz w:val="14"/>
                <w:szCs w:val="14"/>
                <w:color w:val="auto"/>
              </w:rPr>
              <w:t>(Middle)</w:t>
            </w:r>
          </w:p>
        </w:tc>
      </w:tr>
      <w:tr>
        <w:trPr>
          <w:trHeight w:val="281"/>
        </w:trPr>
        <w:tc>
          <w:tcPr>
            <w:tcW w:w="20" w:type="dxa"/>
            <w:vAlign w:val="bottom"/>
          </w:tcPr>
          <w:p>
            <w:pPr>
              <w:spacing w:after="0"/>
              <w:rPr>
                <w:sz w:val="24"/>
                <w:szCs w:val="24"/>
                <w:color w:val="auto"/>
              </w:rPr>
            </w:pPr>
          </w:p>
        </w:tc>
        <w:tc>
          <w:tcPr>
            <w:tcW w:w="1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33 COFFEE LANE</w:t>
            </w:r>
          </w:p>
        </w:tc>
        <w:tc>
          <w:tcPr>
            <w:tcW w:w="134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r>
      <w:tr>
        <w:trPr>
          <w:trHeight w:val="272"/>
        </w:trPr>
        <w:tc>
          <w:tcPr>
            <w:tcW w:w="7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40"/>
        </w:trPr>
        <w:tc>
          <w:tcPr>
            <w:tcW w:w="20" w:type="dxa"/>
            <w:vAlign w:val="bottom"/>
          </w:tcPr>
          <w:p>
            <w:pPr>
              <w:spacing w:after="0"/>
              <w:rPr>
                <w:sz w:val="20"/>
                <w:szCs w:val="20"/>
                <w:color w:val="auto"/>
              </w:rPr>
            </w:pPr>
          </w:p>
        </w:tc>
        <w:tc>
          <w:tcPr>
            <w:tcW w:w="1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WATERBURY</w:t>
            </w:r>
          </w:p>
        </w:tc>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VT 05676</w:t>
            </w:r>
          </w:p>
        </w:tc>
      </w:tr>
      <w:tr>
        <w:trPr>
          <w:trHeight w:val="158"/>
        </w:trPr>
        <w:tc>
          <w:tcPr>
            <w:tcW w:w="20" w:type="dxa"/>
            <w:vAlign w:val="bottom"/>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313"/>
        </w:trPr>
        <w:tc>
          <w:tcPr>
            <w:tcW w:w="2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Arial" w:cs="Arial" w:eastAsia="Arial" w:hAnsi="Arial"/>
                <w:sz w:val="14"/>
                <w:szCs w:val="14"/>
                <w:color w:val="auto"/>
              </w:rPr>
              <w:t>(City)</w:t>
            </w:r>
          </w:p>
        </w:tc>
        <w:tc>
          <w:tcPr>
            <w:tcW w:w="1040" w:type="dxa"/>
            <w:vAlign w:val="bottom"/>
          </w:tcPr>
          <w:p>
            <w:pPr>
              <w:ind w:left="320"/>
              <w:spacing w:after="0"/>
              <w:rPr>
                <w:sz w:val="20"/>
                <w:szCs w:val="20"/>
                <w:color w:val="auto"/>
              </w:rPr>
            </w:pPr>
            <w:r>
              <w:rPr>
                <w:rFonts w:ascii="Arial" w:cs="Arial" w:eastAsia="Arial" w:hAnsi="Arial"/>
                <w:sz w:val="14"/>
                <w:szCs w:val="14"/>
                <w:color w:val="auto"/>
              </w:rPr>
              <w:t>(State)</w:t>
            </w:r>
          </w:p>
        </w:tc>
        <w:tc>
          <w:tcPr>
            <w:tcW w:w="1340" w:type="dxa"/>
            <w:vAlign w:val="bottom"/>
          </w:tcPr>
          <w:p>
            <w:pPr>
              <w:ind w:left="3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3" w:right="60" w:firstLine="3"/>
        <w:spacing w:after="0" w:line="245" w:lineRule="auto"/>
        <w:tabs>
          <w:tab w:leader="none" w:pos="148"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37" w:lineRule="exact"/>
        <w:rPr>
          <w:sz w:val="24"/>
          <w:szCs w:val="24"/>
          <w:color w:val="auto"/>
        </w:rPr>
      </w:pPr>
    </w:p>
    <w:p>
      <w:pPr>
        <w:ind w:left="537"/>
        <w:spacing w:after="0"/>
        <w:tabs>
          <w:tab w:leader="none" w:pos="2057"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10% Owner</w:t>
      </w:r>
    </w:p>
    <w:p>
      <w:pPr>
        <w:spacing w:after="0" w:line="69"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37"/>
        <w:spacing w:after="0"/>
        <w:tabs>
          <w:tab w:leader="none" w:pos="2057"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2" w:right="360" w:hanging="2"/>
        <w:spacing w:after="0" w:line="245" w:lineRule="auto"/>
        <w:tabs>
          <w:tab w:leader="none" w:pos="152"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12" w:lineRule="exact"/>
        <w:rPr>
          <w:rFonts w:ascii="Arial" w:cs="Arial" w:eastAsia="Arial" w:hAnsi="Arial"/>
          <w:sz w:val="14"/>
          <w:szCs w:val="14"/>
          <w:color w:val="auto"/>
        </w:rPr>
      </w:pPr>
    </w:p>
    <w:p>
      <w:pPr>
        <w:ind w:left="2" w:right="260" w:hanging="2"/>
        <w:spacing w:after="0" w:line="245" w:lineRule="auto"/>
        <w:tabs>
          <w:tab w:leader="none" w:pos="152"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10" w:lineRule="exact"/>
        <w:rPr>
          <w:sz w:val="24"/>
          <w:szCs w:val="24"/>
          <w:color w:val="auto"/>
        </w:rPr>
      </w:pPr>
    </w:p>
    <w:p>
      <w:pPr>
        <w:ind w:left="462" w:right="540"/>
        <w:spacing w:after="0" w:line="245" w:lineRule="auto"/>
        <w:rPr>
          <w:sz w:val="20"/>
          <w:szCs w:val="20"/>
          <w:color w:val="auto"/>
        </w:rPr>
      </w:pPr>
      <w:r>
        <w:rPr>
          <w:rFonts w:ascii="Arial" w:cs="Arial" w:eastAsia="Arial" w:hAnsi="Arial"/>
          <w:sz w:val="14"/>
          <w:szCs w:val="14"/>
          <w:color w:val="auto"/>
        </w:rPr>
        <w:t>Form filed by One Reporting Person</w:t>
      </w:r>
    </w:p>
    <w:p>
      <w:pPr>
        <w:spacing w:after="0" w:line="23" w:lineRule="exact"/>
        <w:rPr>
          <w:sz w:val="24"/>
          <w:szCs w:val="24"/>
          <w:color w:val="auto"/>
        </w:rPr>
      </w:pPr>
    </w:p>
    <w:p>
      <w:pPr>
        <w:ind w:left="462" w:right="520"/>
        <w:spacing w:after="0" w:line="245" w:lineRule="auto"/>
        <w:rPr>
          <w:sz w:val="20"/>
          <w:szCs w:val="20"/>
          <w:color w:val="auto"/>
        </w:rPr>
      </w:pPr>
      <w:r>
        <w:rPr>
          <w:rFonts w:ascii="Arial" w:cs="Arial" w:eastAsia="Arial" w:hAnsi="Arial"/>
          <w:sz w:val="14"/>
          <w:szCs w:val="14"/>
          <w:color w:val="auto"/>
        </w:rPr>
        <w:t>Form filed by More than One Reporting Person</w:t>
      </w:r>
    </w:p>
    <w:p>
      <w:pPr>
        <w:spacing w:after="0" w:line="453" w:lineRule="exact"/>
        <w:rPr>
          <w:sz w:val="24"/>
          <w:szCs w:val="24"/>
          <w:color w:val="auto"/>
        </w:rPr>
      </w:pPr>
    </w:p>
    <w:p>
      <w:pPr>
        <w:sectPr>
          <w:pgSz w:w="11900" w:h="16838" w:orient="portrait"/>
          <w:cols w:equalWidth="0" w:num="3">
            <w:col w:w="4283" w:space="720"/>
            <w:col w:w="2917" w:space="358"/>
            <w:col w:w="2702"/>
          </w:cols>
          <w:pgMar w:left="460" w:top="220" w:right="45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19"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3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500" w:type="dxa"/>
            <w:vAlign w:val="bottom"/>
          </w:tcPr>
          <w:p>
            <w:pPr>
              <w:ind w:left="1540"/>
              <w:spacing w:after="0"/>
              <w:rPr>
                <w:sz w:val="20"/>
                <w:szCs w:val="20"/>
                <w:color w:val="auto"/>
              </w:rPr>
            </w:pPr>
            <w:r>
              <w:rPr>
                <w:rFonts w:ascii="Arial" w:cs="Arial" w:eastAsia="Arial" w:hAnsi="Arial"/>
                <w:sz w:val="14"/>
                <w:szCs w:val="14"/>
                <w:b w:val="1"/>
                <w:bCs w:val="1"/>
                <w:color w:val="auto"/>
              </w:rPr>
              <w:t>2. Amount of Securities</w:t>
            </w: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3. Ownership</w:t>
            </w:r>
          </w:p>
        </w:tc>
        <w:tc>
          <w:tcPr>
            <w:tcW w:w="2860" w:type="dxa"/>
            <w:vAlign w:val="bottom"/>
          </w:tcPr>
          <w:p>
            <w:pPr>
              <w:ind w:left="80"/>
              <w:spacing w:after="0"/>
              <w:rPr>
                <w:sz w:val="20"/>
                <w:szCs w:val="20"/>
                <w:color w:val="auto"/>
              </w:rPr>
            </w:pPr>
            <w:r>
              <w:rPr>
                <w:rFonts w:ascii="Arial" w:cs="Arial" w:eastAsia="Arial" w:hAnsi="Arial"/>
                <w:sz w:val="14"/>
                <w:szCs w:val="14"/>
                <w:b w:val="1"/>
                <w:bCs w:val="1"/>
                <w:color w:val="auto"/>
                <w:w w:val="99"/>
              </w:rPr>
              <w:t>4. Nature of Indirect Beneficial Ownership</w:t>
            </w:r>
          </w:p>
        </w:tc>
      </w:tr>
      <w:tr>
        <w:trPr>
          <w:trHeight w:val="149"/>
        </w:trPr>
        <w:tc>
          <w:tcPr>
            <w:tcW w:w="3340" w:type="dxa"/>
            <w:vAlign w:val="bottom"/>
          </w:tcPr>
          <w:p>
            <w:pPr>
              <w:spacing w:after="0"/>
              <w:rPr>
                <w:sz w:val="12"/>
                <w:szCs w:val="12"/>
                <w:color w:val="auto"/>
              </w:rPr>
            </w:pPr>
          </w:p>
        </w:tc>
        <w:tc>
          <w:tcPr>
            <w:tcW w:w="3500" w:type="dxa"/>
            <w:vAlign w:val="bottom"/>
          </w:tcPr>
          <w:p>
            <w:pPr>
              <w:ind w:left="15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2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Form: Direct (D)</w:t>
            </w:r>
          </w:p>
        </w:tc>
        <w:tc>
          <w:tcPr>
            <w:tcW w:w="2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3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or Indirect (I)</w:t>
            </w:r>
          </w:p>
        </w:tc>
        <w:tc>
          <w:tcPr>
            <w:tcW w:w="2860" w:type="dxa"/>
            <w:vAlign w:val="bottom"/>
          </w:tcPr>
          <w:p>
            <w:pPr>
              <w:spacing w:after="0"/>
              <w:rPr>
                <w:sz w:val="12"/>
                <w:szCs w:val="12"/>
                <w:color w:val="auto"/>
              </w:rPr>
            </w:pPr>
          </w:p>
        </w:tc>
      </w:tr>
      <w:tr>
        <w:trPr>
          <w:trHeight w:val="186"/>
        </w:trPr>
        <w:tc>
          <w:tcPr>
            <w:tcW w:w="33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(Instr. 5)</w:t>
            </w:r>
          </w:p>
        </w:tc>
        <w:tc>
          <w:tcPr>
            <w:tcW w:w="2860" w:type="dxa"/>
            <w:vAlign w:val="bottom"/>
          </w:tcPr>
          <w:p>
            <w:pPr>
              <w:spacing w:after="0"/>
              <w:rPr>
                <w:sz w:val="16"/>
                <w:szCs w:val="16"/>
                <w:color w:val="auto"/>
              </w:rPr>
            </w:pPr>
          </w:p>
        </w:tc>
      </w:tr>
      <w:tr>
        <w:trPr>
          <w:trHeight w:val="38"/>
        </w:trPr>
        <w:tc>
          <w:tcPr>
            <w:tcW w:w="3340" w:type="dxa"/>
            <w:vAlign w:val="bottom"/>
            <w:tcBorders>
              <w:bottom w:val="single" w:sz="8" w:color="2C2C2C"/>
            </w:tcBorders>
          </w:tcPr>
          <w:p>
            <w:pPr>
              <w:spacing w:after="0"/>
              <w:rPr>
                <w:sz w:val="3"/>
                <w:szCs w:val="3"/>
                <w:color w:val="auto"/>
              </w:rPr>
            </w:pPr>
          </w:p>
        </w:tc>
        <w:tc>
          <w:tcPr>
            <w:tcW w:w="35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337"/>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ADSs</w:t>
            </w:r>
            <w:r>
              <w:rPr>
                <w:rFonts w:ascii="Times New Roman" w:cs="Times New Roman" w:eastAsia="Times New Roman" w:hAnsi="Times New Roman"/>
                <w:sz w:val="22"/>
                <w:szCs w:val="22"/>
                <w:color w:val="008000"/>
                <w:vertAlign w:val="superscript"/>
              </w:rPr>
              <w:t>(1)</w:t>
            </w:r>
          </w:p>
        </w:tc>
        <w:tc>
          <w:tcPr>
            <w:tcW w:w="6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ind w:left="560"/>
              <w:spacing w:after="0"/>
              <w:rPr>
                <w:sz w:val="20"/>
                <w:szCs w:val="20"/>
                <w:color w:val="auto"/>
              </w:rPr>
            </w:pPr>
            <w:r>
              <w:rPr>
                <w:rFonts w:ascii="Times New Roman" w:cs="Times New Roman" w:eastAsia="Times New Roman" w:hAnsi="Times New Roman"/>
                <w:sz w:val="18"/>
                <w:szCs w:val="18"/>
                <w:color w:val="0000FF"/>
              </w:rPr>
              <w:t>12,190</w:t>
            </w:r>
          </w:p>
        </w:tc>
        <w:tc>
          <w:tcPr>
            <w:tcW w:w="1060" w:type="dxa"/>
            <w:vAlign w:val="bottom"/>
            <w:tcBorders>
              <w:bottom w:val="single" w:sz="8" w:color="2C2C2C"/>
            </w:tcBorders>
          </w:tcPr>
          <w:p>
            <w:pPr>
              <w:ind w:left="860"/>
              <w:spacing w:after="0"/>
              <w:rPr>
                <w:sz w:val="20"/>
                <w:szCs w:val="20"/>
                <w:color w:val="auto"/>
              </w:rPr>
            </w:pPr>
            <w:r>
              <w:rPr>
                <w:rFonts w:ascii="Times New Roman" w:cs="Times New Roman" w:eastAsia="Times New Roman" w:hAnsi="Times New Roman"/>
                <w:sz w:val="18"/>
                <w:szCs w:val="18"/>
                <w:color w:val="0000FF"/>
              </w:rPr>
              <w:t>D</w:t>
            </w:r>
          </w:p>
        </w:tc>
        <w:tc>
          <w:tcPr>
            <w:tcW w:w="9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808080"/>
            </w:tcBorders>
          </w:tcPr>
          <w:p>
            <w:pPr>
              <w:spacing w:after="0"/>
              <w:rPr>
                <w:sz w:val="19"/>
                <w:szCs w:val="19"/>
                <w:color w:val="auto"/>
              </w:rPr>
            </w:pPr>
          </w:p>
        </w:tc>
        <w:tc>
          <w:tcPr>
            <w:tcW w:w="27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260" w:type="dxa"/>
            <w:vAlign w:val="bottom"/>
            <w:tcBorders>
              <w:top w:val="single" w:sz="8" w:color="2C2C2C"/>
            </w:tcBorders>
            <w:gridSpan w:val="4"/>
          </w:tcPr>
          <w:p>
            <w:pPr>
              <w:ind w:left="20"/>
              <w:spacing w:after="0"/>
              <w:rPr>
                <w:sz w:val="20"/>
                <w:szCs w:val="20"/>
                <w:color w:val="auto"/>
              </w:rPr>
            </w:pPr>
            <w:r>
              <w:rPr>
                <w:rFonts w:ascii="Arial" w:cs="Arial" w:eastAsia="Arial" w:hAnsi="Arial"/>
                <w:sz w:val="18"/>
                <w:szCs w:val="18"/>
                <w:b w:val="1"/>
                <w:bCs w:val="1"/>
                <w:color w:val="auto"/>
                <w:w w:val="99"/>
              </w:rPr>
              <w:t>Table II - Derivative Securities Beneficially Owned</w:t>
            </w:r>
          </w:p>
        </w:tc>
        <w:tc>
          <w:tcPr>
            <w:tcW w:w="9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5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780" w:type="dxa"/>
            <w:vAlign w:val="bottom"/>
            <w:gridSpan w:val="6"/>
          </w:tcPr>
          <w:p>
            <w:pPr>
              <w:ind w:left="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2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5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4)</w:t>
            </w:r>
          </w:p>
        </w:tc>
        <w:tc>
          <w:tcPr>
            <w:tcW w:w="106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5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6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900" w:type="dxa"/>
            <w:vAlign w:val="bottom"/>
          </w:tcPr>
          <w:p>
            <w:pPr>
              <w:ind w:left="80"/>
              <w:spacing w:after="0" w:line="137" w:lineRule="exact"/>
              <w:rPr>
                <w:sz w:val="20"/>
                <w:szCs w:val="20"/>
                <w:color w:val="auto"/>
              </w:rPr>
            </w:pPr>
            <w:r>
              <w:rPr>
                <w:rFonts w:ascii="Arial" w:cs="Arial" w:eastAsia="Arial" w:hAnsi="Arial"/>
                <w:sz w:val="14"/>
                <w:szCs w:val="14"/>
                <w:b w:val="1"/>
                <w:bCs w:val="1"/>
                <w:color w:val="auto"/>
              </w:rPr>
              <w:t>Derivative</w:t>
            </w:r>
          </w:p>
        </w:tc>
        <w:tc>
          <w:tcPr>
            <w:tcW w:w="860" w:type="dxa"/>
            <w:vAlign w:val="bottom"/>
          </w:tcPr>
          <w:p>
            <w:pPr>
              <w:ind w:left="80"/>
              <w:spacing w:after="0" w:line="137" w:lineRule="exact"/>
              <w:rPr>
                <w:sz w:val="20"/>
                <w:szCs w:val="20"/>
                <w:color w:val="auto"/>
              </w:rPr>
            </w:pPr>
            <w:r>
              <w:rPr>
                <w:rFonts w:ascii="Arial" w:cs="Arial" w:eastAsia="Arial" w:hAnsi="Arial"/>
                <w:sz w:val="14"/>
                <w:szCs w:val="14"/>
                <w:b w:val="1"/>
                <w:bCs w:val="1"/>
                <w:color w:val="auto"/>
              </w:rPr>
              <w:t>or Indirect</w:t>
            </w:r>
          </w:p>
        </w:tc>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6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520" w:type="dxa"/>
            <w:vAlign w:val="bottom"/>
          </w:tcPr>
          <w:p>
            <w:pPr>
              <w:spacing w:after="0"/>
              <w:rPr>
                <w:sz w:val="12"/>
                <w:szCs w:val="12"/>
                <w:color w:val="auto"/>
              </w:rPr>
            </w:pPr>
          </w:p>
        </w:tc>
        <w:tc>
          <w:tcPr>
            <w:tcW w:w="1060" w:type="dxa"/>
            <w:vAlign w:val="bottom"/>
          </w:tcPr>
          <w:p>
            <w:pPr>
              <w:ind w:left="480"/>
              <w:spacing w:after="0" w:line="148"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5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6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20" w:type="dxa"/>
            <w:vAlign w:val="bottom"/>
            <w:vMerge w:val="continue"/>
          </w:tcPr>
          <w:p>
            <w:pPr>
              <w:spacing w:after="0"/>
              <w:rPr>
                <w:sz w:val="16"/>
                <w:szCs w:val="16"/>
                <w:color w:val="auto"/>
              </w:rPr>
            </w:pPr>
          </w:p>
        </w:tc>
        <w:tc>
          <w:tcPr>
            <w:tcW w:w="1060" w:type="dxa"/>
            <w:vAlign w:val="bottom"/>
          </w:tcPr>
          <w:p>
            <w:pPr>
              <w:ind w:left="48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4" w:lineRule="exact"/>
        <w:rPr>
          <w:sz w:val="24"/>
          <w:szCs w:val="24"/>
          <w:color w:val="auto"/>
        </w:rPr>
      </w:pPr>
    </w:p>
    <w:p>
      <w:pPr>
        <w:ind w:left="40" w:right="220" w:firstLine="9"/>
        <w:spacing w:after="0" w:line="242" w:lineRule="auto"/>
        <w:tabs>
          <w:tab w:leader="none" w:pos="175"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RSUs, each RSU represents a right to receive one ADS in the Issuer. 2,886 RSUs will vest in full on the date of the Issuer's next annual general meeting, subject to the Reporting Person's continued service as a director through such vesting date. There are no voting or dividend rights prior to vesting.</w:t>
      </w:r>
    </w:p>
    <w:p>
      <w:pPr>
        <w:spacing w:after="0" w:line="36" w:lineRule="exact"/>
        <w:rPr>
          <w:sz w:val="24"/>
          <w:szCs w:val="24"/>
          <w:color w:val="auto"/>
        </w:rPr>
      </w:pPr>
    </w:p>
    <w:tbl>
      <w:tblPr>
        <w:tblLayout w:type="fixed"/>
        <w:tblInd w:w="6600" w:type="dxa"/>
        <w:tblCellMar>
          <w:top w:w="0" w:type="dxa"/>
          <w:left w:w="0" w:type="dxa"/>
          <w:bottom w:w="0" w:type="dxa"/>
          <w:right w:w="0" w:type="dxa"/>
        </w:tblCellMar>
      </w:tblPr>
      <w:tr>
        <w:trPr>
          <w:trHeight w:val="207"/>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Timothy Sjovall, pursuant to</w:t>
            </w:r>
          </w:p>
        </w:tc>
        <w:tc>
          <w:tcPr>
            <w:tcW w:w="18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95"/>
              </w:rPr>
              <w:t>03/18/2026</w:t>
            </w:r>
          </w:p>
        </w:tc>
        <w:tc>
          <w:tcPr>
            <w:tcW w:w="0" w:type="dxa"/>
            <w:vAlign w:val="bottom"/>
          </w:tcPr>
          <w:p>
            <w:pPr>
              <w:spacing w:after="0"/>
              <w:rPr>
                <w:sz w:val="1"/>
                <w:szCs w:val="1"/>
                <w:color w:val="auto"/>
              </w:rPr>
            </w:pPr>
          </w:p>
        </w:tc>
      </w:tr>
      <w:tr>
        <w:trPr>
          <w:trHeight w:val="93"/>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power of attorney</w:t>
            </w:r>
          </w:p>
        </w:tc>
        <w:tc>
          <w:tcPr>
            <w:tcW w:w="940" w:type="dxa"/>
            <w:vAlign w:val="bottom"/>
            <w:gridSpan w:val="2"/>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120" w:firstLine="9"/>
        <w:spacing w:after="0" w:line="351"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80"/>
          </w:cols>
          <w:pgMar w:left="460" w:top="220" w:right="459" w:bottom="1440" w:gutter="0" w:footer="0" w:header="0"/>
          <w:type w:val="continuous"/>
        </w:sectPr>
      </w:pPr>
    </w:p>
    <w:bookmarkStart w:id="1" w:name="page2"/>
    <w:bookmarkEnd w:id="1"/>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SECTION 16</w:t>
      </w:r>
    </w:p>
    <w:p>
      <w:pPr>
        <w:spacing w:after="0" w:line="2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303" w:lineRule="exact"/>
        <w:rPr>
          <w:sz w:val="20"/>
          <w:szCs w:val="20"/>
          <w:color w:val="auto"/>
        </w:rPr>
      </w:pPr>
    </w:p>
    <w:p>
      <w:pPr>
        <w:jc w:val="both"/>
        <w:ind w:left="320" w:right="259" w:firstLine="410"/>
        <w:spacing w:after="0" w:line="255"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Pontus Mattsson, Timothy Sjövall, Brian Kearney, Martin Lind, Suzanne Lindstén and Johanna Ståhl, or any of them, the undersigned’s true and lawful attorney-in-fact to:</w:t>
      </w:r>
    </w:p>
    <w:p>
      <w:pPr>
        <w:spacing w:after="0" w:line="174" w:lineRule="exact"/>
        <w:rPr>
          <w:sz w:val="20"/>
          <w:szCs w:val="20"/>
          <w:color w:val="auto"/>
        </w:rPr>
      </w:pPr>
    </w:p>
    <w:p>
      <w:pPr>
        <w:jc w:val="both"/>
        <w:ind w:left="320" w:right="259" w:firstLine="657"/>
        <w:spacing w:after="0" w:line="255" w:lineRule="auto"/>
        <w:tabs>
          <w:tab w:leader="none" w:pos="1366"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Oatly Group AB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Forms 3, 4, and 5 in accordance with Section 16(a) of the Securities Exchange Act of 1934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the rules thereunder;</w:t>
      </w:r>
    </w:p>
    <w:p>
      <w:pPr>
        <w:spacing w:after="0" w:line="173" w:lineRule="exact"/>
        <w:rPr>
          <w:rFonts w:ascii="Times New Roman" w:cs="Times New Roman" w:eastAsia="Times New Roman" w:hAnsi="Times New Roman"/>
          <w:sz w:val="20"/>
          <w:szCs w:val="20"/>
          <w:color w:val="auto"/>
        </w:rPr>
      </w:pPr>
    </w:p>
    <w:p>
      <w:pPr>
        <w:jc w:val="both"/>
        <w:ind w:left="320" w:right="259" w:firstLine="404"/>
        <w:spacing w:after="0" w:line="255" w:lineRule="auto"/>
        <w:tabs>
          <w:tab w:leader="none" w:pos="111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U.S. Securities and Exchange Commission and any stock exchange or similar authority; and</w:t>
      </w:r>
    </w:p>
    <w:p>
      <w:pPr>
        <w:spacing w:after="0" w:line="173" w:lineRule="exact"/>
        <w:rPr>
          <w:rFonts w:ascii="Times New Roman" w:cs="Times New Roman" w:eastAsia="Times New Roman" w:hAnsi="Times New Roman"/>
          <w:sz w:val="20"/>
          <w:szCs w:val="20"/>
          <w:color w:val="auto"/>
        </w:rPr>
      </w:pPr>
    </w:p>
    <w:p>
      <w:pPr>
        <w:jc w:val="both"/>
        <w:ind w:left="320" w:right="239" w:firstLine="404"/>
        <w:spacing w:after="0" w:line="247" w:lineRule="auto"/>
        <w:tabs>
          <w:tab w:leader="none" w:pos="111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4" w:lineRule="exact"/>
        <w:rPr>
          <w:sz w:val="20"/>
          <w:szCs w:val="20"/>
          <w:color w:val="auto"/>
        </w:rPr>
      </w:pPr>
    </w:p>
    <w:p>
      <w:pPr>
        <w:jc w:val="both"/>
        <w:ind w:left="320" w:right="239" w:firstLine="397"/>
        <w:spacing w:after="0" w:line="243"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92" w:lineRule="exact"/>
        <w:rPr>
          <w:sz w:val="20"/>
          <w:szCs w:val="20"/>
          <w:color w:val="auto"/>
        </w:rPr>
      </w:pPr>
    </w:p>
    <w:p>
      <w:pPr>
        <w:jc w:val="both"/>
        <w:ind w:left="320" w:right="259" w:firstLine="397"/>
        <w:spacing w:after="0" w:line="250"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9" w:lineRule="exact"/>
        <w:rPr>
          <w:sz w:val="20"/>
          <w:szCs w:val="20"/>
          <w:color w:val="auto"/>
        </w:rPr>
      </w:pPr>
    </w:p>
    <w:p>
      <w:pPr>
        <w:jc w:val="both"/>
        <w:ind w:left="320" w:right="239"/>
        <w:spacing w:after="0" w:line="270"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16 day of February, 2026.</w:t>
      </w:r>
    </w:p>
    <w:p>
      <w:pPr>
        <w:spacing w:after="0" w:line="376" w:lineRule="exact"/>
        <w:rPr>
          <w:sz w:val="20"/>
          <w:szCs w:val="20"/>
          <w:color w:val="auto"/>
        </w:rPr>
      </w:pPr>
    </w:p>
    <w:tbl>
      <w:tblPr>
        <w:tblLayout w:type="fixed"/>
        <w:tblInd w:w="420" w:type="dxa"/>
        <w:tblCellMar>
          <w:top w:w="0" w:type="dxa"/>
          <w:left w:w="0" w:type="dxa"/>
          <w:bottom w:w="0" w:type="dxa"/>
          <w:right w:w="0" w:type="dxa"/>
        </w:tblCellMar>
      </w:tblPr>
      <w:tr>
        <w:trPr>
          <w:trHeight w:val="253"/>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 Frances Rathke</w:t>
            </w:r>
          </w:p>
        </w:tc>
      </w:tr>
      <w:tr>
        <w:trPr>
          <w:trHeight w:val="252"/>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2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Frances Rathke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2152015</wp:posOffset>
            </wp:positionV>
            <wp:extent cx="70434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043420" cy="42545"/>
                    </a:xfrm>
                    <a:prstGeom prst="rect">
                      <a:avLst/>
                    </a:prstGeom>
                    <a:noFill/>
                  </pic:spPr>
                </pic:pic>
              </a:graphicData>
            </a:graphic>
          </wp:anchor>
        </w:drawing>
      </w:r>
    </w:p>
    <w:p>
      <w:pPr>
        <w:sectPr>
          <w:pgSz w:w="11900" w:h="16838" w:orient="portrait"/>
          <w:cols w:equalWidth="0" w:num="1">
            <w:col w:w="9019"/>
          </w:cols>
          <w:pgMar w:left="1440" w:top="1412" w:right="1440"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lvl w:ilvl="1">
      <w:lvlJc w:val="left"/>
      <w:lvlText w:val="(%2)"/>
      <w:numFmt w:val="decimal"/>
      <w:start w:val="1"/>
    </w:lvl>
  </w:abstractNum>
  <w:abstractNum w:abstractNumId="5">
    <w:nsid w:val="507ED7AB"/>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226477" TargetMode="External"/><Relationship Id="rId12" Type="http://schemas.openxmlformats.org/officeDocument/2006/relationships/hyperlink" Target="http://www.sec.gov/cgi-bin/browse-edgar?action=getcompany&amp;CIK=0001843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2026-03-18T18:29:17Z</dcterms:created>
  <dcterms:modified xsi:type="dcterms:W3CDTF">2026-03-18T18:29:17Z</dcterms:modified>
</cp:coreProperties>
</file>