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otly_6k_english_ar_ye25.htm"/>
      <w:bookmarkStart w:id="1" w:name="ksotly_6k_english_ar_ye25"/>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month of April 2026</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001-40401</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Oatly Group AB (publ)</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Ångfärjekajen 8</w:t>
      </w:r>
    </w:p>
    <w:p>
      <w:pPr>
        <w:pStyle w:val="TextBody"/>
        <w:bidi w:val="0"/>
        <w:jc w:val="center"/>
        <w:rPr>
          <w:rFonts w:ascii="Times New Roman" w:hAnsi="Times New Roman"/>
          <w:b/>
          <w:color w:val="000000"/>
          <w:sz w:val="20"/>
        </w:rPr>
      </w:pPr>
      <w:r>
        <w:rPr>
          <w:rFonts w:ascii="Times New Roman" w:hAnsi="Times New Roman"/>
          <w:b/>
          <w:color w:val="000000"/>
          <w:sz w:val="20"/>
        </w:rPr>
        <w:t>211 19 Malmö</w:t>
      </w:r>
    </w:p>
    <w:p>
      <w:pPr>
        <w:pStyle w:val="TextBody"/>
        <w:bidi w:val="0"/>
        <w:jc w:val="center"/>
        <w:rPr>
          <w:rFonts w:ascii="Times New Roman" w:hAnsi="Times New Roman"/>
          <w:b/>
          <w:color w:val="000000"/>
          <w:sz w:val="20"/>
        </w:rPr>
      </w:pPr>
      <w:r>
        <w:rPr>
          <w:rFonts w:ascii="Times New Roman" w:hAnsi="Times New Roman"/>
          <w:b/>
          <w:color w:val="000000"/>
          <w:sz w:val="20"/>
        </w:rPr>
        <w:t>Sweden</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jc w:val="left"/>
        <w:rPr/>
      </w:pPr>
      <w:r>
        <w:rPr/>
        <w:t> </w:t>
      </w:r>
    </w:p>
    <w:tbl>
      <w:tblPr>
        <w:tblW w:w="2548" w:type="dxa"/>
        <w:jc w:val="left"/>
        <w:tblInd w:w="0" w:type="dxa"/>
        <w:tblLayout w:type="fixed"/>
        <w:tblCellMar>
          <w:top w:w="28" w:type="dxa"/>
          <w:left w:w="28" w:type="dxa"/>
          <w:bottom w:w="28" w:type="dxa"/>
          <w:right w:w="28" w:type="dxa"/>
        </w:tblCellMar>
      </w:tblPr>
      <w:tblGrid>
        <w:gridCol w:w="1186"/>
        <w:gridCol w:w="146"/>
        <w:gridCol w:w="12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Form 20-F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On April 27, 2026, Oatly Group AB (publ) (the “Company”) published its Swedish statutory annual report for 2025 (the “Annual Report”), a copy of which is furnished as Exhibit 99.1. The Annual Report is also available on the Company’s website at </w:t>
      </w:r>
      <w:r>
        <w:rPr>
          <w:rFonts w:ascii="Times New Roman" w:hAnsi="Times New Roman"/>
          <w:sz w:val="20"/>
        </w:rPr>
        <w:t>https://investors.oatly.com/financials-filings</w:t>
      </w:r>
      <w:r>
        <w:rPr>
          <w:rFonts w:ascii="Times New Roman" w:hAnsi="Times New Roman"/>
          <w:color w:val="000000"/>
          <w:sz w:val="20"/>
        </w:rPr>
        <w:t>.</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3208" w:type="dxa"/>
        <w:jc w:val="left"/>
        <w:tblInd w:w="0" w:type="dxa"/>
        <w:tblLayout w:type="fixed"/>
        <w:tblCellMar>
          <w:top w:w="28" w:type="dxa"/>
          <w:left w:w="28" w:type="dxa"/>
          <w:bottom w:w="28" w:type="dxa"/>
          <w:right w:w="28" w:type="dxa"/>
        </w:tblCellMar>
      </w:tblPr>
      <w:tblGrid>
        <w:gridCol w:w="976"/>
        <w:gridCol w:w="146"/>
        <w:gridCol w:w="208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Exhibit No.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hyperlink w:anchor="otly-ex99_1.htm">
              <w:r>
                <w:rPr>
                  <w:rStyle w:val="InternetLink"/>
                  <w:rFonts w:ascii="Times New Roman" w:hAnsi="Times New Roman"/>
                  <w:color w:val="0000FF"/>
                  <w:sz w:val="20"/>
                  <w:u w:val="single"/>
                </w:rPr>
                <w:t>Annual Report for 2025</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4574" w:type="dxa"/>
        <w:jc w:val="left"/>
        <w:tblInd w:w="0" w:type="dxa"/>
        <w:tblLayout w:type="fixed"/>
        <w:tblCellMar>
          <w:top w:w="28" w:type="dxa"/>
          <w:left w:w="28" w:type="dxa"/>
          <w:bottom w:w="28" w:type="dxa"/>
          <w:right w:w="28" w:type="dxa"/>
        </w:tblCellMar>
      </w:tblPr>
      <w:tblGrid>
        <w:gridCol w:w="1786"/>
        <w:gridCol w:w="146"/>
        <w:gridCol w:w="631"/>
        <w:gridCol w:w="201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Group AB (publ)</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Marie-José David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otly-ex99_1.htm"/>
      <w:bookmarkStart w:id="3" w:name="ksotlyex99_1"/>
      <w:bookmarkEnd w:id="2"/>
      <w:bookmarkEnd w:id="3"/>
      <w:r>
        <w:rPr/>
        <w:t> </w:t>
      </w:r>
      <w:r>
        <w:br w:type="page"/>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52"/>
        </w:rPr>
      </w:pPr>
      <w:r>
        <w:rPr>
          <w:rFonts w:ascii="Times New Roman" w:hAnsi="Times New Roman"/>
          <w:b/>
          <w:color w:val="000000"/>
          <w:sz w:val="52"/>
        </w:rPr>
        <w:t>Annual Report</w:t>
      </w:r>
    </w:p>
    <w:p>
      <w:pPr>
        <w:pStyle w:val="TextBody"/>
        <w:bidi w:val="0"/>
        <w:jc w:val="center"/>
        <w:rPr/>
      </w:pPr>
      <w:r>
        <w:rPr/>
        <w:t> </w:t>
      </w:r>
    </w:p>
    <w:p>
      <w:pPr>
        <w:pStyle w:val="TextBody"/>
        <w:bidi w:val="0"/>
        <w:jc w:val="center"/>
        <w:rPr>
          <w:rFonts w:ascii="Times New Roman" w:hAnsi="Times New Roman"/>
          <w:color w:val="000000"/>
          <w:sz w:val="32"/>
        </w:rPr>
      </w:pPr>
      <w:r>
        <w:rPr>
          <w:rFonts w:ascii="Times New Roman" w:hAnsi="Times New Roman"/>
          <w:color w:val="000000"/>
          <w:sz w:val="32"/>
        </w:rPr>
        <w:t>and</w:t>
      </w:r>
    </w:p>
    <w:p>
      <w:pPr>
        <w:pStyle w:val="TextBody"/>
        <w:bidi w:val="0"/>
        <w:jc w:val="center"/>
        <w:rPr/>
      </w:pPr>
      <w:r>
        <w:rPr/>
        <w:t> </w:t>
      </w:r>
    </w:p>
    <w:p>
      <w:pPr>
        <w:pStyle w:val="TextBody"/>
        <w:bidi w:val="0"/>
        <w:jc w:val="center"/>
        <w:rPr>
          <w:rFonts w:ascii="Times New Roman" w:hAnsi="Times New Roman"/>
          <w:b/>
          <w:color w:val="000000"/>
          <w:sz w:val="52"/>
        </w:rPr>
      </w:pPr>
      <w:r>
        <w:rPr>
          <w:rFonts w:ascii="Times New Roman" w:hAnsi="Times New Roman"/>
          <w:b/>
          <w:color w:val="000000"/>
          <w:sz w:val="52"/>
        </w:rPr>
        <w:t>Consolidated Financial Statements</w:t>
      </w:r>
    </w:p>
    <w:p>
      <w:pPr>
        <w:pStyle w:val="TextBody"/>
        <w:bidi w:val="0"/>
        <w:jc w:val="center"/>
        <w:rPr/>
      </w:pPr>
      <w:r>
        <w:rPr/>
        <w:t> </w:t>
      </w:r>
    </w:p>
    <w:p>
      <w:pPr>
        <w:pStyle w:val="TextBody"/>
        <w:bidi w:val="0"/>
        <w:jc w:val="center"/>
        <w:rPr>
          <w:rFonts w:ascii="Times New Roman" w:hAnsi="Times New Roman"/>
          <w:color w:val="000000"/>
          <w:sz w:val="32"/>
        </w:rPr>
      </w:pPr>
      <w:r>
        <w:rPr>
          <w:rFonts w:ascii="Times New Roman" w:hAnsi="Times New Roman"/>
          <w:color w:val="000000"/>
          <w:sz w:val="32"/>
        </w:rPr>
        <w:t>for</w:t>
      </w:r>
    </w:p>
    <w:p>
      <w:pPr>
        <w:pStyle w:val="TextBody"/>
        <w:bidi w:val="0"/>
        <w:jc w:val="center"/>
        <w:rPr/>
      </w:pPr>
      <w:r>
        <w:rPr/>
        <w:t> </w:t>
      </w:r>
    </w:p>
    <w:p>
      <w:pPr>
        <w:pStyle w:val="TextBody"/>
        <w:bidi w:val="0"/>
        <w:jc w:val="center"/>
        <w:rPr>
          <w:rFonts w:ascii="Times New Roman" w:hAnsi="Times New Roman"/>
          <w:b/>
          <w:color w:val="000000"/>
          <w:sz w:val="52"/>
        </w:rPr>
      </w:pPr>
      <w:r>
        <w:rPr>
          <w:rFonts w:ascii="Times New Roman" w:hAnsi="Times New Roman"/>
          <w:b/>
          <w:color w:val="000000"/>
          <w:sz w:val="52"/>
        </w:rPr>
        <w:t>Oatly Group AB (publ)</w:t>
      </w:r>
    </w:p>
    <w:p>
      <w:pPr>
        <w:pStyle w:val="TextBody"/>
        <w:bidi w:val="0"/>
        <w:jc w:val="center"/>
        <w:rPr/>
      </w:pPr>
      <w:r>
        <w:rPr/>
        <w:t> </w:t>
      </w:r>
    </w:p>
    <w:p>
      <w:pPr>
        <w:pStyle w:val="TextBody"/>
        <w:bidi w:val="0"/>
        <w:jc w:val="center"/>
        <w:rPr>
          <w:rFonts w:ascii="Times New Roman" w:hAnsi="Times New Roman"/>
          <w:color w:val="000000"/>
          <w:sz w:val="32"/>
        </w:rPr>
      </w:pPr>
      <w:r>
        <w:rPr>
          <w:rFonts w:ascii="Times New Roman" w:hAnsi="Times New Roman"/>
          <w:color w:val="000000"/>
          <w:sz w:val="32"/>
        </w:rPr>
        <w:t>559081-1989</w:t>
      </w:r>
    </w:p>
    <w:p>
      <w:pPr>
        <w:pStyle w:val="TextBody"/>
        <w:bidi w:val="0"/>
        <w:jc w:val="center"/>
        <w:rPr/>
      </w:pPr>
      <w:r>
        <w:rPr/>
        <w:t> </w:t>
      </w:r>
    </w:p>
    <w:p>
      <w:pPr>
        <w:pStyle w:val="TextBody"/>
        <w:bidi w:val="0"/>
        <w:jc w:val="center"/>
        <w:rPr>
          <w:rFonts w:ascii="Times New Roman" w:hAnsi="Times New Roman"/>
          <w:color w:val="000000"/>
          <w:sz w:val="32"/>
        </w:rPr>
      </w:pPr>
      <w:r>
        <w:rPr>
          <w:rFonts w:ascii="Times New Roman" w:hAnsi="Times New Roman"/>
          <w:color w:val="000000"/>
          <w:sz w:val="32"/>
        </w:rPr>
        <w:t>Financial year</w:t>
      </w:r>
    </w:p>
    <w:p>
      <w:pPr>
        <w:pStyle w:val="TextBody"/>
        <w:bidi w:val="0"/>
        <w:jc w:val="center"/>
        <w:rPr/>
      </w:pPr>
      <w:r>
        <w:rPr/>
        <w:t> </w:t>
      </w:r>
    </w:p>
    <w:p>
      <w:pPr>
        <w:pStyle w:val="TextBody"/>
        <w:bidi w:val="0"/>
        <w:jc w:val="center"/>
        <w:rPr>
          <w:rFonts w:ascii="Times New Roman" w:hAnsi="Times New Roman"/>
          <w:color w:val="000000"/>
          <w:sz w:val="32"/>
        </w:rPr>
      </w:pPr>
      <w:r>
        <w:rPr>
          <w:rFonts w:ascii="Times New Roman" w:hAnsi="Times New Roman"/>
          <w:color w:val="000000"/>
          <w:sz w:val="32"/>
        </w:rPr>
        <w:t>2025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Board of Directors and Chief Executive Officer (“CEO”) of Oatly Group AB (publ) (“Oatly”, the “Parent Company” or the “Company”, and together with its subsidiaries, the “Group”) hereby present the annual report and consolidated financial statements for the 2025 financial year.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consolidated financial statements have been prepared in U.S. dollars (“USD” or “$”), and all amounts are in thousands of U.S. dollars (TUSD) unless otherwise specified. The Annual Report for the Parent Company has been prepared in Swedish kronor (“SEK”), and all amounts are in thousands of Swedish kronor (TSEK) unless otherwise specified.</w:t>
      </w:r>
    </w:p>
    <w:p>
      <w:pPr>
        <w:pStyle w:val="Heading1"/>
        <w:bidi w:val="0"/>
        <w:spacing w:before="120" w:after="120"/>
        <w:jc w:val="left"/>
        <w:rPr>
          <w:rFonts w:ascii="Times New Roman" w:hAnsi="Times New Roman"/>
          <w:color w:val="000000"/>
          <w:sz w:val="20"/>
        </w:rPr>
      </w:pPr>
      <w:r>
        <w:rPr>
          <w:rFonts w:ascii="Times New Roman" w:hAnsi="Times New Roman"/>
          <w:color w:val="000000"/>
          <w:sz w:val="20"/>
        </w:rPr>
        <w:t>Administration report</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Information regarding the operations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Oatly Group AB (publ) handles the administration of the Group and its financing. The major operations in the Group take place in underlying companies, primarily in Oatly AB. Oatly AB is an innovative company operating within sustainable nutritional health. The Company develops, produces and sells oat-based dairy substitute products, primarily under its own brand, Oatly.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Company’s registered office is in Malmö, Sweden.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Ownership</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Nativus Company Limited owns 43.5% of the Company’s shares. None of the remaining shareholders own more than 10% of the shares. Oatly is listed on the Nasdaq Global Select Market, US.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Significant events during the financial year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Revenue increased by $38.8 million, or 4.7%, to $862.5 million for the year ended December 31, 2025, net of sales discounts, rebates and trade promotions, from $823.7 million for the year ended December 31, 2024. This revenue growth was mainly driven by continued volume growth for the Group's products in Europe &amp; International and Greater China, partially offset by reduction in volumes in North America driven by sourcing decisions of the largest foodservice customer in that segment. Excluding a foreign currency exchange tailwind of $21.0 million, revenue for the twelve months ended December 31, 2025 would have been $841.5 million, or an increase of 2.2%, using constant exchange rates. Sold finished goods volume for the twelve months ended December 31, 2025 amounted to 593.1 million liters compared to 563.4 million liters for the prior year period, an increase of 5.3%. The produced finished goods volume for the twelve months ended December 31, 2025 amounted to 594.9 million liters compared to 576.3 million liters for the same period last year, an increase of 3.2%.</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Oatly continues to execute on its strategic priorities focused on achieving profitable growth. These actions are aimed at setting clear priorities for the teams, reducing complexity to increase organizational agility, and executing a more asset-light supply chain strategy. In executing these actions, the Company simplified its organizational structure. The Company reviewed the organizational structure to adjust the fixed cost base globally, including employee-related costs, professional services, and other related costs. The Group has recorded restructuring costs of $4.9 million in 2025 related to these actions (2024: $8.2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strategic actions and restructuring activities during the year, the Group's number of employees has decreased by 94 employees, to 1,388 employees as of December 31, 2025 from 1,482 employees as of December 31, 2024. The average number of full-time consultants increased by 4 consultants to 84 consultants for the year ended December 31, 2025 from 80 consultants for the year ended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the Company's inception, the operations have been financed primarily through cash generated by the issuance of equity and Convertible Notes (as defined below) and Nordic Bonds (as defined below), and from borrowings under the Company's credit facilities. The Company's primary requirements for liquidity and capital are to finance working capital, make capital expenditures, invest in organizational capabilities to support profitable growth and for general corporate purposes. Oatly is using this combination of financing to fund the business. The Company expects its capital expenditures for 2026 to be in the range of $20 million to $30 million, related primarily to investments in its production facilities. The amount and allocation of the Company's future capital expenditures depend on several factors, and the Group strategic investment priorities may change. The Company believes that its sources of liquidity and capital will be sufficient to meet the existing business needs for at least the next 12 months from the end of the reporting period.</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 xml:space="preserve">During 2025 the Group has initiated a strategic review of the Group's Greater China business. The review will consider a range of options, including a potential carve-out of the Greater China segment, with the goal of accelerating growth and maximizing the value of the business. The Group continues to operate in the Greater China market, including operating the Group's production facility, and the Group remains committed to customers, consumers, and employees as the Group looks to maximize the value of this part of the business. While there is no definitive timetable for completing the strategic review, the Group expects to complete the strategic review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 xml:space="preserve">within 2026. The Group does not intend to provide further updates unless and until the Board of Directors approves a specific course of action or determines that additional disclosure is appropriate or required. The Group cautions that there can be no assurances that the process will result in any transaction or strategic change.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On March 19, 2025, Oatly Shanghai Co., Ltd. entered into a new RMB 30.0 million (equivalent of $4.2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December 31, 2025, the Group had utilized loan amounts of RMB 20.0 million (equivalent of $2.8 million) under the CMB Credit Facility.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September 30, 2025, the Company issued SEK denominated senior secured floating rate bonds (the “Nordic Bonds”) under the terms and conditions entered into by the Company with Nordic Trustee &amp; Agency AB (publ) on September 29, 2025. The Nordic Bonds have an initial issue amount of SEK 1,700 million (equivalent of $180.9 million) and a tenor of four years, subject to certain early redemption features. Following the satisfaction of certain conditions, the proceeds from the Nordic Bonds were released to the Company from escrow on October 3, 2025, and used to prepay the Term Loan B Credit Agreement in full, repurchase and cancel certain of the U.S. Notes (as defined below) and pay related transaction costs. The Nordic Bonds accrue interest at an interest rate equal to 3-month STIBOR plus 7.00 per cent. </w:t>
      </w:r>
      <w:r>
        <w:rPr>
          <w:rFonts w:ascii="Times New Roman" w:hAnsi="Times New Roman"/>
          <w:i/>
          <w:color w:val="000000"/>
          <w:sz w:val="20"/>
        </w:rPr>
        <w:t>per annum</w:t>
      </w:r>
      <w:r>
        <w:rPr>
          <w:rFonts w:ascii="Times New Roman" w:hAnsi="Times New Roman"/>
          <w:color w:val="000000"/>
          <w:sz w:val="20"/>
        </w:rPr>
        <w:t xml:space="preserve"> applied to the nominal amount of the Nordic Bonds. The material terms of the Nordic Bonds include, among other things, (i) a mandatory total redemption of the Nordic Bonds on or before June 14, 2028 unless certain thresholds in respect of repurchase of Convertible Notes have been meet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w:t>
      </w:r>
      <w:r>
        <w:rPr>
          <w:rFonts w:ascii="Times New Roman" w:hAnsi="Times New Roman"/>
          <w:i/>
          <w:color w:val="000000"/>
          <w:sz w:val="20"/>
        </w:rPr>
        <w:t>pari passu</w:t>
      </w:r>
      <w:r>
        <w:rPr>
          <w:rFonts w:ascii="Times New Roman" w:hAnsi="Times New Roman"/>
          <w:color w:val="000000"/>
          <w:sz w:val="20"/>
        </w:rPr>
        <w:t xml:space="preserve"> with the Nordic Bonds or is subordinated to the Nordic Bonds, and (iv) a distribution incurrence test which applies in respect of certain distributions by the Company to its shareholders. As of December 31, 2025, the Group had SEK 1,716 million (equivalent of $187.1 million) outstanding under the Nordic Bonds, including accrued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debt under the Nordic Bonds and the SSRCF (as defined below) share in the same security and guarantees from material companies in the Group by way of an intercreditor agreement entered into by the Company on September 30, 2025 (the “New Intercreditor Agreement”), which replaced the Prior Intercreditor Agreement. The security provided for the SSRCF (as defined below) and the Nordic Bonds include share pledges, security over material intra-group loans, security over material bank accounts, security over material intellectual property, New York law all-asset security, English law debentures, Swedish business mortgages and Swedish real estate mortgage.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30, 2025, the Company entered into a SEK 750 million (equivalent to $79.8 million) super senior revolving credit facility agreement with JP Morgan, Nordea and Rabobank (the “SSRCF”), which came into effect on October 3, 2025. The existing Sustainable Revolving Credit Facility Agreement (the “SRCF”) was cancelled, terminated and replaced by the SSRCF. The SSRCF has a committed tenor of two years and six months, with an uncommitted option to extend by an additional 15 months, and an initial margin of 4.00% p.a. (subject to leverage-based adjustments). Furthermore, it includes the following financial covenants: (i) tangible solvency ratio, (ii) minimum EBITDA (which ceases to apply following the third quarter of 2027), (iii) minimum liquidity (which ceases to apply following the third quarter of 2027), and (iv) total net leverage ratio (which commences to apply in respect of the LTM period ending on 30 September 2027).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As of December 31, 2025, the Group had access to $80.0 million in undrawn SSRCF commitments.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 2025, the term loan facility with Svensk Exportkredit was prepaid in full. On October 3, 2025, as described above, part of the proceeds from the Nordic Bonds were used to prepay the Term Loan B Credit Agreement in full.</w:t>
      </w:r>
    </w:p>
    <w:p>
      <w:pPr>
        <w:pStyle w:val="Heading2"/>
        <w:bidi w:val="0"/>
        <w:spacing w:before="240" w:after="120"/>
        <w:jc w:val="left"/>
        <w:rPr>
          <w:rFonts w:ascii="Times New Roman" w:hAnsi="Times New Roman"/>
          <w:sz w:val="20"/>
        </w:rPr>
      </w:pPr>
      <w:r>
        <w:rPr>
          <w:rFonts w:ascii="Times New Roman" w:hAnsi="Times New Roman"/>
          <w:i/>
          <w:color w:val="000000"/>
          <w:sz w:val="20"/>
        </w:rPr>
        <w:t>Parent company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Customary group management functions and group wide services are provided via the Parent Company. Net revenues for the Parent Company during the year 2025 were 18.3 MSEK (2024: 40.9 MSEK) with profit before tax amounting to 570.3 MSEK, and loss before tax amounting to 1,421.2 MSEK in 2024.</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Significant events after the end of the financial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significant events after the end of the financial year.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Share capital</w:t>
      </w:r>
    </w:p>
    <w:p>
      <w:pPr>
        <w:pStyle w:val="TextBody"/>
        <w:bidi w:val="0"/>
        <w:spacing w:before="120" w:after="283"/>
        <w:jc w:val="both"/>
        <w:rPr>
          <w:rFonts w:ascii="Times New Roman" w:hAnsi="Times New Roman"/>
          <w:sz w:val="20"/>
        </w:rPr>
      </w:pPr>
      <w:r>
        <w:rPr>
          <w:rFonts w:ascii="Times New Roman" w:hAnsi="Times New Roman"/>
          <w:color w:val="000000"/>
          <w:sz w:val="20"/>
        </w:rPr>
        <w:t>On October 3, 2025, 17,962,680 ordinary shares were issued in connection with repurchases and cancellations of U.S. Notes (as defined below). See Note 26 “</w:t>
      </w:r>
      <w:r>
        <w:rPr>
          <w:rFonts w:ascii="Times New Roman" w:hAnsi="Times New Roman"/>
          <w:i/>
          <w:color w:val="000000"/>
          <w:sz w:val="20"/>
        </w:rPr>
        <w:t>Interest-bearing loans and borrowings</w:t>
      </w:r>
      <w:r>
        <w:rPr>
          <w:rFonts w:ascii="Times New Roman" w:hAnsi="Times New Roman"/>
          <w:color w:val="000000"/>
          <w:sz w:val="20"/>
        </w:rPr>
        <w:t>” for further details.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and 2024, 624,500,001 and 598,559,840 ordinary shares, respectively were outstanding, and the par value per share was $0.00018 (SEK 0.0015). The Company had 891,459 and 416,580 treasury shares as of December 31, 2025 and December 31, 2024,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Expected future development and significant risks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business continues to be exposed to the effects of the current global macroeconomic environment. The Group continue to maintain a global focus on the controllable aspects of the business while navigating the challenging operating environment. The Group's fiscal 2025 revenue growth reflects solid demand for the Group's products despite ongoing uncertainty in the global economy. The Group will continue to closely monitor macroeconomic conditions, including potential impacts of inflation and interest rate changes on consumer behavior.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inflationary pressures over the past several years, the Group has experienced and may continue to experience, higher commodity and supply chain costs, including transportation, packaging, manufacturing, and ingredient costs, as well as higher electricity costs. The Group has in the past taken, and may in the future take, measures to mitigate the impact of this inflation, such as a combination of strategic pricing actions, product and customer mix management, operational improvements in the Group's supply chain, and reductions in overhead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significant geopolitical issues that can impact the Group's business. The U.S. and Israeli war with Iran and further escalation of the ongoing conflict in the Middle East and the Red Sea have and will cause shipping disruptions and could result in, among other things, broader impacts that expand into other markets, cyberattacks, supply chain and logistics disruptions, and changes to foreign exchange rates and financial markets, any of which may adversely affect the Group's business and supply chain, or a diminished consumer confidence resulting in reduced demand. Additionally, Russian invasion of Ukraine in February 2022 has resulted in many broader economic impacts such as sanctions and bans against Russia and Russian products imported into certain countries in Europe and the United States. Such sanctions and bans have impacted, and may continue to impact, commodity pricing such as fuel and energy costs, leading to higher transportation costs which make it more expensive for the Group and its partners to deliver products to the Group's customers. The Group does not directly procure goods or services from Russia or Ukraine. Further sanctions, bans, or other economic actions in response to the ongoing war in Ukraine or in response to any other global conflict could result in an increase in costs, further disruptions to the Group's supply chain, and a lack of consumer confidence resulting in reduced demand. While the extent of such items is not presently known, any of them could negatively impact the Group's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trade tensions or trade wars, for example, between the United States and China, the United States and Canada, the United States and Mexico, the United States and the EU, or news and rumors of potential retaliatory tariffs, could have an adverse impact on the Group's business, financial condition and results of operations. The Group will closely monitor the impact of changes in tariffs and other trade barriers and take appropriate measures to offset any potential headwinds. </w:t>
      </w:r>
    </w:p>
    <w:p>
      <w:pPr>
        <w:pStyle w:val="TextBody"/>
        <w:bidi w:val="0"/>
        <w:jc w:val="left"/>
        <w:rPr>
          <w:rFonts w:ascii="Times New Roman" w:hAnsi="Times New Roman"/>
          <w:b/>
          <w:color w:val="000000"/>
          <w:sz w:val="20"/>
        </w:rPr>
      </w:pPr>
      <w:r>
        <w:rPr>
          <w:rFonts w:ascii="Times New Roman" w:hAnsi="Times New Roman"/>
          <w:b/>
          <w:color w:val="000000"/>
          <w:sz w:val="20"/>
        </w:rPr>
        <w:t>Innovation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Oatly works extensively with innovation. Since inception, the Group's innovation goal has been to build the best possible form of milk and other dairy products for humans and the planet. Through the Group's more than 30-year history of making oat products, the Group has developed a deep expertise around oats and production craftsmanship. The Group is well positioned to leverage science to address key societal problems and maintain market leadership in plant-based dairy.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Today, the Group has a global Food Innovation team with a central technology development team in Sweden, and globally-led but regionally-executed product development teams in the Europe &amp; International, North America and Greater China. To further strengthen the Group's capabilities, in 2023 the Group established a Research and Innovation Center in Sweden where the Group partner with leading scientists and industry experts to ensure the Group stays at the forefront of oat expertise and human health. Given one of the Group's key focuses is building a broad and relevant product portfolio within plant-based dairy, the Group continuously explore and enter new product categories, making the change to plant-based easy for the consumers. The Group strives to create great, sustainable, delicious and nutritious food with optimal taste, functionality and texture.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risk control and use of financial instruments</w:t>
      </w:r>
    </w:p>
    <w:p>
      <w:pPr>
        <w:pStyle w:val="TextBody"/>
        <w:bidi w:val="0"/>
        <w:spacing w:before="240" w:after="283"/>
        <w:jc w:val="both"/>
        <w:rPr>
          <w:rFonts w:ascii="Times New Roman" w:hAnsi="Times New Roman"/>
          <w:sz w:val="20"/>
        </w:rPr>
      </w:pPr>
      <w:r>
        <w:rPr>
          <w:rFonts w:ascii="Times New Roman" w:hAnsi="Times New Roman"/>
          <w:color w:val="000000"/>
          <w:sz w:val="20"/>
        </w:rPr>
        <w:t>Through its operations, the Group is exposed to various financial risks attributable to primarily cash, trade receivables, trade payables and interest-bearing loans and borrowings. The financial risks are market risk (mainly interest risk and currency risk), credit risk, liquidity risk and refinancing risk. The Group strives to minimize potential unfavorable effects from these risks on the Group’s financial results. See Note 3 “</w:t>
      </w:r>
      <w:r>
        <w:rPr>
          <w:rFonts w:ascii="Times New Roman" w:hAnsi="Times New Roman"/>
          <w:i/>
          <w:color w:val="000000"/>
          <w:sz w:val="20"/>
        </w:rPr>
        <w:t>Financial risk management</w:t>
      </w:r>
      <w:r>
        <w:rPr>
          <w:rFonts w:ascii="Times New Roman" w:hAnsi="Times New Roman"/>
          <w:color w:val="000000"/>
          <w:sz w:val="20"/>
        </w:rPr>
        <w:t xml:space="preserve">” for further information on the Group’s management of financial risks.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non-financial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works actively on systematic and practical occupational health and safety activities and the goal is a safe workplace with a high level of employee attendance and zero accidents. The Group also works actively on equality and issues of equal treatment together with an updated equal treatment policy. In Sweden, there are collective agreements signed with Livsmedelsföretagen and Livsmedelsarbetareförbundet, Unionen, Sveriges Ingenjörer and Ledarna.</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Operations subject to permits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Group's operations in Landskrona, Sweden are licensable under the Environmental Assessment Ordinance (SFS 2013:251): 15.90-i and 90.15-i. The B license becomes mandatory when production exceeds 75,000 tons per calendar year and for the handling of treatment for the operation’s process wastewater. The operations are conducted by Oatly Sweden Operations &amp; Supply AB, which holds the necessary permits.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December 2020, the Group has used the existing license to conduct existing and expanded operations in the form of 200,000 tons of product per calendar year. The license also covers the construction and operation of a waste treatment plant for the operation’s processed wastewater. The initial license to discharge processed wastewater to the municipal wastewater treatment plant has now expired and all processed wastewater has been treated in the Company’s own wastewater treatment plant since 22 December, 2021. The processed wastewater is discharged to the municipal treatment plant “Lundåkrabassängen” in accordance with the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2024, the operations applied for an amendment to the existing permit concerning modified fuel usage in accordance with Chapter 16, Section 2a of the Swedish Environmental Code, a so-called amendment permit. The County Administrative Board decided on January 10, 2024, that the planned change in the operations would not result in any significant environmental impact. The amendment permit was issued on October 3, 2024, and grants the operations the right to handle, store, and use the fuel type wood powder (wood pellets) for steam production, in addition to the previously approved fuel types. The amendment permit was utilized on October 24, 2024, and is subject to relevant associated conditions, which the operations comply with.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Group also has operations subject to permits in the US, the Netherlands and China related to the carried-out production.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2024, all operating licenses, permits, and other authorizations are approved for current operations in Millville (US). Millville has the necessary FDA Food Facility Registration, registration number and the Certificate of Registration for Food Establishment from the Department of Health New Jersey.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Millville has the following licenses: Air Permit License for Oats silo, a General Air Permit, Air permit for Multi-cracker which is valid until March 2028, Waste Water Discharge permit NJDEP until February 2030, Vegetative Waste permit for sludge and Oat-fiber waste, Boiler Operation Permit, Storm Water permit. For 2024, Millville completed their BRC unannounced audit in July 2024 (no non-conformance with AA+ rating).</w:t>
      </w:r>
    </w:p>
    <w:p>
      <w:pPr>
        <w:pStyle w:val="TextBody"/>
        <w:bidi w:val="0"/>
        <w:spacing w:before="240" w:after="283"/>
        <w:jc w:val="both"/>
        <w:rPr>
          <w:rFonts w:ascii="Times New Roman" w:hAnsi="Times New Roman"/>
          <w:sz w:val="20"/>
        </w:rPr>
      </w:pPr>
      <w:r>
        <w:rPr>
          <w:rFonts w:ascii="Times New Roman" w:hAnsi="Times New Roman"/>
          <w:color w:val="000000"/>
          <w:sz w:val="20"/>
        </w:rPr>
        <w:t>In 2024 Ogden (US) had the necessary FDA Food Facility Registration, FCE (Food Canning Establishment) registration number and the Certificate of Registration for Food Establishment from the Department of Agriculture and Food, State of Utah. For 2024, Ogden will keep these registrations and YYF will apply for their own relevant registrations from the FDA and the State of Utah. As of March 1, 2023, YYF will be responsible for maintaining the required wastewater &amp; air permit licenses for Ogden and Oatly will not maintain any such permits or licenses</w:t>
      </w:r>
      <w:r>
        <w:rPr>
          <w:rFonts w:ascii="Times New Roman" w:hAnsi="Times New Roman"/>
          <w:color w:val="FF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Ogden completed their BRC audit in December 2023 (no non-conformances with AA+ rating). The last audit was completed in January 2025 (no non-conformances with AA rating).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Landskrona (Sweden) and Vlissingen (Netherlands) hold approved licenses, permits and other authorizations required to support existing operations and anticipated growth. The renewed BRC certificate for Landskrona was obtained in April 2024. The latest audit was conducted in March 2025 with an approved result. The current certificate expires May 2027. The organic certification was renewed until January 31, 2027. Vlissingen received a renewed BRC certificate in July 2024 and the latest audit audit was conducted in June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2025 with an approved result. The current certificate expires on August 23, 2026. Vlissingen has also renewed its Organic, Kosher, Halal, and GMP+ certifications, which are valid until 2026-2028, with upcoming audits in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Ma’anshan Factory (China) obtained the production license in September 2021 that will be effective for five years. In November 2023, the Ma’anshan Factory updated the production license for new categories expansion including coffee beverages and vegetable cream. The license will be effective for five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Ma’anshan Factory passed BRCGS renewal audit in November 2024 and FSSC22000 renewal audit in October 2024. The Ma’anshan Factory obtained the certificate of export food production enterprise in 2023 which will be long-term effective. Further, the Ma’anshan Factory obtained the EU organic certificate and China organic certificate for organic oatmilk that will be effective until August and September 2026. Maanshan Factory obtained the certificate of JAKIM HALAL for Oat Milk Deluxe and Oat Drink Barista Edition in September 2024 which will be effective until September 2027.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Environmental impact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Sustainability is at the core of the Group's business. The Group's vision is to be a company that leads a global movement to reduce human consumption of cow’s milk. In general, oatmilk leads to fewer greenhouse gas emissions compared to cow’s milk. Specifically, based on certain product-level calculations commissioned in Europe and on additional studies, the Group generally see that oatmilk products have a significantly lower climate (CO2equivalent) impact relative to comparable dairy products.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Sustainability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sustainability report is separately published at www.oatly.com.The report gives an account of the Group's overall work on pursuing a greater transformation of society, linked above all to production and consumption of plant-based food and drink.</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Sales, earnings and financial position, Group</w:t>
      </w:r>
      <w:r>
        <w:rPr>
          <w:rFonts w:ascii="Times New Roman" w:hAnsi="Times New Roman"/>
          <w:color w:val="000000"/>
          <w:sz w:val="20"/>
        </w:rPr>
        <w:t xml:space="preserve"> </w:t>
      </w:r>
    </w:p>
    <w:p>
      <w:pPr>
        <w:pStyle w:val="TextBody"/>
        <w:bidi w:val="0"/>
        <w:jc w:val="left"/>
        <w:rPr/>
      </w:pPr>
      <w:r>
        <w:rPr/>
        <w:t> </w:t>
      </w:r>
    </w:p>
    <w:tbl>
      <w:tblPr>
        <w:tblW w:w="6928" w:type="dxa"/>
        <w:jc w:val="left"/>
        <w:tblInd w:w="0" w:type="dxa"/>
        <w:tblLayout w:type="fixed"/>
        <w:tblCellMar>
          <w:top w:w="28" w:type="dxa"/>
          <w:left w:w="28" w:type="dxa"/>
          <w:bottom w:w="28" w:type="dxa"/>
          <w:right w:w="28" w:type="dxa"/>
        </w:tblCellMar>
      </w:tblPr>
      <w:tblGrid>
        <w:gridCol w:w="2581"/>
        <w:gridCol w:w="146"/>
        <w:gridCol w:w="146"/>
        <w:gridCol w:w="841"/>
        <w:gridCol w:w="271"/>
        <w:gridCol w:w="146"/>
        <w:gridCol w:w="146"/>
        <w:gridCol w:w="841"/>
        <w:gridCol w:w="271"/>
        <w:gridCol w:w="146"/>
        <w:gridCol w:w="146"/>
        <w:gridCol w:w="931"/>
        <w:gridCol w:w="31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Group (TUSD)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783,348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787,197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803,980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1,116,971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Equity/asset ratio*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number of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Total equity as a percentage of total assets.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Proposed appropriation of profits</w:t>
      </w:r>
    </w:p>
    <w:tbl>
      <w:tblPr>
        <w:tblW w:w="8185" w:type="dxa"/>
        <w:jc w:val="left"/>
        <w:tblInd w:w="0" w:type="dxa"/>
        <w:tblLayout w:type="fixed"/>
        <w:tblCellMar>
          <w:top w:w="28" w:type="dxa"/>
          <w:left w:w="28" w:type="dxa"/>
          <w:bottom w:w="28" w:type="dxa"/>
          <w:right w:w="28" w:type="dxa"/>
        </w:tblCellMar>
      </w:tblPr>
      <w:tblGrid>
        <w:gridCol w:w="6286"/>
        <w:gridCol w:w="146"/>
        <w:gridCol w:w="146"/>
        <w:gridCol w:w="1396"/>
        <w:gridCol w:w="2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Board of Directors proposes that profits available for disposal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premium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13,254,909,930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(840,890,998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(6,888,177,397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(7,488,762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5,518,352,773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 appropriated as follows to be carried 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5,518,352,773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Group’s and Parent Company’s results and financial position in general are shown in the following income statements, balance sheets and cash-flow statement with associated Notes.</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08"/>
        <w:gridCol w:w="146"/>
        <w:gridCol w:w="146"/>
        <w:gridCol w:w="316"/>
        <w:gridCol w:w="146"/>
        <w:gridCol w:w="146"/>
        <w:gridCol w:w="146"/>
        <w:gridCol w:w="1141"/>
        <w:gridCol w:w="166"/>
        <w:gridCol w:w="146"/>
        <w:gridCol w:w="146"/>
        <w:gridCol w:w="1141"/>
        <w:gridCol w:w="211"/>
      </w:tblGrid>
      <w:tr>
        <w:trPr/>
        <w:tc>
          <w:tcPr>
            <w:tcW w:w="6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(587,174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share, attributable to shareholders of the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ADS, attributable to shareholder of the parent (1 ADS representing 20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607,525,897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596,886,163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 of comprehensive loss</w:t>
      </w:r>
    </w:p>
    <w:tbl>
      <w:tblPr>
        <w:tblW w:w="10205" w:type="dxa"/>
        <w:jc w:val="left"/>
        <w:tblInd w:w="0" w:type="dxa"/>
        <w:tblLayout w:type="fixed"/>
        <w:tblCellMar>
          <w:top w:w="28" w:type="dxa"/>
          <w:left w:w="28" w:type="dxa"/>
          <w:bottom w:w="28" w:type="dxa"/>
          <w:right w:w="28" w:type="dxa"/>
        </w:tblCellMar>
      </w:tblPr>
      <w:tblGrid>
        <w:gridCol w:w="6785"/>
        <w:gridCol w:w="246"/>
        <w:gridCol w:w="451"/>
        <w:gridCol w:w="146"/>
        <w:gridCol w:w="146"/>
        <w:gridCol w:w="841"/>
        <w:gridCol w:w="166"/>
        <w:gridCol w:w="146"/>
        <w:gridCol w:w="146"/>
        <w:gridCol w:w="841"/>
        <w:gridCol w:w="291"/>
      </w:tblGrid>
      <w:tr>
        <w:trPr/>
        <w:tc>
          <w:tcPr>
            <w:tcW w:w="678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year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that may be subsequently reclassified to consolidated statement of operations (net of tax):</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Exchange differences from translation of foreign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that will not be subsequently reclassified to consolidated statement of operations (net of tax):</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changes on Convertible Notes attributable to changes in credit risk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income/(loss) for the year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year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(243,257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 of financial position</w:t>
      </w:r>
    </w:p>
    <w:tbl>
      <w:tblPr>
        <w:tblW w:w="7906" w:type="dxa"/>
        <w:jc w:val="left"/>
        <w:tblInd w:w="0" w:type="dxa"/>
        <w:tblLayout w:type="fixed"/>
        <w:tblCellMar>
          <w:top w:w="28" w:type="dxa"/>
          <w:left w:w="28" w:type="dxa"/>
          <w:bottom w:w="28" w:type="dxa"/>
          <w:right w:w="28" w:type="dxa"/>
        </w:tblCellMar>
      </w:tblPr>
      <w:tblGrid>
        <w:gridCol w:w="4201"/>
        <w:gridCol w:w="146"/>
        <w:gridCol w:w="616"/>
        <w:gridCol w:w="146"/>
        <w:gridCol w:w="146"/>
        <w:gridCol w:w="991"/>
        <w:gridCol w:w="166"/>
        <w:gridCol w:w="146"/>
        <w:gridCol w:w="146"/>
        <w:gridCol w:w="99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504,854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299,126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787,197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803,980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contributed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(1,249,303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attributable to shareholders of the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162,797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535,060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697,857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787,197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803,980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 of changes in equity</w:t>
      </w:r>
    </w:p>
    <w:p>
      <w:pPr>
        <w:pStyle w:val="TextBody"/>
        <w:bidi w:val="0"/>
        <w:jc w:val="left"/>
        <w:rPr/>
      </w:pPr>
      <w:r>
        <w:rPr/>
        <w:t> </w:t>
      </w:r>
    </w:p>
    <w:tbl>
      <w:tblPr>
        <w:tblW w:w="12508" w:type="dxa"/>
        <w:jc w:val="left"/>
        <w:tblInd w:w="0" w:type="dxa"/>
        <w:tblLayout w:type="fixed"/>
        <w:tblCellMar>
          <w:top w:w="28" w:type="dxa"/>
          <w:left w:w="28" w:type="dxa"/>
          <w:bottom w:w="28" w:type="dxa"/>
          <w:right w:w="28" w:type="dxa"/>
        </w:tblCellMar>
      </w:tblPr>
      <w:tblGrid>
        <w:gridCol w:w="1396"/>
        <w:gridCol w:w="146"/>
        <w:gridCol w:w="146"/>
        <w:gridCol w:w="316"/>
        <w:gridCol w:w="146"/>
        <w:gridCol w:w="146"/>
        <w:gridCol w:w="154"/>
        <w:gridCol w:w="447"/>
        <w:gridCol w:w="146"/>
        <w:gridCol w:w="146"/>
        <w:gridCol w:w="227"/>
        <w:gridCol w:w="539"/>
        <w:gridCol w:w="166"/>
        <w:gridCol w:w="146"/>
        <w:gridCol w:w="146"/>
        <w:gridCol w:w="931"/>
        <w:gridCol w:w="166"/>
        <w:gridCol w:w="146"/>
        <w:gridCol w:w="146"/>
        <w:gridCol w:w="841"/>
        <w:gridCol w:w="166"/>
        <w:gridCol w:w="146"/>
        <w:gridCol w:w="146"/>
        <w:gridCol w:w="991"/>
        <w:gridCol w:w="166"/>
        <w:gridCol w:w="146"/>
        <w:gridCol w:w="151"/>
        <w:gridCol w:w="870"/>
        <w:gridCol w:w="166"/>
        <w:gridCol w:w="146"/>
        <w:gridCol w:w="256"/>
        <w:gridCol w:w="1005"/>
        <w:gridCol w:w="166"/>
        <w:gridCol w:w="146"/>
        <w:gridCol w:w="146"/>
        <w:gridCol w:w="841"/>
        <w:gridCol w:w="21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5"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Attributable to shareholders of the parent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contributed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reserves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attributable to shareholders of the parent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(1,060,952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335,781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(243,257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(1,249,303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Redemption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U.S.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1,641,601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(1,397,805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1"/>
        <w:bidi w:val="0"/>
        <w:spacing w:before="240" w:after="120"/>
        <w:jc w:val="left"/>
        <w:rPr>
          <w:rFonts w:ascii="Times New Roman" w:hAnsi="Times New Roman"/>
          <w:color w:val="000000"/>
          <w:sz w:val="20"/>
        </w:rPr>
      </w:pPr>
      <w:r>
        <w:rPr>
          <w:rFonts w:ascii="Times New Roman" w:hAnsi="Times New Roman"/>
          <w:color w:val="000000"/>
          <w:sz w:val="20"/>
        </w:rPr>
        <w:t>Consolidated statement of cash flows</w:t>
      </w:r>
    </w:p>
    <w:tbl>
      <w:tblPr>
        <w:tblW w:w="10205" w:type="dxa"/>
        <w:jc w:val="left"/>
        <w:tblInd w:w="0" w:type="dxa"/>
        <w:tblLayout w:type="fixed"/>
        <w:tblCellMar>
          <w:top w:w="28" w:type="dxa"/>
          <w:left w:w="28" w:type="dxa"/>
          <w:bottom w:w="28" w:type="dxa"/>
          <w:right w:w="28" w:type="dxa"/>
        </w:tblCellMar>
      </w:tblPr>
      <w:tblGrid>
        <w:gridCol w:w="6244"/>
        <w:gridCol w:w="146"/>
        <w:gridCol w:w="261"/>
        <w:gridCol w:w="565"/>
        <w:gridCol w:w="146"/>
        <w:gridCol w:w="146"/>
        <w:gridCol w:w="146"/>
        <w:gridCol w:w="841"/>
        <w:gridCol w:w="166"/>
        <w:gridCol w:w="146"/>
        <w:gridCol w:w="146"/>
        <w:gridCol w:w="841"/>
        <w:gridCol w:w="411"/>
      </w:tblGrid>
      <w:tr>
        <w:trPr/>
        <w:tc>
          <w:tcPr>
            <w:tcW w:w="6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Depreciation of property, plant and equipment and right-of-use assets and 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of property, plant and equipment and right-of-use assets and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loss/(gain)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Write-down of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Movements in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(Gain)/Loss on disposal of property, plant and equipment and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related to closure of production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related to closure of production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(Increase)/decrease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Decrease/(increase) in trade receivables, other current receivables,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Increase/(decrease) in trade payables, other current liabilities,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flows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(114,428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in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issue of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U.S.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loan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Cash flows from/(used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(decrease)/increase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(150,967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Exchange rate differences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Cash and cash equivalents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98,923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120"/>
        <w:jc w:val="left"/>
        <w:rPr>
          <w:rFonts w:ascii="Times New Roman" w:hAnsi="Times New Roman"/>
          <w:sz w:val="20"/>
        </w:rPr>
      </w:pPr>
      <w:r>
        <w:rPr>
          <w:rFonts w:ascii="Times New Roman" w:hAnsi="Times New Roman"/>
          <w:color w:val="000000"/>
          <w:sz w:val="20"/>
        </w:rPr>
        <w:t>Notes to the consolidated financial statements</w:t>
        <w:br/>
      </w:r>
      <w:r>
        <w:rPr>
          <w:rFonts w:ascii="Times New Roman" w:hAnsi="Times New Roman"/>
          <w:b w:val="false"/>
          <w:color w:val="000000"/>
          <w:sz w:val="20"/>
        </w:rPr>
        <w:t xml:space="preserve">(in thousands of U.S. dollars unless otherwise stated) </w:t>
        <w:br/>
      </w:r>
      <w:r>
        <w:rPr>
          <w:rFonts w:ascii="Times New Roman" w:hAnsi="Times New Roman"/>
          <w:color w:val="000000"/>
          <w:sz w:val="2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40" w:after="283"/>
        <w:jc w:val="both"/>
        <w:rPr>
          <w:rFonts w:ascii="Times New Roman" w:hAnsi="Times New Roman"/>
          <w:sz w:val="20"/>
        </w:rPr>
      </w:pPr>
      <w:r>
        <w:rPr>
          <w:rFonts w:ascii="Times New Roman" w:hAnsi="Times New Roman"/>
          <w:color w:val="000000"/>
          <w:sz w:val="20"/>
        </w:rPr>
        <w:t>These financial statements are consolidated financial statements for the Group consisting of Oatly Group AB (publ) and its subsidiaries. A list of the principal subsidiaries is included in Note 14 “</w:t>
      </w:r>
      <w:r>
        <w:rPr>
          <w:rFonts w:ascii="Times New Roman" w:hAnsi="Times New Roman"/>
          <w:i/>
          <w:color w:val="000000"/>
          <w:sz w:val="20"/>
        </w:rPr>
        <w:t>Investments in subsidiaries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Oatly Group AB (publ) (the “Company” or the “parent”) is a public limited company incorporated and domiciled in Sweden.</w:t>
        <w:br/>
        <w:t xml:space="preserve">The Company’s registered office is located at Ångfärjekajen 8, 211 19 Malmö, Sweden.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Oatly Group AB (publ) and its subsidiaries (together, the “Group”) manufacture, distribute and sell oat-based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consolidated financial statements were authorized for issue by the Board of Directors on April 22, 2026. The Consolidated Income Statement and Consolidated Balance Sheet and the income statement and balance sheet for the Parent Company will be submitted to the Annual General Meeting on May 20, 2026, for approval.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Summary of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principal accounting policies applied in the preparation of these consolidated financial statements are set out below. These policies have been consistently applied unless otherwise stated. All amounts are in thousands of U.S. dollars unless otherwise stated. All references in these financial statements to “$” or “USD” are to U.S. dollars, all references to “SEK” are to Swedish Kronor, all references to “€” or “EUR” are to Euro and all references to “CNY” are to Chinese Yuan.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18, 2025, the Company completed a ratio change whereby the ratio of the Company’s American Depositary Shares (“ADSs”) to ordinary shares was changed from one ADS representing one ordinary share to one ADS representing twenty ordinary shares (the “ADS Ratio Change”). All numbers in these consolidated financial statements, including references to price per ADS and a specific number of ADSs, restricted stock units (“RSUs”) or stock options, reflect an ADS to ordinary share ratio of 1:20 (unless the context clearly indicates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functional currency of the Parent Company is SEK. All amounts are in thousands of SEK for the financial statements of the Parent Company unless otherwise stated. All references in these financial statements to “$” or “USD” are to U.S. dollars, all references to “SEK” are to Swedish Kronor, all references to “€” or “EUR” are to Euro and all references to “CNY” are to Chinese Yuan.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of preparation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consolidated financial statements of Oatly Group AB (publ) have been prepared in accordance with IFRS® Accounting Standards as issued by the International Accounting Standards Board (“IFRS Accounting standards”).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has prepared the consolidated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w:t>
      </w:r>
    </w:p>
    <w:p>
      <w:pPr>
        <w:pStyle w:val="TextBody"/>
        <w:bidi w:val="0"/>
        <w:spacing w:before="240" w:after="283"/>
        <w:jc w:val="both"/>
        <w:rPr>
          <w:rFonts w:ascii="Times New Roman" w:hAnsi="Times New Roman"/>
          <w:sz w:val="20"/>
        </w:rPr>
      </w:pPr>
      <w:r>
        <w:rPr>
          <w:rFonts w:ascii="Times New Roman" w:hAnsi="Times New Roman"/>
          <w:color w:val="000000"/>
          <w:sz w:val="20"/>
        </w:rPr>
        <w:t>The preparation of the consolidated financial statements in conformity with IFRS Accounting standards requires the use of certain critical accounting estimates. It also requires management to exercise its judgment in the process of applying the accounting policies. The areas involving a higher degree of judgment or complexity, or areas where assumptions and estimates are significant to the consolidated financial statements are disclosed in Note 4 “</w:t>
      </w:r>
      <w:r>
        <w:rPr>
          <w:rFonts w:ascii="Times New Roman" w:hAnsi="Times New Roman"/>
          <w:i/>
          <w:color w:val="000000"/>
          <w:sz w:val="20"/>
        </w:rPr>
        <w:t>Significant accounting judgments estimates and assessments</w:t>
      </w:r>
      <w:r>
        <w:rPr>
          <w:rFonts w:ascii="Times New Roman" w:hAnsi="Times New Roman"/>
          <w:color w:val="000000"/>
          <w:sz w:val="20"/>
        </w:rPr>
        <w:t xml:space="preserve">”. The consolidated financial statements have been prepared using the cost method except for derivative instruments and Convertible Notes measured at fair value. </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New standards and interpretations issued not yet effective</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IFRS 18 - Presentation and Disclosure in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financing, income taxes and discontinued operations, whereof the first three are new. It also requires disclosure of newly defined management-defined performance measures, subtotals of income and expenses, and includes new requirements for aggregation and disaggregation of financial information based on the identified “roles” of the primary financial statements and the notes. In addition, narrow-scope amendments have been made to IAS 7 Statement of Cash Flows, which include changing the starting point for determining cash flows from operations under the indirect method, from “profit or loss” to “operating profit or loss” and removing the optionality around classification of cash flows from dividends and interest. In addition, there are consequential amendments to several other standards. IFRS 18, and the amendments to the other standards, is effective for reporting periods beginning on or after 1 January 2027, but earlier application is permitted and must be disclosed. IFRS 18 will apply retrospectively. The Group is currently working to identify all impacts the amendments will have on the primary financial statements and notes to the financial statements.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Classification and Measurement of Financial Instruments - Amendments to IFRS 9 and IFRS 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2024, the IASB issued amendments to IFRS 9 and IFRS 7, Amendments to the Classification and Measurement of Financial Instruments. The amendments clarify that a financial liability is derecognized on the “settlement date” which is when the related obligation is discharged, canceled, expired or the liability otherwise qualifies for derecognition. The amendments also clarify how to assess the contractual cash flow characteristics of financial assets that include environmental, social and governance (“ESG”)-linked features and other similar contingent features, and the treatment of non-recourse assets and contractually linked instruments. In addition, the amendments require additional disclosures in IFRS 7 for financial assets and liabilities with contractual terms that reference a contingent event (including those that are ESG-linked), and equity instruments classified at fair value through other comprehensive income. The amendments will be effective for annual reporting periods beginning on or after January 1, 2026, but earlier application is permitted. The Group does not expect these amendments to have a material impact to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other new or amended standards that are expected to have a material impact on the Group in the current or future reporting periods nor on foreseeable future transactions.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of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Subsidiaries are all companies over which the Group has control. The Group has control over a company when it is exposed to or has a right to variable returns from its participation in the company and has the possibility to influence the return through its participation in the company. Subsidiaries are consolidated from the date on which control is transferred to the Group. They are deconsolidated from the date that control ceases.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operating segments are reported in a manner consistent with the internal reporting provided to the chief operating decision maker. The Chief Executive Officer is the chief operating decision maker and evaluates financial position and performance and makes strategic decisions. The Chief Executive Officer monitors the Group’s performance from a geographic perspective through the reportable segments Europe &amp; International, Greater China and North America. No operating segments have been aggregated to form the reportable segments.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Chief Executive Officer primarily uses a measure of earnings before interest, tax, depreciation and amortization for the period adjusted to exclude, when applicable, income tax expense, finance expenses, finance income, depreciation and amortization expense, share-based compensation expense, restructuring costs, cost related to the strategic review of the Greater China business, expenses related to a new product launch issue, impacts related to discontinued construction of production facilities, impacts related to closure of production facility, and non-controlling interests (“Adjusted EBITDA”), to assess the performance of the operating segments.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Foreign currency translation</w:t>
      </w:r>
    </w:p>
    <w:p>
      <w:pPr>
        <w:pStyle w:val="Heading2"/>
        <w:bidi w:val="0"/>
        <w:spacing w:before="240" w:after="120"/>
        <w:jc w:val="left"/>
        <w:rPr>
          <w:rFonts w:ascii="Times New Roman" w:hAnsi="Times New Roman"/>
          <w:sz w:val="20"/>
        </w:rPr>
      </w:pPr>
      <w:r>
        <w:rPr>
          <w:rFonts w:ascii="Times New Roman" w:hAnsi="Times New Roman"/>
          <w:i/>
          <w:color w:val="000000"/>
          <w:sz w:val="20"/>
        </w:rPr>
        <w:t>Functional currency and presentation currency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entities in the Group have the local currency as their functional currency, as the local currency has been defined as the primary economic environment in which each entity operates. The Group’s presentation currency is U.S. dollars. The parent company presents its financial statements in Swedish kronor (SEK).</w:t>
      </w:r>
    </w:p>
    <w:p>
      <w:pPr>
        <w:pStyle w:val="Heading2"/>
        <w:bidi w:val="0"/>
        <w:spacing w:before="240" w:after="120"/>
        <w:jc w:val="left"/>
        <w:rPr>
          <w:rFonts w:ascii="Times New Roman" w:hAnsi="Times New Roman"/>
          <w:sz w:val="20"/>
        </w:rPr>
      </w:pPr>
      <w:r>
        <w:rPr>
          <w:rFonts w:ascii="Times New Roman" w:hAnsi="Times New Roman"/>
          <w:i/>
          <w:color w:val="000000"/>
          <w:sz w:val="20"/>
        </w:rPr>
        <w:t>Transactions and balances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transactions are translated into the functional currency using the exchange rates prevailing on the transaction dates. Foreign exchange rate profits and losses from the settlement of such transactions and the translation of monetary assets and liabilities in foreign currencies using the exchange rates prevailing at the reporting date are recognized in operating loss in the consolidated statement of operations.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exchange rate profits and losses attributable to the financing of the Group are recognized in the consolidated statement of operations as finance income and finance expenses. All other foreign exchange rate profits and losses are recognized under other operating income and (expenses), net. </w:t>
      </w:r>
    </w:p>
    <w:p>
      <w:pPr>
        <w:pStyle w:val="Heading2"/>
        <w:bidi w:val="0"/>
        <w:spacing w:before="240" w:after="120"/>
        <w:jc w:val="left"/>
        <w:rPr>
          <w:rFonts w:ascii="Times New Roman" w:hAnsi="Times New Roman"/>
          <w:sz w:val="20"/>
        </w:rPr>
      </w:pPr>
      <w:r>
        <w:rPr>
          <w:rFonts w:ascii="Times New Roman" w:hAnsi="Times New Roman"/>
          <w:i/>
          <w:color w:val="000000"/>
          <w:sz w:val="20"/>
        </w:rPr>
        <w:t>Translation of foreign group companies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and financial position for all companies with a functional currency other than the presentation currency are translated into the Group’s reporting currency. Assets and liabilities are translated from the foreign operation’s functional currency to the Group’s reporting currency using the exchange rates prevailing at the reporting date. Income and expenses for each consolidated statement of operations and consolidated statement of comprehensive loss are translated to USD using the average exchange rate for the period. Foreign exchange differences arising from the currency translation of foreign operations are recognized in other comprehensive loss. Goodwill and fair value adjustments arising from the acquisition of foreign operations are treated as assets and liabilities in these operations and are translated to the reporting currency using the exchange rate at the reporting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consolidated accounts, exchange rate differences attributable to monetary items that form part of the net investment in foreign operations are recognized in other comprehensive loss and are reclassified from equity to the consolidated statement of operations when the foreign operation is divested in whole or in part.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principles for recognition of revenue from customer contracts are presented below. </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Sale of goods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from contracts with customers consists of sales of goods. Revenue from the sale of goods is recognized at the point in time when control of goods has transferred to the customer, being when the products are delivered to the customer, the customer has full discretion over the channel to sell the goods, and there is no unfulfilled obligation that could affect the customer’s acceptance of the goods. Delivery occurs when the products are shipped to the specific location, the risks of obsolescence and loss have been transferred to the customer and either the customer has accepted the products in accordance with the sales contract or the Group has objective evidence that all criteria for acceptance have been satisfied.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from contracts with customers is measured at an amount that reflects the consideration to which the Group expects to be entitled in exchange for those goods. Presented revenue excludes VAT and other sales taxes. The Group considers if contracts include other promises that constitute separate performance obligations to which a portion of the transaction price needs to be allocated. The Group considers the effects of variable consideration in determining the transaction price. The Group is acting as principal in its revenue arrangements because the Group maintains control of the goods until they are transferred to the customers.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Variable consideration and other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transaction price is adjusted for estimates of known or expected variable consideration, which includes, but is not limited to, trade promotion activities, slotting and listing fees, cash discounts, product returns, and penalties. Variable consideration is recorded as a reduction to revenue based on amounts the Group expects to be liable for. Estimates of variable consideration are based on a number of factors, including current contract sales terms and estimated units sold. Estimates are reviewed regularly until the incentives or product returns are realized and the impact of any adjustments are recognized in the period the adjustments are identified.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accounts for consideration payable to a customer as a reduction of the transaction, unless the payment to the customer is in exchange for a distinct good or service that the customer transfers to the Group.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Contract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incurs expenses for sales commissions to third parties to obtain customer contracts. Sales commissions are recognized in the consolidated statement of operations, in selling, general and administration expenses. The Group applies the practical expedient that permits the Group to expense the costs to obtain a contract as incurred when the expected amortization period is one year or less.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goods sold consists primarily of the cost of oats and other raw materials, product packaging, co-manufacturing fees, direct labor and associated overhead costs and property, plant and equipment depreciation. Cost of goods sold also includes warehousing and transportation of inventory.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expenses consist primarily of personnel related expenses for research and development staff, including salaries, benefits and bonuses, but also third-party consultancy fees and expenses incurred related to product trial runs. Research and development efforts are focused on enhancements to existing product formulations and production processes in addition to the development of new products. </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Selling, general and administrative expenses include primarily personnel related expenses, brand 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Customer distribution costs for the year ended December 31, 2025 amounted to $56.6 million (2024: $50.7 million) Selling, general and administrative expenses also include auditor fees and other third-party consultancy fees, expenses related to management, finance and accounting, information technology, human resources and other office functions. </w:t>
      </w:r>
    </w:p>
    <w:p>
      <w:pPr>
        <w:pStyle w:val="Heading2"/>
        <w:bidi w:val="0"/>
        <w:spacing w:before="120" w:after="120"/>
        <w:jc w:val="left"/>
        <w:rPr>
          <w:rFonts w:ascii="Times New Roman" w:hAnsi="Times New Roman"/>
          <w:i/>
          <w:color w:val="000000"/>
          <w:sz w:val="20"/>
        </w:rPr>
      </w:pPr>
      <w:r>
        <w:rPr>
          <w:rFonts w:ascii="Times New Roman" w:hAnsi="Times New Roman"/>
          <w:i/>
          <w:color w:val="000000"/>
          <w:sz w:val="20"/>
        </w:rPr>
        <w:t>Other operating income and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operating income and (expenses), net consists primarily of impacts related to the strategic review of the Greater China segment, closure of production facility, discontinued construction of certain production facilities, and net foreign exchange gains (losses) on operating related activities.</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Finance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Finance income primarily consists of impact from fair value changes on Convertible Notes (as defined below), interest income from cash in bank accounts and short-term deposits, and net foreign exchange gains attributable to external and internal financing arrangements. Finance income is recognized with the application of the effective interest method.</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Finance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Finance expenses primarily consists of interest expenses on loans and borrowings, other financial expenses primarily consisting of transaction costs and net foreign exchange losses attributable to external and internal financing arrangements.</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Income tax expense represents both current and deferred income tax expenses. Current tax expenses primarily represent income taxes based on income in multiple foreign jurisdictions.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Current versus non-current classification</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Group presents assets and liabilities in the consolidated statement of financial position based on current/ non-current classification. An asset is current when it is: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expected to be realized or intended to be sold or consumed in the normal operating cycle,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held primarily for the purpose of trading,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to be realized within twelve months after the reporting period,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or cash equivalent unless restricted from being exchanged or used to settle a liability for at least twelve months after the reporting period.</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All other assets are classified as non-current. A liability is current when: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it is expected to be settled in the normal operating cycle,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held primarily for the purpose of trading,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due to be settled within twelve months after the reporting period,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does not have the right at the end of the reporting period to defer settlement of the liability for at least 12 months after the reporting period.</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Group classifies all other liabilities as non-current.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Deferred tax assets and liabilities are classified as non-current assets and liabilities.</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2.7.</w:t>
      </w:r>
    </w:p>
    <w:p>
      <w:pPr>
        <w:pStyle w:val="TextBody"/>
        <w:bidi w:val="0"/>
        <w:jc w:val="both"/>
        <w:rPr>
          <w:rFonts w:ascii="Times New Roman" w:hAnsi="Times New Roman"/>
          <w:b/>
          <w:color w:val="000000"/>
          <w:sz w:val="20"/>
        </w:rPr>
      </w:pPr>
      <w:r>
        <w:rPr>
          <w:rFonts w:ascii="Times New Roman" w:hAnsi="Times New Roman"/>
          <w:b/>
          <w:color w:val="000000"/>
          <w:sz w:val="20"/>
        </w:rPr>
        <w:t>Leases</w:t>
      </w:r>
    </w:p>
    <w:p>
      <w:pPr>
        <w:pStyle w:val="Heading2"/>
        <w:bidi w:val="0"/>
        <w:spacing w:before="240" w:after="120"/>
        <w:jc w:val="left"/>
        <w:rPr>
          <w:rFonts w:ascii="Times New Roman" w:hAnsi="Times New Roman"/>
          <w:sz w:val="20"/>
        </w:rPr>
      </w:pPr>
      <w:r>
        <w:rPr>
          <w:rFonts w:ascii="Times New Roman" w:hAnsi="Times New Roman"/>
          <w:i/>
          <w:color w:val="000000"/>
          <w:sz w:val="20"/>
        </w:rPr>
        <w:t>As lessee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Group’s leases pertain to land and buildings, and plant and machinery. Contracts may contain both lease and non-lease components. The Group allocates the consideration in the contract to the lease and non-lease components based on their relative stand-alone prices. Lease terms are negotiated on an individual basis and contain a wide range of different terms and conditions. The lease agreements do not impose any covenants other than the security interests in the leased assets that are held by the lessor. Leased assets may not be used as security for borrowing purposes.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Leases are recognized as a right-of-use asset and a corresponding liability at the date at which the leased asset is available for use by the Group. Liabilities arising from a lease are initially measured on a present value basis.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Lease liabilities include the net present value of the following lease payments: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fixed payments (including in-substance fixed payments), less any lease incentives receivable variable lease payment that are based on an index or a rate, initially measured using the index or rate as at the commencement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expected to be payable by the Group under residual value guarantees,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exercise price of a purchase option if the Group is reasonably certain to exercise that option,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payments of penalties for terminating the lease, if the lease term reflects the Group exercising that option.</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Lease payments to be made under reasonably certain extension options are also included in the measurement of the liability. The lease payments are discounted using the interest rate implicit in the lease. If that rate cannot be readily determined, which is the case for leases in the Group, the lessee’s incremental borrowing rate is used, which is the rate that the individual lessee would have to pay to borrow the funds necessary to obtain an asset of similar value to the right-of-use asset in a similar economic environment with similar terms, security, and conditions.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To determine the incremental borrowing rate, the Group: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uses a build-up approach that starts with a risk-free interest rate adjusted for credit risk,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makes adjustments specific to the lease, e.g., term, country, currency and security.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Group is exposed to potential future increases in variable lease payments based on an index or rate, which are not included in the lease liability until they take effect. When adjustments to lease payments based on an index or rate take effect, the lease liability is reassessed and adjusted against the right-of-use asset. Lease payments are allocated between principal and finance cost. The finance cost is charged to profit or loss over the lease period so as to produce a constant periodic rate of interest on the remaining balance of the liability for each period.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Right-of-use assets are measured at cost comprising the 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amount of the initial measurement of lease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lease payments made at or before the commencement date less any lease incentives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initial direct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restoration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extension options.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Right-of-use assets are generally depreciated over the shorter of the asset’s useful life and the lease term on a straight-line basis. If the Group is reasonably certain to exercise a purchase option, the right-of-use asset is depreciated over the underlying asset’s useful life. Payments associated with short-term leases and leases of low-value assets are recognized on a straight-line basis as an expense in profit or loss. Short-term leases are leases with a lease term of 12 months or less.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2.8.</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Taxes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Current income tax</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Current income tax is recognized in the consolidated statement of operations except for tax attributable to items that are recognized in other comprehensive loss or directly in equity. In such cases, tax is also recognized in other comprehensive loss and equity, respectively.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Management periodically evaluates positions taken in the tax returns with respect to situations in which applicable tax regulations are subject to interpretation and establishes provisions where appropriate. </w:t>
      </w:r>
    </w:p>
    <w:p>
      <w:pPr>
        <w:pStyle w:val="Heading2"/>
        <w:bidi w:val="0"/>
        <w:spacing w:before="120" w:after="120"/>
        <w:jc w:val="left"/>
        <w:rPr>
          <w:rFonts w:ascii="Times New Roman" w:hAnsi="Times New Roman"/>
          <w:i/>
          <w:color w:val="000000"/>
          <w:sz w:val="20"/>
        </w:rPr>
      </w:pPr>
      <w:r>
        <w:rPr>
          <w:rFonts w:ascii="Times New Roman" w:hAnsi="Times New Roman"/>
          <w:i/>
          <w:color w:val="000000"/>
          <w:sz w:val="20"/>
        </w:rPr>
        <w:t>Deferred Tax</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Deferred tax is recognized for all temporary differences that arise between the taxable value of assets and liabilities and their carrying values in the consolidated financial statements. Deferred tax is measured at the tax rates that are expected to be applied to temporary differences when they reverse, using tax rates enacted or substantively enacted at the reporting date. The measurement of deferred tax reflects the tax consequences that would follow from the manner in which the Group expects at the reporting date to recover or settle the carrying amount of its assets and liabilities.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Deferred tax assets are recognized to the extent that it is probable that there will be future taxable surpluses against which the temporary differences can be utilized.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Deferred tax assets and tax liabilities are offset when there is a legal right to offset for current tax assets and tax liabilities, and when the deferred tax assets and tax liabilities are attributable to taxes charged by the same tax authorities and are either attributable to the same tax subject or different tax subjects, where there is an intention to settle the balances through net payments.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Deferred tax relating to items recognized outside the consolidated statement of operations is recognized outside the consolidated statement of operations. Deferred tax items are recognized in correlation to the underlying transaction either in other comprehensive loss or directly in equity.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2.9.</w:t>
      </w:r>
    </w:p>
    <w:p>
      <w:pPr>
        <w:pStyle w:val="TextBody"/>
        <w:bidi w:val="0"/>
        <w:jc w:val="both"/>
        <w:rPr>
          <w:rFonts w:ascii="Times New Roman" w:hAnsi="Times New Roman"/>
          <w:b/>
          <w:color w:val="000000"/>
          <w:sz w:val="20"/>
        </w:rPr>
      </w:pPr>
      <w:r>
        <w:rPr>
          <w:rFonts w:ascii="Times New Roman" w:hAnsi="Times New Roman"/>
          <w:b/>
          <w:color w:val="000000"/>
          <w:sz w:val="20"/>
        </w:rPr>
        <w:t>Intangible assets</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Goodwill arises at the acquisition of businesses and consists of the amount by which the consideration, any non-controlling interest in the acquired company and fair value at the acquisition dates of previous shareholdings, exceeds the fair value of identifiable net assets acquired.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order to perform impairment tests, goodwill acquired in a business combination is allocated to cash generating units or groups of cash generating units that are expected to benefit with synergies from the acquisition. Each unit or group of units to which goodwill has been allocated correspond to the lowest level in the Group for which goodwill is monitored. The Group monitors goodwill at the operating segment level for internal purposes, consistent with the way it assesses performance and allocates resources. The goodwill is allocated to the Europe &amp; International segment. </w:t>
      </w:r>
    </w:p>
    <w:p>
      <w:pPr>
        <w:pStyle w:val="Heading2"/>
        <w:bidi w:val="0"/>
        <w:spacing w:before="120" w:after="120"/>
        <w:jc w:val="left"/>
        <w:rPr>
          <w:rFonts w:ascii="Times New Roman" w:hAnsi="Times New Roman"/>
          <w:i/>
          <w:color w:val="000000"/>
          <w:sz w:val="20"/>
        </w:rPr>
      </w:pPr>
      <w:r>
        <w:rPr>
          <w:rFonts w:ascii="Times New Roman" w:hAnsi="Times New Roman"/>
          <w:i/>
          <w:color w:val="000000"/>
          <w:sz w:val="20"/>
        </w:rPr>
        <w:t>Other intangible assets</w:t>
      </w:r>
    </w:p>
    <w:p>
      <w:pPr>
        <w:pStyle w:val="TextBody"/>
        <w:bidi w:val="0"/>
        <w:spacing w:before="120" w:after="120"/>
        <w:jc w:val="left"/>
        <w:rPr>
          <w:rFonts w:ascii="Times New Roman" w:hAnsi="Times New Roman"/>
          <w:sz w:val="20"/>
        </w:rPr>
      </w:pPr>
      <w:r>
        <w:rPr>
          <w:rFonts w:ascii="Times New Roman" w:hAnsi="Times New Roman"/>
          <w:i/>
          <w:color w:val="000000"/>
          <w:sz w:val="20"/>
        </w:rPr>
        <w:t>Capitalized expenditure for development activities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Expenditure for development and testing of new or significantly improved materials, products, processes or systems are recognized as an asset in the consolidated statement of financial position if the following criteria are met: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it is technically feasible to complete the asset so that it will be available for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the Group’s purpose to complete the asset so that it will be available for use 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prerequisites to make the asset available for use 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to prove how the asset is likely to generate future economic benefits,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adequate technical, economic and other resources to fulfill the development and to make the asset available for use or sale,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attributable to the asset during development can be reliably measured.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Other development costs are recognized in the consolidated statement of operations as costs are incurred. In the consolidated statement of financial position, capitalized development costs are reported at cost less accumulated depreciation and any impairment. Capitalized development expenditure is recognized as intangible assets and is depreciated from the date when the asset is ready for use. The estimated useful life is 3-5 years, which corresponds to the estimated period of time during which these assets will generate cash flows.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Development costs that do not meet these criteria are expensed as incurred. Development expenditure previously carried at cost is not recognized as an asset in a subsequent period. </w:t>
      </w:r>
    </w:p>
    <w:p>
      <w:pPr>
        <w:pStyle w:val="TextBody"/>
        <w:bidi w:val="0"/>
        <w:spacing w:before="120" w:after="120"/>
        <w:jc w:val="left"/>
        <w:rPr>
          <w:rFonts w:ascii="Times New Roman" w:hAnsi="Times New Roman"/>
          <w:sz w:val="20"/>
        </w:rPr>
      </w:pPr>
      <w:r>
        <w:rPr>
          <w:rFonts w:ascii="Times New Roman" w:hAnsi="Times New Roman"/>
          <w:i/>
          <w:color w:val="000000"/>
          <w:sz w:val="20"/>
        </w:rPr>
        <w:t>Software-as-a-Service (SaaS) arrangements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SaaS arrangements are service contracts providing the Group with the right to access the cloud provider’s application software over the contract period. As such the Group does not receive a software intangible asset at the contract commencement date. A right to receive future access to the supplier’s software does not, at the contract commencement date, give the Group the power to obtain the future economic benefits flowing from the software itself and to restrict others’ access to those benefits.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Group treats costs incurred in relation to SaaS arrangements as operating expenses over the term of the service contract or as operating expenses when the service is received, depending on the nature of the expenses incurred and whether they are distinct from the cloud computing service or not in the underlying SaaS arrangement.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There could be a variety of other costs incurred as part of the arrangement, for example development of bridging modules that connect or integrate the SaaS software with existing software/systems that may be controlled by the Group. The Group assesses such expenses to determine if they should be expensed or may qualify for capitalization as an intangible asset. </w:t>
      </w:r>
    </w:p>
    <w:p>
      <w:pPr>
        <w:pStyle w:val="TextBody"/>
        <w:bidi w:val="0"/>
        <w:spacing w:before="120" w:after="120"/>
        <w:jc w:val="left"/>
        <w:rPr>
          <w:rFonts w:ascii="Times New Roman" w:hAnsi="Times New Roman"/>
          <w:sz w:val="20"/>
        </w:rPr>
      </w:pPr>
      <w:r>
        <w:rPr>
          <w:rFonts w:ascii="Times New Roman" w:hAnsi="Times New Roman"/>
          <w:i/>
          <w:color w:val="000000"/>
          <w:sz w:val="20"/>
        </w:rPr>
        <w:t>Other intangible assets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Other intangible assets consist primarily of separately acquired trademarks and patents are recognized at historical cost. They are reported at fair value at the time of acquisition and amortized on a straight-line basis over the projected useful life. They are reported in subsequent periods at cost less accumulated amortization and impairment. The estimated useful life is 5 years, which corresponds to the estimated time these will generate cash flow.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2.10.</w:t>
      </w:r>
    </w:p>
    <w:p>
      <w:pPr>
        <w:pStyle w:val="TextBody"/>
        <w:bidi w:val="0"/>
        <w:jc w:val="both"/>
        <w:rPr>
          <w:rFonts w:ascii="Times New Roman" w:hAnsi="Times New Roman"/>
          <w:b/>
          <w:color w:val="000000"/>
          <w:sz w:val="20"/>
        </w:rPr>
      </w:pPr>
      <w:r>
        <w:rPr>
          <w:rFonts w:ascii="Times New Roman" w:hAnsi="Times New Roman"/>
          <w:b/>
          <w:color w:val="000000"/>
          <w:sz w:val="20"/>
        </w:rPr>
        <w:t>Tangible assets</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Property, plant and equipment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Property, plant and equipment consist of land, buildings and fixtures, plant and machinery and construction in progress. These are recognized at historical cost less depreciation and impairment, except for construction in progress. Construction in progress is transferred to another asset (and depreciation begins) once an asset is in the location and condition necessary for it to be capable of operating in the manner intended by management. Historical cost includes expenditure that is directly attributable to the acquisition of the items.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Subsequent costs are added to the asset’s carrying value or are recognized as a separate asset, depending on which is most suitable, only when it is probable that the future economic benefits attributable to the asset will flow to the Group and the cost of the asset can be reliably measured. The carrying value of the replaced component is derecognized from the consolidated statement of financial position. All other kinds of repairs and maintenance are recognized at cost in the consolidated statement of operations in the period in which they occur.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specific borrowing costs that are directly attributable to the acquisition, construction or production of a qualifying asset are capitalized during the period of time that is required to complete and prepare the asset for its intended use or sale. Qualifying assets are assets that necessarily take a substantial period of time to get ready for their intended use or sale. Investment income earned on the temporary investment of specific borrowings, pending their expenditure on qualifying assets, is deducted from the borrowing costs eligible for capitalization. Other borrowing costs are expensed in the period in which they are incurred.</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Depreciation of assets is calculated using the straight-line method to allocate the cost of the assets, net of their residual values, over the estimated useful life of each component of an item of buildings and plant and machinery as follows: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Buildings and fixtures 8-40 years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Plant and machinery 3-15 years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assets’ residual values and useful lives are assessed at the end of each reporting period and adjusted, if needed.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Profit or loss from disposals is established through a comparison of the proceeds from sales and carrying value and is recognized in other operating income and (expenses), net in the consolidated statement of operations.</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2.11.</w:t>
      </w:r>
    </w:p>
    <w:p>
      <w:pPr>
        <w:pStyle w:val="TextBody"/>
        <w:bidi w:val="0"/>
        <w:jc w:val="both"/>
        <w:rPr>
          <w:rFonts w:ascii="Times New Roman" w:hAnsi="Times New Roman"/>
          <w:b/>
          <w:color w:val="000000"/>
          <w:sz w:val="20"/>
        </w:rPr>
      </w:pPr>
      <w:r>
        <w:rPr>
          <w:rFonts w:ascii="Times New Roman" w:hAnsi="Times New Roman"/>
          <w:b/>
          <w:color w:val="000000"/>
          <w:sz w:val="20"/>
        </w:rPr>
        <w:t>Impairment of non-financial assets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Intangible assets that have an indefinite useful life (goodwill) or intangible assets not ready to use (capitalized expenditure for development) are not subject to amortization and are tested for impairment annually and when circumstances indicate that the carrying value may be impaired. Other assets are tested for impairment whenever events or changes in circumstances indicate that the carrying amount may not be recoverable.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An impairment loss is recognized for the amount by which the asset’s carrying amount exceeds its recoverable amount. The recoverable amount is the higher of an asset’s fair value less costs of disposal and value in use. For the purposes of assessing impairment, assets are grouped at the lowest levels for which there are separately identifiable cash inflows, which are largely independent of the cash inflows from other assets or groups of assets (cash-generating units). Non-financial assets other than goodwill are reviewed for reversal of the impairment at the end of each reporting period.</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2.12.</w:t>
      </w:r>
    </w:p>
    <w:p>
      <w:pPr>
        <w:pStyle w:val="TextBody"/>
        <w:bidi w:val="0"/>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Raw materials and finished goods are stated at the lower of cost and net realizable value. Costs consist of direct materials, direct labor and an appropriate proportion of variable and fixed overhead expenditure. Overhead expenditures are allocated on the basis of normal operating capacity. Costs of purchased inventory are determined after deducting rebates and discounts. Net realizable value is the estimated selling price in the ordinary course of business less the estimated costs of completion and the estimated costs necessary to make the sale. The Group reviews inventory quantities and records a provision for excess and obsolete inventory based primarily on demand and the age of the inventory, among other factors.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2.13.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instruments</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Initial recognition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Purchases and sales of financial assets are recognized on trade date, being the date upon which the Group commits to purchase or sell the asset. Financial assets are derecognized when the rights to receive cash flows from the financial assets have expired or have been transferred, and the Group has transferred substantially all the risks and rewards of ownership. </w:t>
      </w:r>
    </w:p>
    <w:p>
      <w:pPr>
        <w:pStyle w:val="Heading2"/>
        <w:bidi w:val="0"/>
        <w:spacing w:before="120" w:after="120"/>
        <w:jc w:val="left"/>
        <w:rPr>
          <w:rFonts w:ascii="Times New Roman" w:hAnsi="Times New Roman"/>
          <w:sz w:val="20"/>
        </w:rPr>
      </w:pPr>
      <w:r>
        <w:rPr>
          <w:rFonts w:ascii="Times New Roman" w:hAnsi="Times New Roman"/>
          <w:i/>
          <w:color w:val="000000"/>
          <w:sz w:val="20"/>
        </w:rPr>
        <w:t>Financial assets—Classification and measurement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Financial assets include cash and cash equivalents, trade receivables, derivatives and other financial assets. The Group classifies its financial assets in the following measurement categories: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those to be measured subsequently at fair value (either through other comprehensive loss or through profit or loss),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those to be measured at amortized cost.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classification depends on the Group’s business model for managing the financial assets and contractual terms of the cash flows. For assets measured at fair value, gains and losses will either be recorded in profit or loss or other comprehensive loss. The Group reclassifies debt investments when and only when its business model for managing those assets changes.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Subsequent measurement of debt instruments depends on the Group’s business model for managing the asset and the cash flow characteristics of the asset. All debt instruments in the Group are measured at amortized cost. The Group’s financial assets measured at amortized cost consist of the items other non-current receivables, trade receivables, other current receivables and cash and cash equivalents.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Amortized cost: Assets that are held for collection of contractual cash flows, where those cash flows represent solely payments of principal and interest, are measured at amortized cost. Interest income from these financial assets is included in finance income using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effective interest rate method. Any gain or loss arising on derecognition is recognized directly in profit or loss and presented in other operating income and (expenses), net together with foreign exchange gains and losses.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Fair value through profit or loss: Assets that are held primarily for the purpose to secure and increase value of the investments are included in the business model “Other”.</w:t>
      </w:r>
    </w:p>
    <w:p>
      <w:pPr>
        <w:pStyle w:val="Heading2"/>
        <w:bidi w:val="0"/>
        <w:spacing w:before="120" w:after="120"/>
        <w:jc w:val="left"/>
        <w:rPr>
          <w:rFonts w:ascii="Times New Roman" w:hAnsi="Times New Roman"/>
          <w:i/>
          <w:color w:val="000000"/>
          <w:sz w:val="20"/>
        </w:rPr>
      </w:pPr>
      <w:r>
        <w:rPr>
          <w:rFonts w:ascii="Times New Roman" w:hAnsi="Times New Roman"/>
          <w:i/>
          <w:color w:val="000000"/>
          <w:sz w:val="20"/>
        </w:rPr>
        <w:t>Derivatives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Derivatives are initially recognized at the fair value on the date a derivative contract is entered into, and they are subsequently remeasured to their fair value at the end of each reporting period. Changes in the fair value are recognized in finance income or finance expenses in the consolidated statement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identified an embedded derivative in relation to voluntary redemption options in the Nordic Bonds (as defined below). The embedded derivative is not closely related to the financial liability host contract and is separately accounted for at fair value through profit or loss. At initial recognition, the host contract, after separation of the embedded derivative, is measured at its fair value plus transaction costs that are directly attributable to the host contract. After initial recognition, the host contract is accounted for as a financial liability at amortized cost applying the effective interest method.</w:t>
      </w:r>
    </w:p>
    <w:p>
      <w:pPr>
        <w:pStyle w:val="Heading2"/>
        <w:bidi w:val="0"/>
        <w:spacing w:before="240" w:after="120"/>
        <w:jc w:val="left"/>
        <w:rPr>
          <w:rFonts w:ascii="Times New Roman" w:hAnsi="Times New Roman"/>
          <w:sz w:val="20"/>
        </w:rPr>
      </w:pPr>
      <w:r>
        <w:rPr>
          <w:rFonts w:ascii="Times New Roman" w:hAnsi="Times New Roman"/>
          <w:i/>
          <w:color w:val="000000"/>
          <w:sz w:val="20"/>
        </w:rPr>
        <w:t>Derecognition of financial assets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Purchases and sales of financial instruments are reported on the trade date, that is, the date on which the Group commits itself to purchase or sell the asset. Financial assets are derecognized from the statement of financial position when the right to receive cash flows from the instrument has expired or been transferred, and the Group has, in all significant aspects, transferred all risk and benefits associated with the ownership. Profits and losses arising from derecognition from the statement of financial position are recognized directly in the consolidated statement of operations. </w:t>
      </w:r>
    </w:p>
    <w:p>
      <w:pPr>
        <w:pStyle w:val="Heading2"/>
        <w:bidi w:val="0"/>
        <w:spacing w:before="120" w:after="120"/>
        <w:jc w:val="left"/>
        <w:rPr>
          <w:rFonts w:ascii="Times New Roman" w:hAnsi="Times New Roman"/>
          <w:sz w:val="20"/>
        </w:rPr>
      </w:pPr>
      <w:r>
        <w:rPr>
          <w:rFonts w:ascii="Times New Roman" w:hAnsi="Times New Roman"/>
          <w:i/>
          <w:color w:val="000000"/>
          <w:sz w:val="20"/>
        </w:rPr>
        <w:t>Financial liabilities—Classification and measurement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i/>
          <w:color w:val="000000"/>
          <w:sz w:val="20"/>
        </w:rPr>
        <w:t>Financial liabilities at amortized cost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initial recognition, the Group measures a financial liability at its fair value plus transaction costs that are directly attributable to the financial liability. The Group’s financial liabilities measured at amortized cost comprise Nordic Bonds (as defined below), liabilities to credit institutions, bank overdraft facilities, trade payables and accrued expenses. After initial recognition, these financial liabilities are valued at amortized cost. Any difference between the proceeds (net of transaction costs) and the redemption amount is recognized in profit or loss over the period of the facilities using the effective interest method. The effective interest amortization is recognized in the consolidated statement of operations as a finance expense. Fees paid on the establishment of loan facilities are recognized as transaction costs of the loan to the extent that it is probable that some or all of the facility will be drawn down. In this case, the fee is deferred until the draw-down occurs. To the extent there is no evidence that it is probable that some or all of the facility will be drawn down, the fee is capitalized as a prepayment for liquidity services and amortized over the period of the facility to which it relates. The amortized cost for liquidity services is recognized in the consolidated statement of operations as a finance expense.</w:t>
      </w:r>
    </w:p>
    <w:p>
      <w:pPr>
        <w:pStyle w:val="TextBody"/>
        <w:bidi w:val="0"/>
        <w:spacing w:before="240" w:after="120"/>
        <w:jc w:val="left"/>
        <w:rPr>
          <w:rFonts w:ascii="Times New Roman" w:hAnsi="Times New Roman"/>
          <w:sz w:val="20"/>
        </w:rPr>
      </w:pPr>
      <w:r>
        <w:rPr>
          <w:rFonts w:ascii="Times New Roman" w:hAnsi="Times New Roman"/>
          <w:i/>
          <w:color w:val="000000"/>
          <w:sz w:val="20"/>
        </w:rPr>
        <w:t>Financial liabilities at fair value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At initial recognition, the Group measures a financial liability at its fair value. Transaction costs of financial liabilities carried at fair value are expensed in the consolidated statement of operations.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Financial liabilities designated at fair value through profit or loss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Group has Convertible Notes (as defined below) which are classified entirely as liabilities at the initial date of recognition at fair value through profit or loss under the fair value option in accordance with IFRS 9 Financial Instruments. The Convertible Notes were issued with a conversion option that does not fulfill the “fixed for fixed” criteria. As the instrument contains an embedded derivative that is not closely related, the Convertible Notes have been designated in its entirety as at fair value through profit or loss on initial recognition and as such the embedded conversion feature is not separated. All transaction costs related to financial instruments designated at fair value through profit or loss are expensed as incurred. Fair value changes relating to the Group’s own credit risk are recognized in other comprehensive income. Amounts recorded in other comprehensive income related to credit risk are not subject to recycling in profit or loss, but are transferred to retained earnings when realized. Fair value changes relating to market risk are recognized in finance income in the consolidated statement of operations.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i/>
          <w:color w:val="000000"/>
          <w:sz w:val="20"/>
        </w:rPr>
        <w:t>Financial liabilities - Presentation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financial year, the Group changed the presentation of interest</w:t>
        <w:noBreakHyphen/>
        <w:t>bearing liabilities in the statement of financial position. Previously, Convertible Notes and liabilities to credit institutions were presented on separate line items. These items are now aggregated with Nordic Bonds and presented on a single line titled “Interest</w:t>
        <w:noBreakHyphen/>
        <w:t>bearing loans and borrowings”. The change affects presentation only and does not impact the recognition or measurement of any assets, liabilities, income or expenses. Accordingly, the change has no effect on profit or loss, cash flows or total equity. In accordance with IAS 8, the change has been applied retrospectively, and comparative information has been restated to reflect the new presentation.</w:t>
      </w:r>
    </w:p>
    <w:p>
      <w:pPr>
        <w:pStyle w:val="TextBody"/>
        <w:bidi w:val="0"/>
        <w:spacing w:before="120" w:after="120"/>
        <w:jc w:val="left"/>
        <w:rPr>
          <w:rFonts w:ascii="Times New Roman" w:hAnsi="Times New Roman"/>
          <w:sz w:val="20"/>
        </w:rPr>
      </w:pPr>
      <w:r>
        <w:rPr>
          <w:rFonts w:ascii="Times New Roman" w:hAnsi="Times New Roman"/>
          <w:b/>
          <w:i/>
          <w:color w:val="000000"/>
          <w:sz w:val="20"/>
        </w:rPr>
        <w:t>Derecognition of financial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liabilities are derecognized from the statement of financial position when the obligations are settled, canceled or have expired in any other way. The difference between the carrying value of a financial liability that has been extinguished or transferred to another party and the fee paid are reported in the consolidated statement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the terms and conditions of a financial liability are renegotiated and are not derecognized from the statement of financial position, a profit or loss is reported in the consolidated statement of operations. The profit or loss is calculated as the difference between the original contractual cash flows and the modified cash flows discounted at the original effective interest rate.</w:t>
      </w:r>
    </w:p>
    <w:p>
      <w:pPr>
        <w:pStyle w:val="Heading2"/>
        <w:bidi w:val="0"/>
        <w:spacing w:before="240" w:after="120"/>
        <w:jc w:val="left"/>
        <w:rPr>
          <w:rFonts w:ascii="Times New Roman" w:hAnsi="Times New Roman"/>
          <w:sz w:val="20"/>
        </w:rPr>
      </w:pPr>
      <w:r>
        <w:rPr>
          <w:rFonts w:ascii="Times New Roman" w:hAnsi="Times New Roman"/>
          <w:i/>
          <w:color w:val="000000"/>
          <w:sz w:val="20"/>
        </w:rPr>
        <w:t>Offsetting of financial instruments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Financial assets and liabilities are offset and recognized with a net amount in the statement of financial position only when there is a legal right to offset the recognized amounts and an intention to balance the items with a net amount or to simultaneously realize the asset and settle the liability. </w:t>
      </w:r>
    </w:p>
    <w:p>
      <w:pPr>
        <w:pStyle w:val="Heading2"/>
        <w:bidi w:val="0"/>
        <w:spacing w:before="120" w:after="120"/>
        <w:jc w:val="left"/>
        <w:rPr>
          <w:rFonts w:ascii="Times New Roman" w:hAnsi="Times New Roman"/>
          <w:sz w:val="20"/>
        </w:rPr>
      </w:pPr>
      <w:r>
        <w:rPr>
          <w:rFonts w:ascii="Times New Roman" w:hAnsi="Times New Roman"/>
          <w:i/>
          <w:color w:val="000000"/>
          <w:sz w:val="20"/>
        </w:rPr>
        <w:t>Impairment of financial assets recognized at amortized cost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Group assesses, on a forward-looking basis, the expected credit losses associated with its debt instruments carried at amortized cost. The impairment methodology applied depends on whether there has been a significant increase in credit risk.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For trade receivables, the Group applies the simplified approach, i.e., the reserve will correspond to the expected loss over the lifetime of the trade receivables. In order to measure the expected credit losses, trade receivables have been grouped based on days past due. The Group applies forward-looking variables for expected credit losses. Expected credit losses are recognized in the consolidated statement of operations, in selling, general and administration expenses.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2.14.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Trade receivables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Trade receivables are initially measured at the transaction price and subsequently at amortized cost, less allowance for expected credit losses.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2.15.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For the purpose of presentation in the consolidated statement of financial position and in the consolidated statement of cash flows, cash and cash equivalents include cash on hand and deposits held at call with financial institutions. Bank overdrafts are shown within liabilities to credit institutions in current liabilities in the statement of financial position.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2.16.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Share capital</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Ordinary shares are classified as equity. Incremental costs directly attributable to the issue of new shares are shown in equity as a deduction, net of tax, from the proceeds.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2.17.</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Provisions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Provisions are recognized when the Group has a present obligation (legal or constructive) as a result of a past event and it is probable that an outflow of resources embodying economic benefits will be required to settle the obligation, and a reliable estimate can be made of the amount of the obligation. The expense relating to a provision is presented in the consolidated statement of operations net of any reimbursement.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 </w:t>
      </w:r>
    </w:p>
    <w:p>
      <w:pPr>
        <w:pStyle w:val="TextBody"/>
        <w:bidi w:val="0"/>
        <w:spacing w:before="120" w:after="120"/>
        <w:jc w:val="left"/>
        <w:rPr>
          <w:rFonts w:ascii="Times New Roman" w:hAnsi="Times New Roman"/>
          <w:sz w:val="20"/>
        </w:rPr>
      </w:pPr>
      <w:r>
        <w:rPr>
          <w:rFonts w:ascii="Times New Roman" w:hAnsi="Times New Roman"/>
          <w:i/>
          <w:color w:val="000000"/>
          <w:sz w:val="20"/>
        </w:rPr>
        <w:t>Provision for restoration costs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Group recognizes provisions for restoration costs of leased manufacturing facilities. Restoration costs are provided for at the present value of expected costs to settle the obligation using estimated cash flows and are recognized as part of the cost of the relevant asset. The cash flows are discounted at a current pre-tax rate that reflects the risks specific to the liability for the restoration costs. The unwinding of the discount is expensed as incurred and recognized in the consolidated statement of operations as a finance expense. The estimated future costs of the restorations are reviewed annually and adjusted as appropriate. Changes in the estimated future costs, or in the discount rate applied, are added to, or deducted from the cost of the asset. </w:t>
      </w:r>
    </w:p>
    <w:p>
      <w:pPr>
        <w:pStyle w:val="TextBody"/>
        <w:bidi w:val="0"/>
        <w:spacing w:before="120" w:after="120"/>
        <w:jc w:val="left"/>
        <w:rPr>
          <w:rFonts w:ascii="Times New Roman" w:hAnsi="Times New Roman"/>
          <w:sz w:val="20"/>
        </w:rPr>
      </w:pPr>
      <w:r>
        <w:rPr>
          <w:rFonts w:ascii="Times New Roman" w:hAnsi="Times New Roman"/>
          <w:i/>
          <w:color w:val="000000"/>
          <w:sz w:val="20"/>
        </w:rPr>
        <w:t>Provision for restructuring costs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Group recognizes provisions for restructuring costs only when there is a constructive obligation, which is when: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is a detailed formal plan that identifies the business or part of the business concerned, the location and number of employees affected, the detailed estimate of the associated costs, and the timeline;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employees affected have been notified of the plan’s main features.</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2.18.</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Employee benefits</w:t>
      </w:r>
    </w:p>
    <w:p>
      <w:pPr>
        <w:pStyle w:val="Heading2"/>
        <w:bidi w:val="0"/>
        <w:spacing w:before="240" w:after="120"/>
        <w:jc w:val="left"/>
        <w:rPr>
          <w:rFonts w:ascii="Times New Roman" w:hAnsi="Times New Roman"/>
          <w:sz w:val="20"/>
        </w:rPr>
      </w:pPr>
      <w:r>
        <w:rPr>
          <w:rFonts w:ascii="Times New Roman" w:hAnsi="Times New Roman"/>
          <w:i/>
          <w:color w:val="000000"/>
          <w:sz w:val="20"/>
        </w:rPr>
        <w:t>Short-term benefits to employees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Liabilities for wages and salaries, annual leave and accumulating sick leave that are expected to be settled wholly within 12 months after the end of the period in which the employees render the related services are recognized in respect of employees’ services up to the end of the reporting period, and they are measured at the amounts expected to be paid when the liabilities are settled. The liabilities are presented as accrued expenses in the statement of financial position. </w:t>
      </w:r>
    </w:p>
    <w:p>
      <w:pPr>
        <w:pStyle w:val="Heading2"/>
        <w:bidi w:val="0"/>
        <w:spacing w:before="120" w:after="120"/>
        <w:jc w:val="left"/>
        <w:rPr>
          <w:rFonts w:ascii="Times New Roman" w:hAnsi="Times New Roman"/>
          <w:i/>
          <w:color w:val="000000"/>
          <w:sz w:val="20"/>
        </w:rPr>
      </w:pPr>
      <w:r>
        <w:rPr>
          <w:rFonts w:ascii="Times New Roman" w:hAnsi="Times New Roman"/>
          <w:i/>
          <w:color w:val="000000"/>
          <w:sz w:val="20"/>
        </w:rPr>
        <w:t>Post-employment obligations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Within the Group, there are defined-contribution plans. A defined-contribution plan is a pension plan according to which the Group pays a fixed amount to a separate legal entity. The Group has no legal or constructive obligation to pay additional premiums if this legal entity does not have adequate means to pay all benefits to employees, attributable to their service in current or previous periods. The premiums are reported as costs in the consolidated statement of operations when they fall due.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Swedish Corporate Reporting Board is a private sector body in Sweden with the authority to develop interpretations of IFRS Accounting standards for consolidated financial statements for issues that are very specific to the Swedish environment, for example, UFR 10 Accounting for the pension plan ITP 2 financed through an insurance in Alecta. The Group’s pension obligations for certain employees in Sweden, which are secured through an insurance with Alecta, are reported as a defined contribution plan. According to UFR 10, this is a defined benefit multi-employer plan. For the financial year 2025, the Group has not had access to information in order to be able to report its proportional share of the obligations of the plan, plan assets and costs and therefore, it has not been possible to recognize the plan as a defined benefit plan. The ITP 2 pension plan, secured through an insurance with Alecta, is therefore reported as a defined contribution plan. The premium of the defined contributions plan for retirement pensions and survivor’s pension is calculated individually and is, among other factors, based on salary, previously earned pension and expected remaining years of service. Expected premiums for the next reporting period for ITP 2 insurances signed with Alecta is $1.0 million. Premiums for the year ended December 31, 2025 for ITP 2 insurances signed with Alecta amounted to $1.0 million (2024: $0.8 million).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collective consolidation level comprises the market value of Alecta’s assets as a percentage of the insurance obligations in accordance with Alecta’s actuarial methods and assessments. The collective consolidation level should normally be allowed to vary between 125% and 170%. If Alecta’s collective consolidation level falls below 125% or exceeds 170%, measures should be taken in order for the consolidation level to return to the normal interval. At a low consolidation, one measure might be to increase the price when signing new insurance agreements and an expansion of existing benefits. At a high level of consolidation, one measure might be to introduce lower premiums. At the end of the financial year 2025, Alecta’s surplus of the collective consolidation level was 167%.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120"/>
        <w:jc w:val="left"/>
        <w:rPr>
          <w:rFonts w:ascii="Times New Roman" w:hAnsi="Times New Roman"/>
          <w:sz w:val="20"/>
        </w:rPr>
      </w:pPr>
      <w:r>
        <w:rPr>
          <w:rFonts w:ascii="Times New Roman" w:hAnsi="Times New Roman"/>
          <w:i/>
          <w:color w:val="000000"/>
          <w:sz w:val="20"/>
        </w:rPr>
        <w:t>Share-based compensation—equity settled</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Employee stock options (ESOPs) and Restricted Stock Units (RSUs) (2021)</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For share-based compensation schemes, the fair value of the instruments granted are established at the grant date and recognized as an employee benefits expense, with a corresponding increase in equity. </w:t>
      </w:r>
    </w:p>
    <w:p>
      <w:pPr>
        <w:pStyle w:val="TextBody"/>
        <w:bidi w:val="0"/>
        <w:spacing w:before="120" w:after="120"/>
        <w:jc w:val="both"/>
        <w:rPr>
          <w:rFonts w:ascii="Times New Roman" w:hAnsi="Times New Roman"/>
          <w:sz w:val="20"/>
        </w:rPr>
      </w:pPr>
      <w:r>
        <w:rPr>
          <w:rFonts w:ascii="Times New Roman" w:hAnsi="Times New Roman"/>
          <w:color w:val="000000"/>
          <w:sz w:val="20"/>
        </w:rPr>
        <w:t>The fair value of ESOPs at grant date has been established by using the Black-Scholes option pricing model and input data in the model is disclosed in Note 9 “</w:t>
      </w:r>
      <w:r>
        <w:rPr>
          <w:rFonts w:ascii="Times New Roman" w:hAnsi="Times New Roman"/>
          <w:i/>
          <w:color w:val="000000"/>
          <w:sz w:val="20"/>
        </w:rPr>
        <w:t>Share-based compensation</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awards only have a service condition whereby the awards vest in 12-month installments over 36 months. Each of the installments are treated as separate awards which are expensed on a linear basis for each installment period i.e., 12 months, 24 months, and 36 months; this will result in a front-loaded IFRS 2 charge. At the end of each period, the entity revises its estimates of the number of instruments that are expected to vest based on the service conditions. It recognizes the impact of the revision to original estimates, if any, in profit or loss, with a corresponding adjustment to retained earnings within equity.</w:t>
      </w:r>
    </w:p>
    <w:p>
      <w:pPr>
        <w:pStyle w:val="Heading2"/>
        <w:bidi w:val="0"/>
        <w:spacing w:before="120" w:after="120"/>
        <w:jc w:val="left"/>
        <w:rPr>
          <w:rFonts w:ascii="Times New Roman" w:hAnsi="Times New Roman"/>
          <w:sz w:val="20"/>
        </w:rPr>
      </w:pPr>
      <w:r>
        <w:rPr>
          <w:rFonts w:ascii="Times New Roman" w:hAnsi="Times New Roman"/>
          <w:i/>
          <w:color w:val="000000"/>
          <w:sz w:val="20"/>
        </w:rPr>
        <w:t>Termination benefits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Termination benefits are payable when employment is terminated by the Group before the normal retirement date, or when an employee accepts voluntary redundancy in exchange for these benefits. The Group recognizes termination benefits at the earlier of the following dates: (a) when the Group can no longer withdraw the offer of those benefits; and (b) when the entity recognizes costs for a restructuring that is within the scope of IAS 37 and involves the payment of terminations benefits. In the case of an offer made to encourage voluntary redundancy, the termination benefits are measured based on the number of employees expected to accept the offer.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2.19.</w:t>
      </w:r>
    </w:p>
    <w:p>
      <w:pPr>
        <w:pStyle w:val="TextBody"/>
        <w:bidi w:val="0"/>
        <w:jc w:val="both"/>
        <w:rPr>
          <w:rFonts w:ascii="Times New Roman" w:hAnsi="Times New Roman"/>
          <w:b/>
          <w:color w:val="000000"/>
          <w:sz w:val="20"/>
        </w:rPr>
      </w:pPr>
      <w:r>
        <w:rPr>
          <w:rFonts w:ascii="Times New Roman" w:hAnsi="Times New Roman"/>
          <w:b/>
          <w:color w:val="000000"/>
          <w:sz w:val="20"/>
        </w:rPr>
        <w:t>Loss per share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Basic loss per share is calculated by dividing the loss after tax by the weighted average number of ordinary shares outstanding for the period. Diluted loss per share is computed using the treasury stock method to the extent that the effect is dilutive by using the weighted-average number of outstanding ordinary shares and potential ordinary shares during the period. </w:t>
      </w:r>
    </w:p>
    <w:p>
      <w:pPr>
        <w:pStyle w:val="TextBody"/>
        <w:bidi w:val="0"/>
        <w:jc w:val="both"/>
        <w:rPr/>
      </w:pPr>
      <w:r>
        <w:rPr/>
        <w:t> </w:t>
      </w:r>
    </w:p>
    <w:p>
      <w:pPr>
        <w:pStyle w:val="TextBody"/>
        <w:bidi w:val="0"/>
        <w:spacing w:before="12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risk management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risk factors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Through its operations, the Group is exposed to various financial risks attributable to primarily cash, trade receivables, trade payables, interest bearing loans and borrowings. The financial risks are market risk, mainly interest risk and currency risk, credit risk, liquidity risk and refinancing risk. The Group strives to minimize potential unfavorable effects from these risks on the Group’s financial results.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aim of the Group’s financial operations is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ensure that the Group can meet its payment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 financial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a supply of necessary financing,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optimize the Group’s finance income and (expenses), net.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Group’s risk management is predominantly controlled by a central treasury department (“Group Treasury”) under policies owned by the Chief Financial Officer and approved by the Board of Directors. The Chief Executive Officer is responsible to the Board of Directors for the risk management and ensuring that the guidelines and risk mandates are followed and carried out in accordance with established treasury policy.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Group Treasury identifies, evaluates and hedges financial risks in close cooperation with the Group’s operating units. The treasury policy provides principles for overall risk management, as well as policies covering specific areas, such as foreign exchange risk, interest rate risk, credit risk, use of derivative financial instruments and non-derivative financial instruments and investment of excess liquidity. The treasury policy (a) identifies categories of financial risks and describe how they should be managed, (b) clarifies the responsibility in financial risk management among the Board of Directors, the Chief Executive Officer, the Chief Financial Officer, Group Treasury and the subsidiaries, (c) specifies reporting and control requirements for Group treasury functions and (d) ensures that the treasury operations of the Group are supporting the overall strategy of the Group.</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3.1.1.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Market risk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Currency risk (transaction risk)</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Group operates internationally and is exposed to foreign exchange risk. Foreign exchange risk arises from future commercial transactions and recognized assets and liabilities denominated in a currency that is not the functional currency of the relevant Group entity. Primarily, the Group is exposed to currency risk in Group companies with SEK, USD and SGD as the functional currencies. The primary risks in these companies are SEK/USD, SEK/EUR, SEK/GBP, SEK/CNY, SEK/SGD, SEK/NOK, USD/SEK and SGD/CNY due to internal loans, internal accounts receivables and other receivables, internal trade payables and other liabilities, borrowings, short-term deposits and external sales and purchases (accounts receivables and trade payables). Internal loans that form part of the net investment in foreign operations (extended equity) are recognized in other comprehensive loss. Exposure from internal loans classified as extended equity are not included in the tables and sensitivity analysis below.</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Due to the growth profile of the Group it is necessary to maintain a dynamic risk management of currency. Group Treasury monitors forecast of highly probable cash flows for each currency and aim to achieve a natural match of inflows and outflows. For those currencies which have a net cash flow that is positive or negative, Group Treasury has the possibility to use foreign exchange instruments (FX forward or spot) to manage the risk. The Group does not apply hedge accounting. As of December 31, 2025, the Group had currency derivatives of SEK 148.5 million (2024: SEK 64.9 million) for which the fair value was $0.1 million (2024: $0.0 million).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Exposure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Group’s primary exposure to foreign currency risk at the end of the reporting period, expressed in thousands of USD was as follows: </w:t>
      </w:r>
    </w:p>
    <w:tbl>
      <w:tblPr>
        <w:tblW w:w="10205" w:type="dxa"/>
        <w:jc w:val="left"/>
        <w:tblInd w:w="0" w:type="dxa"/>
        <w:tblLayout w:type="fixed"/>
        <w:tblCellMar>
          <w:top w:w="28" w:type="dxa"/>
          <w:left w:w="28" w:type="dxa"/>
          <w:bottom w:w="28" w:type="dxa"/>
          <w:right w:w="28" w:type="dxa"/>
        </w:tblCellMar>
      </w:tblPr>
      <w:tblGrid>
        <w:gridCol w:w="3939"/>
        <w:gridCol w:w="146"/>
        <w:gridCol w:w="146"/>
        <w:gridCol w:w="736"/>
        <w:gridCol w:w="166"/>
        <w:gridCol w:w="146"/>
        <w:gridCol w:w="146"/>
        <w:gridCol w:w="736"/>
        <w:gridCol w:w="166"/>
        <w:gridCol w:w="146"/>
        <w:gridCol w:w="146"/>
        <w:gridCol w:w="736"/>
        <w:gridCol w:w="166"/>
        <w:gridCol w:w="146"/>
        <w:gridCol w:w="146"/>
        <w:gridCol w:w="736"/>
        <w:gridCol w:w="166"/>
        <w:gridCol w:w="146"/>
        <w:gridCol w:w="146"/>
        <w:gridCol w:w="841"/>
        <w:gridCol w:w="166"/>
        <w:gridCol w:w="191"/>
      </w:tblGrid>
      <w:tr>
        <w:trPr/>
        <w:tc>
          <w:tcPr>
            <w:tcW w:w="3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SEK/USD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SEK/EUR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SEK/CNY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SEK/SGD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USD/SEK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Nordic Bonds (part of Non-Current and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Intercompany long-term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1772" w:type="dxa"/>
        <w:jc w:val="left"/>
        <w:tblInd w:w="0" w:type="dxa"/>
        <w:tblLayout w:type="fixed"/>
        <w:tblCellMar>
          <w:top w:w="28" w:type="dxa"/>
          <w:left w:w="28" w:type="dxa"/>
          <w:bottom w:w="28" w:type="dxa"/>
          <w:right w:w="28" w:type="dxa"/>
        </w:tblCellMar>
      </w:tblPr>
      <w:tblGrid>
        <w:gridCol w:w="1396"/>
        <w:gridCol w:w="146"/>
        <w:gridCol w:w="146"/>
        <w:gridCol w:w="841"/>
        <w:gridCol w:w="166"/>
        <w:gridCol w:w="146"/>
        <w:gridCol w:w="146"/>
        <w:gridCol w:w="736"/>
        <w:gridCol w:w="166"/>
        <w:gridCol w:w="146"/>
        <w:gridCol w:w="146"/>
        <w:gridCol w:w="736"/>
        <w:gridCol w:w="166"/>
        <w:gridCol w:w="146"/>
        <w:gridCol w:w="146"/>
        <w:gridCol w:w="736"/>
        <w:gridCol w:w="166"/>
        <w:gridCol w:w="146"/>
        <w:gridCol w:w="146"/>
        <w:gridCol w:w="631"/>
        <w:gridCol w:w="166"/>
        <w:gridCol w:w="146"/>
        <w:gridCol w:w="146"/>
        <w:gridCol w:w="676"/>
        <w:gridCol w:w="146"/>
        <w:gridCol w:w="146"/>
        <w:gridCol w:w="146"/>
        <w:gridCol w:w="841"/>
        <w:gridCol w:w="166"/>
        <w:gridCol w:w="146"/>
        <w:gridCol w:w="146"/>
        <w:gridCol w:w="421"/>
        <w:gridCol w:w="146"/>
        <w:gridCol w:w="146"/>
        <w:gridCol w:w="146"/>
        <w:gridCol w:w="631"/>
        <w:gridCol w:w="21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9"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SEK/USD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SEK/EUR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SEK/GBP</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SEK/CNY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SEK/SGD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SEK/NOK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USD/SEK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SGD/CNY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GBP/EUR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 (part of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rFonts w:ascii="Times New Roman" w:hAnsi="Times New Roman"/>
          <w:b/>
          <w:i/>
          <w:color w:val="000000"/>
          <w:sz w:val="20"/>
        </w:rPr>
      </w:pPr>
      <w:r>
        <w:rPr>
          <w:rFonts w:ascii="Times New Roman" w:hAnsi="Times New Roman"/>
          <w:b/>
          <w:i/>
          <w:color w:val="000000"/>
          <w:sz w:val="20"/>
        </w:rPr>
        <w:t>Sensitivity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Group is primarily exposed to changes in SEK/USD, SEK/EUR, SEK/CNY, SEK/SGD and USD/SEK exchange rates. The Group’s risk exposure in foreign currencies: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65" w:type="dxa"/>
        <w:jc w:val="left"/>
        <w:tblInd w:w="0" w:type="dxa"/>
        <w:tblLayout w:type="fixed"/>
        <w:tblCellMar>
          <w:top w:w="28" w:type="dxa"/>
          <w:left w:w="28" w:type="dxa"/>
          <w:bottom w:w="28" w:type="dxa"/>
          <w:right w:w="28" w:type="dxa"/>
        </w:tblCellMar>
      </w:tblPr>
      <w:tblGrid>
        <w:gridCol w:w="4141"/>
        <w:gridCol w:w="146"/>
        <w:gridCol w:w="946"/>
        <w:gridCol w:w="146"/>
        <w:gridCol w:w="88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loss</w:t>
              <w:br/>
              <w:t>before tax</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SEK/USD exchange rate - increase/decrease 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+/- 1,939</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SEK/EUR exchange rate - increase/decrease 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+/- 1,098</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SEK/CNY exchange rate - increase/decrease 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+/- 2,276</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SEK/SGD exchange rate - increase/decrease 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+/- 384</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USD/SEK exchange rate - increase/decrease 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+/- 15,103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+/- 8,622</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Currency risk (translation risk)</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Group is also exposed to currency risk when foreign subsidiaries with a functional currency other than USD are consolidated, primarily for EUR, SEK, GBP and CNY. The Group’s policy is not to hedge the translation exposure related to net foreign assets to reduce translation risk in the consolidated financial statements. </w:t>
      </w:r>
    </w:p>
    <w:p>
      <w:pPr>
        <w:pStyle w:val="TextBody"/>
        <w:bidi w:val="0"/>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is exposed to interest rate risk that arises from the Nordic Bonds that carry an interest of STIBOR 3M. To manage the risk the Group has entered into an interest rate cap for a partial amount of SEK 850 million of the Nordic Bonds. The cap is 1.95% and has a maturity of 3 years (September 2028). The effect from increase in basis points is limited due to the cap that economically hedges the Nordic Bonds. </w:t>
      </w:r>
    </w:p>
    <w:p>
      <w:pPr>
        <w:pStyle w:val="TextBody"/>
        <w:bidi w:val="0"/>
        <w:jc w:val="both"/>
        <w:rPr>
          <w:rFonts w:ascii="Times New Roman" w:hAnsi="Times New Roman"/>
          <w:b/>
          <w:i/>
          <w:color w:val="000000"/>
          <w:sz w:val="20"/>
        </w:rPr>
      </w:pPr>
      <w:r>
        <w:rPr>
          <w:rFonts w:ascii="Times New Roman" w:hAnsi="Times New Roman"/>
          <w:b/>
          <w:i/>
          <w:color w:val="000000"/>
          <w:sz w:val="20"/>
        </w:rPr>
        <w:t>Sensitivity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Profit or loss is sensitive to higher/lower interest expense primarily from interest bearing loans and borrowings as a result of changes in interest rates. </w:t>
      </w:r>
    </w:p>
    <w:tbl>
      <w:tblPr>
        <w:tblW w:w="5095" w:type="dxa"/>
        <w:jc w:val="left"/>
        <w:tblInd w:w="0" w:type="dxa"/>
        <w:tblLayout w:type="fixed"/>
        <w:tblCellMar>
          <w:top w:w="28" w:type="dxa"/>
          <w:left w:w="28" w:type="dxa"/>
          <w:bottom w:w="28" w:type="dxa"/>
          <w:right w:w="28" w:type="dxa"/>
        </w:tblCellMar>
      </w:tblPr>
      <w:tblGrid>
        <w:gridCol w:w="3601"/>
        <w:gridCol w:w="146"/>
        <w:gridCol w:w="526"/>
        <w:gridCol w:w="146"/>
        <w:gridCol w:w="67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loss</w:t>
              <w:br/>
              <w:t>before tax</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rates - increase by 100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rates - decrease by 100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interest risk for the Nordic Bonds is calculated for the three months October 1 to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interest risk for 2024 refers to the TLB Credit Agreement (as defined below) and the term loan facility with Svensk Exportkredit which have been prepaid in full during the year ended December 31, 2025.</w:t>
      </w:r>
    </w:p>
    <w:p>
      <w:pPr>
        <w:pStyle w:val="TextBody"/>
        <w:bidi w:val="0"/>
        <w:spacing w:before="24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Fair value / Price risk</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During the year ended December 31, 2023, the Group issued Convertible Notes (as defined below) which are classified as liabilities at the initial date of recognition at fair value through profit or loss. Fair value changes relating to the Group’s own credit risk are recognized in other comprehensive income. Amounts recorded in other comprehensive income related to credit risk are not subject to recycling in profit or loss, but are transferred to retained earnings when realized. Fair value changes relating to market risk are recognized in finance income in the consolidated statement of operations. The fair value of the Convertible Notes as of December 31, 2025 was $333.1 million (2024: $324.4 million). </w:t>
      </w:r>
    </w:p>
    <w:p>
      <w:pPr>
        <w:pStyle w:val="TextBody"/>
        <w:bidi w:val="0"/>
        <w:spacing w:before="120" w:after="120"/>
        <w:jc w:val="both"/>
        <w:rPr>
          <w:rFonts w:ascii="Times New Roman" w:hAnsi="Times New Roman"/>
          <w:sz w:val="20"/>
        </w:rPr>
      </w:pPr>
      <w:r>
        <w:rPr>
          <w:rFonts w:ascii="Times New Roman" w:hAnsi="Times New Roman"/>
          <w:color w:val="000000"/>
          <w:sz w:val="20"/>
        </w:rPr>
        <w:t>For details on the fair value on Convertible Notes, see Note 19 “</w:t>
      </w:r>
      <w:r>
        <w:rPr>
          <w:rFonts w:ascii="Times New Roman" w:hAnsi="Times New Roman"/>
          <w:i/>
          <w:color w:val="000000"/>
          <w:sz w:val="20"/>
        </w:rPr>
        <w:t>Financial instruments per category</w:t>
      </w:r>
      <w:r>
        <w:rPr>
          <w:rFonts w:ascii="Times New Roman" w:hAnsi="Times New Roman"/>
          <w:color w:val="000000"/>
          <w:sz w:val="20"/>
        </w:rPr>
        <w:t>”.</w:t>
      </w:r>
    </w:p>
    <w:p>
      <w:pPr>
        <w:pStyle w:val="TextBody"/>
        <w:bidi w:val="0"/>
        <w:jc w:val="both"/>
        <w:rPr>
          <w:rFonts w:ascii="Times New Roman" w:hAnsi="Times New Roman"/>
          <w:b/>
          <w:i/>
          <w:color w:val="000000"/>
          <w:sz w:val="20"/>
        </w:rPr>
      </w:pPr>
      <w:r>
        <w:rPr>
          <w:rFonts w:ascii="Times New Roman" w:hAnsi="Times New Roman"/>
          <w:b/>
          <w:i/>
          <w:color w:val="000000"/>
          <w:sz w:val="20"/>
        </w:rPr>
        <w:t>Sensitivity</w:t>
      </w:r>
    </w:p>
    <w:p>
      <w:pPr>
        <w:pStyle w:val="TextBody"/>
        <w:bidi w:val="0"/>
        <w:spacing w:before="240" w:after="120"/>
        <w:jc w:val="both"/>
        <w:rPr>
          <w:rFonts w:ascii="Times New Roman" w:hAnsi="Times New Roman"/>
          <w:sz w:val="20"/>
        </w:rPr>
      </w:pPr>
      <w:r>
        <w:rPr>
          <w:rFonts w:ascii="Times New Roman" w:hAnsi="Times New Roman"/>
          <w:color w:val="000000"/>
          <w:sz w:val="20"/>
        </w:rPr>
        <w:t>Profit or loss is sensitive to changes in fair value from Convertible Notes. For details on sensitivity to changes in fair value on Convertible Notes, see Note 19 “</w:t>
      </w:r>
      <w:r>
        <w:rPr>
          <w:rFonts w:ascii="Times New Roman" w:hAnsi="Times New Roman"/>
          <w:i/>
          <w:color w:val="000000"/>
          <w:sz w:val="20"/>
        </w:rPr>
        <w:t>Financial instruments per category</w:t>
      </w:r>
      <w:r>
        <w:rPr>
          <w:rFonts w:ascii="Times New Roman" w:hAnsi="Times New Roman"/>
          <w:color w:val="000000"/>
          <w:sz w:val="20"/>
        </w:rPr>
        <w:t>”</w:t>
      </w:r>
      <w:r>
        <w:rPr>
          <w:rFonts w:ascii="Times New Roman" w:hAnsi="Times New Roman"/>
          <w:i/>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Commodity price risk</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The Group is exposed to risk related to the price and availability of ingredients. The Group’s financial performance depends in large part on its ability to arrange for the purchase of raw materials in sufficient quantities at competitive prices, and transport several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of those raw materials from other countries. Currently, the main ingredient in the Group’s products is oat. The Group purchases oats from farmers in Sweden, Canada, the United Kingdom, the Baltic states, Australia and Finland through millers in Sweden, Finland, China, Canada, the United States and Belgium, so its supply may be particularly affected by any adverse events in these countries or any delays in transport between countries or regions. The prices of oats and other ingredients used, such as rapeseed oil, are subject to many factors beyond the Group’s control, including poor harvests due to adverse weather conditions, natural disasters and changes in world economic conditions, including as a result of any trade tensions or trade wars, for example, between the United States and China, the United States and Canada, the United States and Mexico and the United States and the EU, or news and rumors of a potential retaliatory tariffs. There is significant uncertainty about the imposition of tariffs in the United States following the U.S. Supreme Court decision that struck down certain U.S. tariffs implemented by the current U.S. administration and additional tariff announcements by the U.S government. The U.S. may impose tariffs using other tariff authorities and other countries may impose retaliatory tariffs or other measures. This could increase the prices the Group pays for oats, increase the prices paid by its consumers for its products, reduce its profit margins and increase the difficulty of commercial negotiations with its customers and suppliers. The prices of the ingredients the Group sources is also affected by geopolitical tensions or wars. For example, the uncertainty of future relations between the United States, Ukraine and Russia, has resulted in many broader economic impacts such as sanctions and bans against Russia and Russian products imported into certain countries in Europe and the United States. Such sanctions and bans have impacted and may continue to impact commodity pricing such as fuel and energy costs, making it more expensive for the Group and its partners to deliver products to its customers. Oat prices and other ingredients such as rapeseed oil are normally agreed to annually with suppliers for the following year based on the outcome of the current year’s harvest.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Group believes it will be able to address material commodity increases by either increasing prices or reducing operating expenses. However, increases in commodity prices, without adjustments to pricing, or reduction to operating expenses, or a delay in pricing actions, could increase the Group’s costs and increase its loss as a share of its revenue. In addition, macro-economic and competitive conditions could make additional price increases difficult.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 general commodity cost price increase of 5% would have increased the Group’s 2025 commodity costs by $12.8 million (2024: $11.8 million).</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3.1.2.</w:t>
      </w:r>
    </w:p>
    <w:p>
      <w:pPr>
        <w:pStyle w:val="TextBody"/>
        <w:bidi w:val="0"/>
        <w:jc w:val="both"/>
        <w:rPr>
          <w:rFonts w:ascii="Times New Roman" w:hAnsi="Times New Roman"/>
          <w:b/>
          <w:color w:val="000000"/>
          <w:sz w:val="20"/>
        </w:rPr>
      </w:pPr>
      <w:r>
        <w:rPr>
          <w:rFonts w:ascii="Times New Roman" w:hAnsi="Times New Roman"/>
          <w:b/>
          <w:color w:val="000000"/>
          <w:sz w:val="20"/>
        </w:rPr>
        <w:t>Credit risk</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Credit risk arises primarily from cash and cash equivalents and debt instruments carried at amortized cost.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Financial counterparty credit risk is managed on a Group basis. The external financial counterparties must be high-quality international credit institutions or other major participants in the financial markets, in each case, with a minimum investment grade rating BBB- / Baa3. The rating of the financial counterparties used during 2025 and 2024 were in the range from BBB to AA+.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Customer credit risk is mitigated through credit risk assessment, credit limit setting in case of payment obligations overdue and through the contractual terms. There are no significant concentrations of credit risk in regards of exposure to specific industry sectors and/or regions. For the year ended December 31, 2025, one customer in the foodservice channel represented approximately 6% (2024: 10%) of total revenue. The Group has not had any incurred credit losses from this customer historically.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Group has primarily one type of debt instrument carried at amortized cost, subject to the expected credit loss model: trade receivables.</w:t>
      </w:r>
    </w:p>
    <w:p>
      <w:pPr>
        <w:pStyle w:val="TextBody"/>
        <w:bidi w:val="0"/>
        <w:jc w:val="both"/>
        <w:rPr>
          <w:rFonts w:ascii="Times New Roman" w:hAnsi="Times New Roman"/>
          <w:b/>
          <w:i/>
          <w:color w:val="000000"/>
          <w:sz w:val="20"/>
        </w:rPr>
      </w:pPr>
      <w:r>
        <w:rPr>
          <w:rFonts w:ascii="Times New Roman" w:hAnsi="Times New Roman"/>
          <w:b/>
          <w:i/>
          <w:color w:val="000000"/>
          <w:sz w:val="20"/>
        </w:rPr>
        <w:t>Trade receivables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Group applies the simplified approach to measuring expected credit losses, which uses a lifetime expected loss allowance for all trade receivables.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To measure the expected credit losses, trade receivables have been grouped based on days past due. The expected loss rates are based on sales over a period of 36 months before December 31, 2025, and the corresponding historical credit losses experienced within this period. The historical loss rates are adjusted to reflect current and forward-looking information on macroeconomic factors affecting the ability of the customers to settle the receivables. In cases when the Group has more information on customers than the statistical model reflects, a management overlay is made for those specific customers. Historically, the Group has experienced immaterial credit losses. Based on the historical data of low credit losses together with a forward-looking assessment, the expected credit loss for trade receivables is not material. The Group has during 2025 and 2024 no significant impairment losses relating to specific customers.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aging of the Group’s trade receivables is as follows: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599" w:type="dxa"/>
        <w:jc w:val="left"/>
        <w:tblInd w:w="0" w:type="dxa"/>
        <w:tblLayout w:type="fixed"/>
        <w:tblCellMar>
          <w:top w:w="28" w:type="dxa"/>
          <w:left w:w="28" w:type="dxa"/>
          <w:bottom w:w="28" w:type="dxa"/>
          <w:right w:w="28" w:type="dxa"/>
        </w:tblCellMar>
      </w:tblPr>
      <w:tblGrid>
        <w:gridCol w:w="3076"/>
        <w:gridCol w:w="146"/>
        <w:gridCol w:w="146"/>
        <w:gridCol w:w="781"/>
        <w:gridCol w:w="166"/>
        <w:gridCol w:w="146"/>
        <w:gridCol w:w="146"/>
        <w:gridCol w:w="78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1-30 days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 days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 days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 days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103,366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movements in the Group’s allowance for expected credit losses of trade receivables are as follows: </w:t>
      </w:r>
    </w:p>
    <w:tbl>
      <w:tblPr>
        <w:tblW w:w="6829" w:type="dxa"/>
        <w:jc w:val="left"/>
        <w:tblInd w:w="0" w:type="dxa"/>
        <w:tblLayout w:type="fixed"/>
        <w:tblCellMar>
          <w:top w:w="28" w:type="dxa"/>
          <w:left w:w="28" w:type="dxa"/>
          <w:bottom w:w="28" w:type="dxa"/>
          <w:right w:w="28" w:type="dxa"/>
        </w:tblCellMar>
      </w:tblPr>
      <w:tblGrid>
        <w:gridCol w:w="4606"/>
        <w:gridCol w:w="146"/>
        <w:gridCol w:w="146"/>
        <w:gridCol w:w="631"/>
        <w:gridCol w:w="166"/>
        <w:gridCol w:w="146"/>
        <w:gridCol w:w="146"/>
        <w:gridCol w:w="631"/>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allowance recognized in statement of</w:t>
              <w:br/>
              <w:t>   operations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written off during the year as uncollectible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Unused amount reversed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Trade receivables are written off where there is no reasonable expectation of recovery. Assessments are made individually, in each case, based on indicators that there is no reasonable expectation of recovery. Indicators include, among others, the failure of a debtor to engage in a repayment plan with the Group. Impairment losses on trade receivables are presented as selling, general and administration expenses within operating loss. Subsequent recoveries of amounts previously written off are credited against the same line item.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3.1.3.</w:t>
      </w:r>
    </w:p>
    <w:p>
      <w:pPr>
        <w:pStyle w:val="TextBody"/>
        <w:bidi w:val="0"/>
        <w:jc w:val="both"/>
        <w:rPr>
          <w:rFonts w:ascii="Times New Roman" w:hAnsi="Times New Roman"/>
          <w:b/>
          <w:color w:val="000000"/>
          <w:sz w:val="20"/>
        </w:rPr>
      </w:pPr>
      <w:r>
        <w:rPr>
          <w:rFonts w:ascii="Times New Roman" w:hAnsi="Times New Roman"/>
          <w:b/>
          <w:color w:val="000000"/>
          <w:sz w:val="20"/>
        </w:rPr>
        <w:t>Liquidity risk</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Liquidity risk is the Group’s risk of not being able to meet the short-term payment obligations due to insufficient funds. Management monitors rolling forecasts of the Group’s liquidity reserve (comprising the undrawn borrowing facilities below) and cash and cash equivalents on the basis of expected cash flows. This is monitored at Group level with input from local management. In addition, the Group’s liquidity management policy involves projecting cash flows in major currencies and considering the level of liquid assets necessary to meet these, monitoring balance sheet liquidity ratios against internal and external regulatory requirements and maintaining debt financing plans. Due to the dynamic nature of the underlying businesses, Group Treasury maintains flexibility in funding by maintaining availability under committed credit lines.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at December 31, 2025, the Group held cash and cash equivalents of $64.3 million (2024: $98.9 million) that are available for managing liquidity risk. The Group has both long-term and short-term financing arrangements.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In October 2019, the Company entered into an European Investment Fund guaranteed three-year term loan facility with Svensk Exportkredit (the “EIF Facility”). On October 1, 2025 the outstanding on the EIF Facility, including accrued interest, was repaid in full.</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In April 2023, the Company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borrowed by Oatly AB.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September 30, 2025, the Company issued SEK denominated senior secured floating rate bonds (the “Nordic Bonds”) of SEK 1,700 million (equivalent of $180.9 million) under the terms and conditions entered into by the Company with Nordic Trustee &amp; Agency AB (publ). The proceeds from the Nordic Bonds were used to prepay the TLB Credit Agreement in full, repurchase and cancel certain of the U.S. Notes (as defined below) and pay related transaction costs.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In addition, the Company has an undrawn SEK 750 million (equivalent to $79.8 million) super senior revolving credit facility agreement with JP Morgan, Nordea and Rabobank (the “SSRCF”). As of December 31, 2025, the Group had no utilized loan amounts under the SSRCF.</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On March 19, 2025, Oatly Shanghai Co., Ltd. entered into a new RMB 30.0 million (equivalent of $4.2 million) working capital credit facility with China Merchants Bank Co., Ltd. Shanghai Branch (the “CMB Credit Facility”). As of December 31, 2025, the Group had utilized loan amounts of RMB 20.0 million (equivalent of $2.8 million) under the CMB Credit Facility.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sz w:val="20"/>
        </w:rPr>
      </w:pPr>
      <w:r>
        <w:rPr>
          <w:rFonts w:ascii="Times New Roman" w:hAnsi="Times New Roman"/>
          <w:color w:val="000000"/>
          <w:sz w:val="20"/>
        </w:rPr>
        <w:t>For more information on the Group’s credit facilities, see Note 26 “</w:t>
      </w:r>
      <w:r>
        <w:rPr>
          <w:rFonts w:ascii="Times New Roman" w:hAnsi="Times New Roman"/>
          <w:i/>
          <w:color w:val="000000"/>
          <w:sz w:val="20"/>
        </w:rPr>
        <w:t>Interest-bearing loans and borrowings</w:t>
      </w:r>
      <w:r>
        <w:rPr>
          <w:rFonts w:ascii="Times New Roman" w:hAnsi="Times New Roman"/>
          <w:color w:val="000000"/>
          <w:sz w:val="20"/>
        </w:rPr>
        <w:t>”.</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In total, the Group had access to undrawn SSRCF commitments at the end of the reporting period amounting to $78.5 million (2024: $190.5 million).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3.1.4.</w:t>
      </w:r>
    </w:p>
    <w:p>
      <w:pPr>
        <w:pStyle w:val="TextBody"/>
        <w:bidi w:val="0"/>
        <w:jc w:val="both"/>
        <w:rPr>
          <w:rFonts w:ascii="Times New Roman" w:hAnsi="Times New Roman"/>
          <w:b/>
          <w:color w:val="000000"/>
          <w:sz w:val="20"/>
        </w:rPr>
      </w:pPr>
      <w:r>
        <w:rPr>
          <w:rFonts w:ascii="Times New Roman" w:hAnsi="Times New Roman"/>
          <w:b/>
          <w:color w:val="000000"/>
          <w:sz w:val="20"/>
        </w:rPr>
        <w:t>Refinancing risk</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Refinancing risk is defined as the risk for difficulties in refinancing the Group, that financing cannot be achieved, or can only be achieved at a higher cost. Nordic Bonds, liabilities to credit institutions and available facilities within the Group have a weighted average maturity of 40 months per December 31, 2025 (2024: 29 months).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Convertible Notes (as defined below) will mature on September 14, 2028, unless earlier converted by the holders or required to be converted, repurchased or redeemed by the Company.</w:t>
      </w:r>
    </w:p>
    <w:p>
      <w:pPr>
        <w:pStyle w:val="TextBody"/>
        <w:bidi w:val="0"/>
        <w:spacing w:before="80" w:after="160"/>
        <w:jc w:val="both"/>
        <w:rPr>
          <w:rFonts w:ascii="Times New Roman" w:hAnsi="Times New Roman"/>
          <w:sz w:val="20"/>
        </w:rPr>
      </w:pPr>
      <w:r>
        <w:rPr>
          <w:rFonts w:ascii="Times New Roman" w:hAnsi="Times New Roman"/>
          <w:color w:val="000000"/>
          <w:sz w:val="20"/>
        </w:rPr>
        <w:t>For changes in facilities and borrowings during the reporting period, see Note 26 “</w:t>
      </w:r>
      <w:r>
        <w:rPr>
          <w:rFonts w:ascii="Times New Roman" w:hAnsi="Times New Roman"/>
          <w:i/>
          <w:color w:val="000000"/>
          <w:sz w:val="20"/>
        </w:rPr>
        <w:t>Interest-bearing loans and borrowings</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The tables below analyze the Group’s financial liabilities into maturity groupings based on their contractual maturities for: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non-derivative financial liabilities;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financial instruments for which the contractual maturities represent the timing of the cash flows.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The amounts disclosed in the table are the contractual undiscounted cash flows. Balances due within 12 months equal their carrying balances as the impact of discounting is not significant.</w:t>
      </w:r>
    </w:p>
    <w:tbl>
      <w:tblPr>
        <w:tblW w:w="10205" w:type="dxa"/>
        <w:jc w:val="left"/>
        <w:tblInd w:w="0" w:type="dxa"/>
        <w:tblLayout w:type="fixed"/>
        <w:tblCellMar>
          <w:top w:w="28" w:type="dxa"/>
          <w:left w:w="28" w:type="dxa"/>
          <w:bottom w:w="28" w:type="dxa"/>
          <w:right w:w="28" w:type="dxa"/>
        </w:tblCellMar>
      </w:tblPr>
      <w:tblGrid>
        <w:gridCol w:w="2026"/>
        <w:gridCol w:w="146"/>
        <w:gridCol w:w="146"/>
        <w:gridCol w:w="676"/>
        <w:gridCol w:w="146"/>
        <w:gridCol w:w="146"/>
        <w:gridCol w:w="146"/>
        <w:gridCol w:w="676"/>
        <w:gridCol w:w="146"/>
        <w:gridCol w:w="146"/>
        <w:gridCol w:w="146"/>
        <w:gridCol w:w="677"/>
        <w:gridCol w:w="146"/>
        <w:gridCol w:w="146"/>
        <w:gridCol w:w="146"/>
        <w:gridCol w:w="781"/>
        <w:gridCol w:w="146"/>
        <w:gridCol w:w="146"/>
        <w:gridCol w:w="146"/>
        <w:gridCol w:w="676"/>
        <w:gridCol w:w="146"/>
        <w:gridCol w:w="146"/>
        <w:gridCol w:w="148"/>
        <w:gridCol w:w="798"/>
        <w:gridCol w:w="146"/>
        <w:gridCol w:w="146"/>
        <w:gridCol w:w="146"/>
        <w:gridCol w:w="781"/>
        <w:gridCol w:w="192"/>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3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w:t>
              <w:br/>
              <w:t>3 months</w:t>
              <w:br/>
              <w:t>and</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 1</w:t>
              <w:br/>
              <w:t>and 2</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w:t>
              <w:br/>
              <w:t>2 and</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contractual</w:t>
              <w:br/>
              <w:t>cash 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(part of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333,145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Nordic Bonds (part of Non-Current and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187,059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 (part of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66,481</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74,524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863,034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626,716</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18"/>
        <w:gridCol w:w="146"/>
        <w:gridCol w:w="151"/>
        <w:gridCol w:w="699"/>
        <w:gridCol w:w="166"/>
        <w:gridCol w:w="146"/>
        <w:gridCol w:w="157"/>
        <w:gridCol w:w="726"/>
        <w:gridCol w:w="166"/>
        <w:gridCol w:w="146"/>
        <w:gridCol w:w="153"/>
        <w:gridCol w:w="708"/>
        <w:gridCol w:w="146"/>
        <w:gridCol w:w="146"/>
        <w:gridCol w:w="151"/>
        <w:gridCol w:w="810"/>
        <w:gridCol w:w="146"/>
        <w:gridCol w:w="146"/>
        <w:gridCol w:w="147"/>
        <w:gridCol w:w="684"/>
        <w:gridCol w:w="146"/>
        <w:gridCol w:w="146"/>
        <w:gridCol w:w="156"/>
        <w:gridCol w:w="842"/>
        <w:gridCol w:w="166"/>
        <w:gridCol w:w="146"/>
        <w:gridCol w:w="149"/>
        <w:gridCol w:w="797"/>
        <w:gridCol w:w="199"/>
      </w:tblGrid>
      <w:tr>
        <w:trPr/>
        <w:tc>
          <w:tcPr>
            <w:tcW w:w="1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3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 3 months and 1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 1 and 2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 2 and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contractual cash flows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(part of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 (part of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851,527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551,603</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 inflows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 outflows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Capital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objectives when managing capital are to safeguard its ability to continue as a going concern, so that the Group can continue its business and provide future returns for shareholders and maintain an optimal capital structure to reduce the cost of capital. In order to maintain or adjust the capital structure, the Group may issue new shares or sell assets to reduce debt. Capital is calculated as “equity attributable to shareholders of the parent” as shown in the balance sheet plus total borrowings (including non-current and current interest-bearing loans and borrowings and lease liabilities as shown in the balance sheet) less cash and cash equivalents.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Significant accounting judgments, estimates and assessments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preparation of the consolidated financial statements requires management to make judgments, estimates and assumptions that affect the reported amounts of revenues, expenses, assets, liabilities and equity in the consolidated financial statements and the accompanying disclosures. Estimates and judgments are continually evaluated and are based on historical experience and other factors, including expectations of future events. Uncertainty about these assumptions and the use of accounting estimates may not equal the actual results. This note provides an overview of the areas that involved a higher degree of judgment or complexity.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Revenue recognition—variable consideration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consideration in a contract includes a variable amount, the Group estimates the consideration to which the Group will be entitled in exchange for transferring goods to the customer. The Group’s expected discounts and payments for trade promotion activities are analyzed on a per customer basis. The Group estimates the consideration using either the expected value method or the most likely amount method, depending on which method better predicts the amount of consideration to which the Group will be entitled. The most likely amount method is used for contracts with a single contract sum, while the expected value method is used for contracts with more than one threshold due to the complexity and the activities agreed with the individual customer.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makes judgments when deciding whether trade promotion activities with a customer should be classified as a reduction to revenue or as a marketing expense. Generally, activities with the individual customer are accounted for as a reduction to revenue whereas costs related to broader marketing activities are classified as marketing expenses.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Valuation of loss carry-forwards</w:t>
      </w:r>
    </w:p>
    <w:p>
      <w:pPr>
        <w:pStyle w:val="TextBody"/>
        <w:bidi w:val="0"/>
        <w:spacing w:before="240" w:after="283"/>
        <w:jc w:val="both"/>
        <w:rPr>
          <w:rFonts w:ascii="Times New Roman" w:hAnsi="Times New Roman"/>
          <w:sz w:val="20"/>
        </w:rPr>
      </w:pPr>
      <w:r>
        <w:rPr>
          <w:rFonts w:ascii="Times New Roman" w:hAnsi="Times New Roman"/>
          <w:color w:val="000000"/>
          <w:sz w:val="20"/>
        </w:rPr>
        <w:t>A deferred tax asset is only recognized for loss carry-forwards, for which it is probable that they can be utilized against future tax surpluses and against taxable temporary differences. The majority of the loss carry-forwards as at December 31, 2025 and 2024 are not recognized in the Group as these are not expected to be utilized in the foreseeable future. Refer to Note 13 “</w:t>
      </w:r>
      <w:r>
        <w:rPr>
          <w:rFonts w:ascii="Times New Roman" w:hAnsi="Times New Roman"/>
          <w:i/>
          <w:color w:val="000000"/>
          <w:sz w:val="20"/>
        </w:rPr>
        <w:t>Income tax</w:t>
      </w:r>
      <w:r>
        <w:rPr>
          <w:rFonts w:ascii="Times New Roman" w:hAnsi="Times New Roman"/>
          <w:color w:val="000000"/>
          <w:sz w:val="20"/>
        </w:rPr>
        <w:t xml:space="preserve">” for further details.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120"/>
        <w:jc w:val="left"/>
        <w:rPr>
          <w:rFonts w:ascii="Times New Roman" w:hAnsi="Times New Roman"/>
          <w:sz w:val="20"/>
        </w:rPr>
      </w:pPr>
      <w:r>
        <w:rPr>
          <w:rFonts w:ascii="Times New Roman" w:hAnsi="Times New Roman"/>
          <w:i/>
          <w:color w:val="000000"/>
          <w:sz w:val="20"/>
        </w:rPr>
        <w:t>Test of impairment of non-financial assets, including goodwill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In accordance with the accounting principle presented in Note 2 “</w:t>
      </w:r>
      <w:r>
        <w:rPr>
          <w:rFonts w:ascii="Times New Roman" w:hAnsi="Times New Roman"/>
          <w:i/>
          <w:color w:val="000000"/>
          <w:sz w:val="20"/>
        </w:rPr>
        <w:t>Summary of significant accounting policies</w:t>
      </w:r>
      <w:r>
        <w:rPr>
          <w:rFonts w:ascii="Times New Roman" w:hAnsi="Times New Roman"/>
          <w:color w:val="000000"/>
          <w:sz w:val="20"/>
        </w:rPr>
        <w:t>” the Group performs tests annually and if there are any indications of impairment to determine whether there is a need for impairment of goodwill. Other non-financial assets are tested for impairment whenever events or changes in circumstances indicate that the carrying amount may not be recoverable.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considers various factors when reviewing for indicators of impairment. Due to the overall macroeconomic uncertainty, the ongoing restructuring and strategic review within the Group and previous years impairment tests being sensitive to changes in assumptions, management decided, as of December 31, 2025, to perform impairment tests for all the three operating segments, not only for the CGU containing goodwill. At present, the Group only has goodwill allocated to the operating segment Europe &amp; International.</w:t>
      </w:r>
    </w:p>
    <w:p>
      <w:pPr>
        <w:pStyle w:val="TextBody"/>
        <w:bidi w:val="0"/>
        <w:spacing w:before="240" w:after="283"/>
        <w:jc w:val="both"/>
        <w:rPr>
          <w:rFonts w:ascii="Times New Roman" w:hAnsi="Times New Roman"/>
          <w:sz w:val="20"/>
        </w:rPr>
      </w:pPr>
      <w:r>
        <w:rPr>
          <w:rFonts w:ascii="Times New Roman" w:hAnsi="Times New Roman"/>
          <w:color w:val="000000"/>
          <w:sz w:val="20"/>
        </w:rPr>
        <w:t>Recoverable amounts for cash generating units are established through the calculation of the value in use. The calculation of the value in use is based on estimated future cash flows. The Group has determined that long-term EBITDA margin, the discount rate and the long-term growth rate are the most significant assumptions in the impairment test. For further details on the test of impairment of goodwill refer to Note 15 “</w:t>
      </w:r>
      <w:r>
        <w:rPr>
          <w:rFonts w:ascii="Times New Roman" w:hAnsi="Times New Roman"/>
          <w:i/>
          <w:color w:val="000000"/>
          <w:sz w:val="20"/>
        </w:rPr>
        <w:t>Intangible assets</w:t>
      </w:r>
      <w:r>
        <w:rPr>
          <w:rFonts w:ascii="Times New Roman" w:hAnsi="Times New Roman"/>
          <w:color w:val="000000"/>
          <w:sz w:val="20"/>
        </w:rPr>
        <w:t>” and for the test of other non-financial assets refer to Note 16 “</w:t>
      </w:r>
      <w:r>
        <w:rPr>
          <w:rFonts w:ascii="Times New Roman" w:hAnsi="Times New Roman"/>
          <w:i/>
          <w:color w:val="000000"/>
          <w:sz w:val="20"/>
        </w:rPr>
        <w:t>Property, plant and equipment</w:t>
      </w:r>
      <w:r>
        <w:rPr>
          <w:rFonts w:ascii="Times New Roman" w:hAnsi="Times New Roman"/>
          <w:color w:val="000000"/>
          <w:sz w:val="20"/>
        </w:rPr>
        <w:t>”.</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Share-based compensation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Group measures the cost of equity-settled transactions by reference to the fair value of the equity instruments at the date at which they are granted. The fair value is estimated using a model, which requires the determination of the appropriate inputs. The assumptions and models used for estimating the fair value of share-based compensation transactions including sensitivity analysis are disclosed in Note </w:t>
      </w:r>
      <w:r>
        <w:rPr>
          <w:rFonts w:ascii="Times New Roman" w:hAnsi="Times New Roman"/>
          <w:i/>
          <w:color w:val="000000"/>
          <w:sz w:val="20"/>
        </w:rPr>
        <w:t xml:space="preserve">9 </w:t>
      </w:r>
      <w:r>
        <w:rPr>
          <w:rFonts w:ascii="Times New Roman" w:hAnsi="Times New Roman"/>
          <w:color w:val="000000"/>
          <w:sz w:val="20"/>
        </w:rPr>
        <w:t>“</w:t>
      </w:r>
      <w:r>
        <w:rPr>
          <w:rFonts w:ascii="Times New Roman" w:hAnsi="Times New Roman"/>
          <w:i/>
          <w:color w:val="000000"/>
          <w:sz w:val="20"/>
        </w:rPr>
        <w:t>Share-based compensation</w:t>
      </w:r>
      <w:r>
        <w:rPr>
          <w:rFonts w:ascii="Times New Roman" w:hAnsi="Times New Roman"/>
          <w:color w:val="000000"/>
          <w:sz w:val="20"/>
        </w:rPr>
        <w:t>”.</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Convertible Notes</w:t>
      </w:r>
    </w:p>
    <w:p>
      <w:pPr>
        <w:pStyle w:val="TextBody"/>
        <w:bidi w:val="0"/>
        <w:spacing w:before="120" w:after="283"/>
        <w:jc w:val="both"/>
        <w:rPr>
          <w:rFonts w:ascii="Times New Roman" w:hAnsi="Times New Roman"/>
          <w:sz w:val="20"/>
        </w:rPr>
      </w:pPr>
      <w:r>
        <w:rPr>
          <w:rFonts w:ascii="Times New Roman" w:hAnsi="Times New Roman"/>
          <w:color w:val="000000"/>
          <w:sz w:val="20"/>
        </w:rPr>
        <w:t>The Group has Convertible Notes (as defined below) which are classified as liabilities at the initial date of recognition at fair value through profit or loss. Fair value changes relating to the Group’s own credit risk are recognized in other comprehensive income. The fair value is estimated using a model, which requires the determination of the appropriate inputs. The assumptions and models used for estimating the fair value of the Convertible Notes including sensitivity analysis are disclosed in Note 19 “</w:t>
      </w:r>
      <w:r>
        <w:rPr>
          <w:rFonts w:ascii="Times New Roman" w:hAnsi="Times New Roman"/>
          <w:i/>
          <w:color w:val="000000"/>
          <w:sz w:val="20"/>
        </w:rPr>
        <w:t>Financial instruments per category</w:t>
      </w:r>
      <w:r>
        <w:rPr>
          <w:rFonts w:ascii="Times New Roman" w:hAnsi="Times New Roman"/>
          <w:color w:val="000000"/>
          <w:sz w:val="20"/>
        </w:rPr>
        <w:t xml:space="preserve">”. </w:t>
      </w:r>
    </w:p>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Asset impairment charges and other costs related to discontinued construction and closure of production facilities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makes assumptions and estimates when determining the non-cash impairment charges and other costs relating to the production facilities for which the decision has been made to discontinue construction or close. Management estimates the fair value less costs of disposal of property, plant and equipment and decommissioning costs based on a combination of data including agreements, quotes, ongoing negotiations with counterparties, input from suppliers and surveyors, and other market data.</w:t>
      </w:r>
    </w:p>
    <w:p>
      <w:pPr>
        <w:pStyle w:val="TextBody"/>
        <w:bidi w:val="0"/>
        <w:jc w:val="both"/>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Segment information</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Revenue Adjusted EBITDA and EBITDA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Segment information for the years ended December 31, 2025 and 2024 presented below.</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8"/>
        <w:gridCol w:w="146"/>
        <w:gridCol w:w="217"/>
        <w:gridCol w:w="1166"/>
        <w:gridCol w:w="166"/>
        <w:gridCol w:w="146"/>
        <w:gridCol w:w="156"/>
        <w:gridCol w:w="836"/>
        <w:gridCol w:w="166"/>
        <w:gridCol w:w="146"/>
        <w:gridCol w:w="155"/>
        <w:gridCol w:w="830"/>
        <w:gridCol w:w="166"/>
        <w:gridCol w:w="146"/>
        <w:gridCol w:w="149"/>
        <w:gridCol w:w="751"/>
        <w:gridCol w:w="166"/>
        <w:gridCol w:w="146"/>
        <w:gridCol w:w="196"/>
        <w:gridCol w:w="852"/>
        <w:gridCol w:w="166"/>
        <w:gridCol w:w="146"/>
        <w:gridCol w:w="146"/>
        <w:gridCol w:w="841"/>
        <w:gridCol w:w="216"/>
      </w:tblGrid>
      <w:tr>
        <w:trPr/>
        <w:tc>
          <w:tcPr>
            <w:tcW w:w="1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2025</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862,459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862,459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6,821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Closure of production facility</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(18,420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(144,918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1"/>
        <w:gridCol w:w="146"/>
        <w:gridCol w:w="204"/>
        <w:gridCol w:w="1094"/>
        <w:gridCol w:w="166"/>
        <w:gridCol w:w="146"/>
        <w:gridCol w:w="149"/>
        <w:gridCol w:w="802"/>
        <w:gridCol w:w="166"/>
        <w:gridCol w:w="146"/>
        <w:gridCol w:w="149"/>
        <w:gridCol w:w="799"/>
        <w:gridCol w:w="166"/>
        <w:gridCol w:w="146"/>
        <w:gridCol w:w="146"/>
        <w:gridCol w:w="841"/>
        <w:gridCol w:w="166"/>
        <w:gridCol w:w="146"/>
        <w:gridCol w:w="192"/>
        <w:gridCol w:w="830"/>
        <w:gridCol w:w="166"/>
        <w:gridCol w:w="146"/>
        <w:gridCol w:w="146"/>
        <w:gridCol w:w="841"/>
        <w:gridCol w:w="215"/>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2024</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440,692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823,666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closure of production facility</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discontinued construction of production facilities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New product launch issue</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(136,186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(198,573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 xml:space="preserve">* Corporate consists of general costs not allocated to the segments. </w:t>
      </w:r>
    </w:p>
    <w:p>
      <w:pPr>
        <w:pStyle w:val="TextBody"/>
        <w:bidi w:val="0"/>
        <w:jc w:val="left"/>
        <w:rPr>
          <w:rFonts w:ascii="Times New Roman" w:hAnsi="Times New Roman"/>
          <w:color w:val="000000"/>
          <w:sz w:val="20"/>
        </w:rPr>
      </w:pPr>
      <w:r>
        <w:rPr>
          <w:rFonts w:ascii="Times New Roman" w:hAnsi="Times New Roman"/>
          <w:color w:val="000000"/>
          <w:sz w:val="20"/>
        </w:rPr>
        <w:t>** Eliminations in 2025 and 2024 primarily refer to intersegment revenue for sales of products from Europe &amp; International to Greater China.</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Relates primarily to severance costs as the Group adjusts its organizational structure.</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Relates to costs for the strategic review of the Greater China segment, mainly consisting of cost for external consultants.</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Relates to costs for the closure of the Group’s production facility in Singapore.</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 xml:space="preserve">Relates primarily to non-cash impairments related to discontinued construction of the Group’s production facility in Peterborough, UK, reversal of previously recognized non-cash impairments related to discontinued construction of the Group’s production facility in Dallas-Fort Worth, Texas, and non-cash impairments related to discontinued construction of the Group’s second production facility in China (Asia III).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Expenses related to a new product launch issue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Non-current assets by country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Non-current assets for this purpose consist of property, plant and equipment and right-of-use assets: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39" w:type="dxa"/>
        <w:jc w:val="left"/>
        <w:tblInd w:w="0" w:type="dxa"/>
        <w:tblLayout w:type="fixed"/>
        <w:tblCellMar>
          <w:top w:w="28" w:type="dxa"/>
          <w:left w:w="28" w:type="dxa"/>
          <w:bottom w:w="28" w:type="dxa"/>
          <w:right w:w="28" w:type="dxa"/>
        </w:tblCellMar>
      </w:tblPr>
      <w:tblGrid>
        <w:gridCol w:w="1456"/>
        <w:gridCol w:w="146"/>
        <w:gridCol w:w="146"/>
        <w:gridCol w:w="781"/>
        <w:gridCol w:w="146"/>
        <w:gridCol w:w="146"/>
        <w:gridCol w:w="146"/>
        <w:gridCol w:w="78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339,754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 from external customers, broken down by location of the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is domiciled in Sweden. The amount of its revenue from external customers, broken down by location of the customers, is shown in the table below. </w:t>
      </w:r>
    </w:p>
    <w:tbl>
      <w:tblPr>
        <w:tblW w:w="3939" w:type="dxa"/>
        <w:jc w:val="left"/>
        <w:tblInd w:w="0" w:type="dxa"/>
        <w:tblLayout w:type="fixed"/>
        <w:tblCellMar>
          <w:top w:w="28" w:type="dxa"/>
          <w:left w:w="28" w:type="dxa"/>
          <w:bottom w:w="28" w:type="dxa"/>
          <w:right w:w="28" w:type="dxa"/>
        </w:tblCellMar>
      </w:tblPr>
      <w:tblGrid>
        <w:gridCol w:w="1456"/>
        <w:gridCol w:w="146"/>
        <w:gridCol w:w="146"/>
        <w:gridCol w:w="781"/>
        <w:gridCol w:w="146"/>
        <w:gridCol w:w="146"/>
        <w:gridCol w:w="146"/>
        <w:gridCol w:w="78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862,459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823,666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countries that individually make up greater than 10% of total revenue included in “Other”.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Revenue from external customers, broken down by channel and segment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from external customers, broken down by channel and segment, is shown in the table below. </w:t>
      </w:r>
    </w:p>
    <w:tbl>
      <w:tblPr>
        <w:tblW w:w="8741" w:type="dxa"/>
        <w:jc w:val="left"/>
        <w:tblInd w:w="0" w:type="dxa"/>
        <w:tblLayout w:type="fixed"/>
        <w:tblCellMar>
          <w:top w:w="28" w:type="dxa"/>
          <w:left w:w="28" w:type="dxa"/>
          <w:bottom w:w="28" w:type="dxa"/>
          <w:right w:w="28" w:type="dxa"/>
        </w:tblCellMar>
      </w:tblPr>
      <w:tblGrid>
        <w:gridCol w:w="2416"/>
        <w:gridCol w:w="146"/>
        <w:gridCol w:w="285"/>
        <w:gridCol w:w="1530"/>
        <w:gridCol w:w="146"/>
        <w:gridCol w:w="146"/>
        <w:gridCol w:w="189"/>
        <w:gridCol w:w="1011"/>
        <w:gridCol w:w="146"/>
        <w:gridCol w:w="146"/>
        <w:gridCol w:w="184"/>
        <w:gridCol w:w="986"/>
        <w:gridCol w:w="146"/>
        <w:gridCol w:w="146"/>
        <w:gridCol w:w="146"/>
        <w:gridCol w:w="781"/>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482,861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862,459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tbl>
      <w:tblPr>
        <w:tblW w:w="8741" w:type="dxa"/>
        <w:jc w:val="left"/>
        <w:tblInd w:w="0" w:type="dxa"/>
        <w:tblLayout w:type="fixed"/>
        <w:tblCellMar>
          <w:top w:w="28" w:type="dxa"/>
          <w:left w:w="28" w:type="dxa"/>
          <w:bottom w:w="28" w:type="dxa"/>
          <w:right w:w="28" w:type="dxa"/>
        </w:tblCellMar>
      </w:tblPr>
      <w:tblGrid>
        <w:gridCol w:w="2416"/>
        <w:gridCol w:w="146"/>
        <w:gridCol w:w="285"/>
        <w:gridCol w:w="1530"/>
        <w:gridCol w:w="146"/>
        <w:gridCol w:w="146"/>
        <w:gridCol w:w="189"/>
        <w:gridCol w:w="1011"/>
        <w:gridCol w:w="146"/>
        <w:gridCol w:w="146"/>
        <w:gridCol w:w="184"/>
        <w:gridCol w:w="986"/>
        <w:gridCol w:w="146"/>
        <w:gridCol w:w="146"/>
        <w:gridCol w:w="146"/>
        <w:gridCol w:w="781"/>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823,666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is primarily related to e-commerce, both direct-to-consumer and through third-party platforms.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of approximately 6% in 2025 (2024:10%) were derived from a single external customer in the foodservice channel. These revenues were attributed to the North America and Greater China segments.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Oatmilk accounted for 90% of the Group’s revenue in the years ended December 31, 2025 and 2024, respectively.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Renumeration to auditors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99" w:type="dxa"/>
        <w:jc w:val="left"/>
        <w:tblInd w:w="0" w:type="dxa"/>
        <w:tblLayout w:type="fixed"/>
        <w:tblCellMar>
          <w:top w:w="28" w:type="dxa"/>
          <w:left w:w="28" w:type="dxa"/>
          <w:bottom w:w="28" w:type="dxa"/>
          <w:right w:w="28" w:type="dxa"/>
        </w:tblCellMar>
      </w:tblPr>
      <w:tblGrid>
        <w:gridCol w:w="4636"/>
        <w:gridCol w:w="146"/>
        <w:gridCol w:w="146"/>
        <w:gridCol w:w="571"/>
        <w:gridCol w:w="146"/>
        <w:gridCol w:w="146"/>
        <w:gridCol w:w="146"/>
        <w:gridCol w:w="571"/>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auditors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consultancy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Audit services relate to the examination of the annual report and the accounting as well as the Board of Directors’ and CEO’s administration, all other tasks incumbent on the Company’s auditor as well as any consultancy or other services brought about by the observations made during such an examination or the performance of other such tasks.</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Depreciation, amortization and impairment by function</w:t>
      </w:r>
    </w:p>
    <w:p>
      <w:pPr>
        <w:pStyle w:val="TextBody"/>
        <w:bidi w:val="0"/>
        <w:jc w:val="both"/>
        <w:rPr/>
      </w:pPr>
      <w:r>
        <w:rPr/>
        <w:t> </w:t>
      </w:r>
    </w:p>
    <w:tbl>
      <w:tblPr>
        <w:tblW w:w="9934" w:type="dxa"/>
        <w:jc w:val="left"/>
        <w:tblInd w:w="0" w:type="dxa"/>
        <w:tblLayout w:type="fixed"/>
        <w:tblCellMar>
          <w:top w:w="28" w:type="dxa"/>
          <w:left w:w="28" w:type="dxa"/>
          <w:bottom w:w="28" w:type="dxa"/>
          <w:right w:w="28" w:type="dxa"/>
        </w:tblCellMar>
      </w:tblPr>
      <w:tblGrid>
        <w:gridCol w:w="4921"/>
        <w:gridCol w:w="146"/>
        <w:gridCol w:w="164"/>
        <w:gridCol w:w="827"/>
        <w:gridCol w:w="166"/>
        <w:gridCol w:w="146"/>
        <w:gridCol w:w="166"/>
        <w:gridCol w:w="840"/>
        <w:gridCol w:w="166"/>
        <w:gridCol w:w="146"/>
        <w:gridCol w:w="158"/>
        <w:gridCol w:w="683"/>
        <w:gridCol w:w="166"/>
        <w:gridCol w:w="146"/>
        <w:gridCol w:w="146"/>
        <w:gridCol w:w="736"/>
        <w:gridCol w:w="21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w:t>
              <w:br/>
              <w:t>   plant</w:t>
              <w:br/>
              <w:t>and</w:t>
              <w:br/>
              <w:t>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Right-of-use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w:t>
              <w:br/>
              <w:t>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depreciation/amortization/impairment by function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tbl>
      <w:tblPr>
        <w:tblW w:w="10099" w:type="dxa"/>
        <w:jc w:val="left"/>
        <w:tblInd w:w="0" w:type="dxa"/>
        <w:tblLayout w:type="fixed"/>
        <w:tblCellMar>
          <w:top w:w="28" w:type="dxa"/>
          <w:left w:w="28" w:type="dxa"/>
          <w:bottom w:w="28" w:type="dxa"/>
          <w:right w:w="28" w:type="dxa"/>
        </w:tblCellMar>
      </w:tblPr>
      <w:tblGrid>
        <w:gridCol w:w="5086"/>
        <w:gridCol w:w="146"/>
        <w:gridCol w:w="164"/>
        <w:gridCol w:w="827"/>
        <w:gridCol w:w="166"/>
        <w:gridCol w:w="146"/>
        <w:gridCol w:w="166"/>
        <w:gridCol w:w="840"/>
        <w:gridCol w:w="166"/>
        <w:gridCol w:w="146"/>
        <w:gridCol w:w="158"/>
        <w:gridCol w:w="683"/>
        <w:gridCol w:w="166"/>
        <w:gridCol w:w="146"/>
        <w:gridCol w:w="146"/>
        <w:gridCol w:w="736"/>
        <w:gridCol w:w="2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w:t>
              <w:br/>
              <w:t>   plant</w:t>
              <w:br/>
              <w:t>and</w:t>
              <w:br/>
              <w:t>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Right-of-use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w:t>
              <w:br/>
              <w:t>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depreciation/amortization/impairment by function</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(49,966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pPr>
      <w:r>
        <w:rPr>
          <w:rFonts w:ascii="Times New Roman" w:hAnsi="Times New Roman"/>
          <w:color w:val="000000"/>
          <w:sz w:val="20"/>
        </w:rPr>
        <w:t>The impairment related to discontinued construction of certain production facilities is included in Other operating income and (expenses), net in the consolidated statement of operations. Refer to Note 16 “</w:t>
      </w:r>
      <w:r>
        <w:rPr>
          <w:rFonts w:ascii="Times New Roman" w:hAnsi="Times New Roman"/>
          <w:i/>
          <w:color w:val="000000"/>
          <w:sz w:val="20"/>
        </w:rPr>
        <w:t>Property, plant and equipment</w:t>
      </w:r>
      <w:r>
        <w:rPr>
          <w:color w:val="000000"/>
        </w:rPr>
        <w:t xml:space="preserve">” </w:t>
      </w:r>
      <w:r>
        <w:rPr>
          <w:rFonts w:ascii="Times New Roman" w:hAnsi="Times New Roman"/>
          <w:color w:val="000000"/>
          <w:sz w:val="20"/>
        </w:rPr>
        <w:t>and Note 17</w:t>
      </w:r>
      <w:r>
        <w:rPr>
          <w:color w:val="000000"/>
        </w:rPr>
        <w:t xml:space="preserve"> “</w:t>
      </w:r>
      <w:r>
        <w:rPr>
          <w:rFonts w:ascii="Times New Roman" w:hAnsi="Times New Roman"/>
          <w:i/>
          <w:color w:val="000000"/>
          <w:sz w:val="20"/>
        </w:rPr>
        <w:t>Leases</w:t>
      </w:r>
      <w:r>
        <w:rPr>
          <w:color w:val="000000"/>
        </w:rPr>
        <w:t xml:space="preserve">” </w:t>
      </w:r>
      <w:r>
        <w:rPr>
          <w:rFonts w:ascii="Times New Roman" w:hAnsi="Times New Roman"/>
          <w:color w:val="000000"/>
          <w:sz w:val="20"/>
        </w:rPr>
        <w:t>for further details</w:t>
      </w:r>
      <w:r>
        <w:rPr>
          <w:rFonts w:ascii="Times New Roman" w:hAnsi="Times New Roman"/>
          <w:i/>
          <w:color w:val="000000"/>
          <w:sz w:val="20"/>
        </w:rPr>
        <w:t xml:space="preserve">.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Employee and personnel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disclosure amounts are based on the expense recognized in the consolidated statement of operations. </w:t>
      </w:r>
    </w:p>
    <w:p>
      <w:pPr>
        <w:pStyle w:val="TextBody"/>
        <w:bidi w:val="0"/>
        <w:jc w:val="both"/>
        <w:rPr/>
      </w:pPr>
      <w:r>
        <w:rPr/>
        <w:t> </w:t>
      </w:r>
    </w:p>
    <w:tbl>
      <w:tblPr>
        <w:tblW w:w="7825" w:type="dxa"/>
        <w:jc w:val="left"/>
        <w:tblInd w:w="0" w:type="dxa"/>
        <w:tblLayout w:type="fixed"/>
        <w:tblCellMar>
          <w:top w:w="28" w:type="dxa"/>
          <w:left w:w="28" w:type="dxa"/>
          <w:bottom w:w="28" w:type="dxa"/>
          <w:right w:w="28" w:type="dxa"/>
        </w:tblCellMar>
      </w:tblPr>
      <w:tblGrid>
        <w:gridCol w:w="4096"/>
        <w:gridCol w:w="146"/>
        <w:gridCol w:w="226"/>
        <w:gridCol w:w="1304"/>
        <w:gridCol w:w="166"/>
        <w:gridCol w:w="146"/>
        <w:gridCol w:w="226"/>
        <w:gridCol w:w="1304"/>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Salaries, other benefits and social security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other remuneration (of which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(135,526) (8,627)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(139,244) (7,452)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payments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post-employment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(181,724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rFonts w:ascii="Times New Roman" w:hAnsi="Times New Roman"/>
          <w:sz w:val="20"/>
        </w:rPr>
      </w:pPr>
      <w:r>
        <w:rPr>
          <w:rFonts w:ascii="Times New Roman" w:hAnsi="Times New Roman"/>
          <w:color w:val="000000"/>
          <w:sz w:val="20"/>
        </w:rPr>
        <w:t>(1) Refer to Note 9 “</w:t>
      </w:r>
      <w:r>
        <w:rPr>
          <w:rFonts w:ascii="Times New Roman" w:hAnsi="Times New Roman"/>
          <w:i/>
          <w:color w:val="000000"/>
          <w:sz w:val="20"/>
        </w:rPr>
        <w:t>Share-based compensation</w:t>
      </w:r>
      <w:r>
        <w:rPr>
          <w:rFonts w:ascii="Times New Roman" w:hAnsi="Times New Roman"/>
          <w:color w:val="000000"/>
          <w:sz w:val="20"/>
        </w:rPr>
        <w:t>” for further details.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79" w:type="dxa"/>
        <w:jc w:val="left"/>
        <w:tblInd w:w="0" w:type="dxa"/>
        <w:tblLayout w:type="fixed"/>
        <w:tblCellMar>
          <w:top w:w="28" w:type="dxa"/>
          <w:left w:w="28" w:type="dxa"/>
          <w:bottom w:w="28" w:type="dxa"/>
          <w:right w:w="28" w:type="dxa"/>
        </w:tblCellMar>
      </w:tblPr>
      <w:tblGrid>
        <w:gridCol w:w="3736"/>
        <w:gridCol w:w="146"/>
        <w:gridCol w:w="146"/>
        <w:gridCol w:w="841"/>
        <w:gridCol w:w="166"/>
        <w:gridCol w:w="146"/>
        <w:gridCol w:w="146"/>
        <w:gridCol w:w="841"/>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Employee benefits expenses by function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(181,724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14"/>
        <w:gridCol w:w="146"/>
        <w:gridCol w:w="200"/>
        <w:gridCol w:w="1010"/>
        <w:gridCol w:w="166"/>
        <w:gridCol w:w="146"/>
        <w:gridCol w:w="200"/>
        <w:gridCol w:w="1010"/>
        <w:gridCol w:w="213"/>
      </w:tblGrid>
      <w:tr>
        <w:trPr/>
        <w:tc>
          <w:tcPr>
            <w:tcW w:w="7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Salaries, other benefits and social security expenses - Board members, Chief Executive Officer and other Senior Executives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employee benefits (of which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 (2,017)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 (1,263)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post-employment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payments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(17,837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left"/>
        <w:rPr>
          <w:rFonts w:ascii="Times New Roman" w:hAnsi="Times New Roman"/>
          <w:sz w:val="20"/>
        </w:rPr>
      </w:pPr>
      <w:r>
        <w:rPr>
          <w:rFonts w:ascii="Times New Roman" w:hAnsi="Times New Roman"/>
          <w:color w:val="000000"/>
          <w:sz w:val="20"/>
        </w:rPr>
        <w:t>(1) Refer to Note 9 “</w:t>
      </w:r>
      <w:r>
        <w:rPr>
          <w:rFonts w:ascii="Times New Roman" w:hAnsi="Times New Roman"/>
          <w:i/>
          <w:color w:val="000000"/>
          <w:sz w:val="20"/>
        </w:rPr>
        <w:t>Share-based compensation</w:t>
      </w:r>
      <w:r>
        <w:rPr>
          <w:rFonts w:ascii="Times New Roman" w:hAnsi="Times New Roman"/>
          <w:color w:val="000000"/>
          <w:sz w:val="20"/>
        </w:rPr>
        <w:t>” for further details.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During the year ended December 31, 2025, key management consisted of an average of 8 members of management, including the Company's executive officers and excluding the Board of Directors (2024: 13 members) As of December 31, 2025, key management consisted of 8 members.</w:t>
      </w:r>
    </w:p>
    <w:tbl>
      <w:tblPr>
        <w:tblW w:w="10205" w:type="dxa"/>
        <w:jc w:val="left"/>
        <w:tblInd w:w="0" w:type="dxa"/>
        <w:tblLayout w:type="fixed"/>
        <w:tblCellMar>
          <w:top w:w="28" w:type="dxa"/>
          <w:left w:w="28" w:type="dxa"/>
          <w:bottom w:w="28" w:type="dxa"/>
          <w:right w:w="28" w:type="dxa"/>
        </w:tblCellMar>
      </w:tblPr>
      <w:tblGrid>
        <w:gridCol w:w="2020"/>
        <w:gridCol w:w="146"/>
        <w:gridCol w:w="166"/>
        <w:gridCol w:w="718"/>
        <w:gridCol w:w="166"/>
        <w:gridCol w:w="146"/>
        <w:gridCol w:w="228"/>
        <w:gridCol w:w="989"/>
        <w:gridCol w:w="166"/>
        <w:gridCol w:w="146"/>
        <w:gridCol w:w="277"/>
        <w:gridCol w:w="916"/>
        <w:gridCol w:w="166"/>
        <w:gridCol w:w="146"/>
        <w:gridCol w:w="163"/>
        <w:gridCol w:w="544"/>
        <w:gridCol w:w="166"/>
        <w:gridCol w:w="146"/>
        <w:gridCol w:w="242"/>
        <w:gridCol w:w="1052"/>
        <w:gridCol w:w="166"/>
        <w:gridCol w:w="231"/>
        <w:gridCol w:w="146"/>
        <w:gridCol w:w="736"/>
        <w:gridCol w:w="217"/>
      </w:tblGrid>
      <w:tr>
        <w:trPr/>
        <w:tc>
          <w:tcPr>
            <w:tcW w:w="2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103"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Salaries, other benefits and social security expenses - Board members, Chief Executive Officer and other Senior Executives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salary/board fee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Variable remuneration</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Other remuneration</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Share-based compensation expense</w:t>
            </w:r>
            <w:r>
              <w:rPr>
                <w:rFonts w:ascii="Times New Roman" w:hAnsi="Times New Roman"/>
                <w:b/>
                <w:color w:val="000000"/>
                <w:sz w:val="11"/>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Board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Chairperson of the Board Eric Melloul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Benjamin Black</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Martin Brok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Gregory Christenson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Ann Chung</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Bernard Hours</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Hannah Jones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Nan Li</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Wenjie Ma</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Frances Rathke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Lai Shu Tuen-Muk</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Xin Wang</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Yawen Wu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Employee representatives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Lillis Härd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Rholane Shiburi</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 and other senior executives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Jean-Christophe Flatin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senior executives (7 persons)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remuneration to board members, CEO and other senior executives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(15,152</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 Variable remuneration relates to bonus compensation awarded by the Company’s remuneration committee in its discretion for recognition of the executive’s performance and advancement of the Company’s strategic business plan.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(2) Other remuneration is primarily comprised of car benefit, holiday allowance and health insurance.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(3) Amounts represent the expense recognized, in accordance with IFRS 2, in the consolidated statement of operations, based on the grant date fair value, rather than the amounts paid to or realized by the named individual.</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(4) Represents RSUs granted in 2025 and 2024.</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(5) Represents RSUs granted in 2024.</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(6) Represents stock options and RSUs granted in 2022, 2023, 2024 and 2025.</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(7) Mr. Black, Mr. Li and Mr. Ma joined the Board of Directors, effective July 22, 2025.</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(8) Ms. Chung stepped down from the Board of Directors effective October 31, 2025.</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(9) Mr. Hours, Mr. Tuen-Muk and Mr. Wang stepped down from the Board of Directors effective July 22, 2025.</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(10) Mr Shiburi joined the Board of Directors effective September 26, 2025.</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165"/>
        <w:gridCol w:w="146"/>
        <w:gridCol w:w="167"/>
        <w:gridCol w:w="725"/>
        <w:gridCol w:w="166"/>
        <w:gridCol w:w="146"/>
        <w:gridCol w:w="223"/>
        <w:gridCol w:w="972"/>
        <w:gridCol w:w="166"/>
        <w:gridCol w:w="146"/>
        <w:gridCol w:w="218"/>
        <w:gridCol w:w="948"/>
        <w:gridCol w:w="166"/>
        <w:gridCol w:w="146"/>
        <w:gridCol w:w="153"/>
        <w:gridCol w:w="508"/>
        <w:gridCol w:w="166"/>
        <w:gridCol w:w="146"/>
        <w:gridCol w:w="247"/>
        <w:gridCol w:w="1074"/>
        <w:gridCol w:w="166"/>
        <w:gridCol w:w="146"/>
        <w:gridCol w:w="146"/>
        <w:gridCol w:w="736"/>
        <w:gridCol w:w="217"/>
      </w:tblGrid>
      <w:tr>
        <w:trPr/>
        <w:tc>
          <w:tcPr>
            <w:tcW w:w="2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161"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Salaries, other benefits and social security expenses - Board members, Chief Executive Officer and other Senior Executives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pay/Board fees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Variable remuneration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remuneration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Share-based compensation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Board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Brok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Hannah Jones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Frances Rathke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 Chung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Chairperson of the Board Eric Melloul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Lai Shu Tuen-Muk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Yawen Wu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Bernard Hours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Xin Wang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Christenson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Chu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Toni Petersson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Employee representatives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Lillis Härd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 and other senior executives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Jean-Christophe Flatin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senior executives (12 persons)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(12,878</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remuneration to board members, CEO and other senior executives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(17,571</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For the CEO, a notice period of 6 months applies if a termination of employment should be initiated by the Company. Should a termination of employment be initiated by the CEO, the notice period is 3 months.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For other senior executives employed in Sweden, a mutual notice period of 6 months applies for everyone.</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For other senior executives employed in countries other then Sweden, the notice period varies between 0-6 months from both the Company and the employee's side.</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7"/>
        <w:gridCol w:w="146"/>
        <w:gridCol w:w="210"/>
        <w:gridCol w:w="822"/>
        <w:gridCol w:w="146"/>
        <w:gridCol w:w="146"/>
        <w:gridCol w:w="146"/>
        <w:gridCol w:w="421"/>
        <w:gridCol w:w="146"/>
        <w:gridCol w:w="146"/>
        <w:gridCol w:w="170"/>
        <w:gridCol w:w="491"/>
        <w:gridCol w:w="146"/>
        <w:gridCol w:w="146"/>
        <w:gridCol w:w="210"/>
        <w:gridCol w:w="822"/>
        <w:gridCol w:w="146"/>
        <w:gridCol w:w="146"/>
        <w:gridCol w:w="146"/>
        <w:gridCol w:w="421"/>
        <w:gridCol w:w="146"/>
        <w:gridCol w:w="146"/>
        <w:gridCol w:w="170"/>
        <w:gridCol w:w="491"/>
        <w:gridCol w:w="192"/>
      </w:tblGrid>
      <w:tr>
        <w:trPr/>
        <w:tc>
          <w:tcPr>
            <w:tcW w:w="3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Average number of employees per geographical breakdown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766</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009" w:type="dxa"/>
        <w:jc w:val="left"/>
        <w:tblInd w:w="0" w:type="dxa"/>
        <w:tblLayout w:type="fixed"/>
        <w:tblCellMar>
          <w:top w:w="28" w:type="dxa"/>
          <w:left w:w="28" w:type="dxa"/>
          <w:bottom w:w="28" w:type="dxa"/>
          <w:right w:w="28" w:type="dxa"/>
        </w:tblCellMar>
      </w:tblPr>
      <w:tblGrid>
        <w:gridCol w:w="2776"/>
        <w:gridCol w:w="146"/>
        <w:gridCol w:w="344"/>
        <w:gridCol w:w="751"/>
        <w:gridCol w:w="146"/>
        <w:gridCol w:w="146"/>
        <w:gridCol w:w="146"/>
        <w:gridCol w:w="316"/>
        <w:gridCol w:w="146"/>
        <w:gridCol w:w="146"/>
        <w:gridCol w:w="270"/>
        <w:gridCol w:w="391"/>
        <w:gridCol w:w="146"/>
        <w:gridCol w:w="146"/>
        <w:gridCol w:w="344"/>
        <w:gridCol w:w="751"/>
        <w:gridCol w:w="146"/>
        <w:gridCol w:w="146"/>
        <w:gridCol w:w="146"/>
        <w:gridCol w:w="316"/>
        <w:gridCol w:w="146"/>
        <w:gridCol w:w="146"/>
        <w:gridCol w:w="270"/>
        <w:gridCol w:w="39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Gender distribution in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and other senior executives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Share-based compensation</w:t>
      </w:r>
    </w:p>
    <w:p>
      <w:pPr>
        <w:pStyle w:val="Heading2"/>
        <w:bidi w:val="0"/>
        <w:spacing w:before="240" w:after="120"/>
        <w:jc w:val="left"/>
        <w:rPr>
          <w:rFonts w:ascii="Times New Roman" w:hAnsi="Times New Roman"/>
          <w:sz w:val="20"/>
        </w:rPr>
      </w:pPr>
      <w:r>
        <w:rPr>
          <w:rFonts w:ascii="Times New Roman" w:hAnsi="Times New Roman"/>
          <w:i/>
          <w:color w:val="000000"/>
          <w:sz w:val="20"/>
        </w:rPr>
        <w:t>2021 Plan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During the year ended December 31, 2021, in connection with the initial public offering (“IPO”),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ordinary shares have been reserved for grants pursuant to a variety of share-based compensation awards, including, but not limited to, stock options and restricted stock units (“RSUs”). To secure the future delivery of ordinary shares and ADSs under the 2021 Plan, the Company’s shareholders resolved to issue 69,496,515 warrants. The right to subscribe for the warrants vests only in the Company. See Note 25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RSUs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twelve months ended December 31, 2025, the Company, under the 2021 Plan, granted 1,330,234 RSUs, of which 352,857 were granted to members of key management, including the executive officers, and the Board of Directors. 411,040 RSUs vested during the period, of which 161,264 were to key management. The RSUs are accounted for as equity-settled share-based compensation transactions. The RSUs are measured based on the fair market value of the underlying ADSs on the date of grant. The RSUs granted to employees under the 2021 Plan vest in equal installments on each of the first three anniversaries of the date of grant, subject to continued service. The RSUs granted to members of the Company’s Board of Directors vest on the date of the next annual general meeting of shareholders following the grant date, subject to continued service on the applicable vesting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June 18, 2024, pursuant to the resolutions of the Company’s remuneration committee, the Board of Directors and the shareholders of the Company, certain senior key employees were offered the opportunity to exchange outstanding unexercised stock options for a smaller number of RSUs. All holders of unexercised stock options granted during May 2021 and July 2023, with exercise prices ranging from $31.20 to $340.00, were offered to participate in the exchange. The number of new RSUs were determined such that the fair market value of the ADSs underlying the new RSUs equals the fair value of the exchanged stock options. For these purposes, fair market value was determined on a grant-by-grant basis and the number of ADSs underlying new RSUs equals the Black-Scholes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option-pricing model value of the exchanged stock options, resulting in a weighted average conversion rate of 0.3492 RSUs per stock option. The exchange was completed on June 28, 2024 with a total of 212,862 new RSUs granted, of which 165,172 were granted to members of key management, including the Company's executive officers, in exchange for a total number of 609,489 stock options. The new RSUs granted will vest and become exercisable in equal installments on each of the first two annual vesting dates falling after the grant date subject to continued service.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Activity in the Group’s RSUs outstanding and related information is as follows:</w:t>
      </w:r>
    </w:p>
    <w:tbl>
      <w:tblPr>
        <w:tblW w:w="8885" w:type="dxa"/>
        <w:jc w:val="left"/>
        <w:tblInd w:w="0" w:type="dxa"/>
        <w:tblLayout w:type="fixed"/>
        <w:tblCellMar>
          <w:top w:w="28" w:type="dxa"/>
          <w:left w:w="28" w:type="dxa"/>
          <w:bottom w:w="28" w:type="dxa"/>
          <w:right w:w="28" w:type="dxa"/>
        </w:tblCellMar>
      </w:tblPr>
      <w:tblGrid>
        <w:gridCol w:w="3676"/>
        <w:gridCol w:w="146"/>
        <w:gridCol w:w="179"/>
        <w:gridCol w:w="1141"/>
        <w:gridCol w:w="166"/>
        <w:gridCol w:w="146"/>
        <w:gridCol w:w="659"/>
        <w:gridCol w:w="258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420,791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granted in exchange for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820,170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1,621,503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20"/>
        </w:rPr>
        <w:br/>
      </w:r>
      <w:r>
        <w:rPr>
          <w:rFonts w:ascii="Times New Roman" w:hAnsi="Times New Roman"/>
          <w:i/>
          <w:color w:val="000000"/>
          <w:sz w:val="20"/>
        </w:rPr>
        <w:t>Employee 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twelve months ended December 31, 2025, the Company, under the 2021 Plan, granted no new stock options. 196,628 stock options vested during the period, of which 100,326 were to key management. The stock options are accounted for as equity-settled share-based compensation transactions. For stock options granted under the 2021 Plan, the exercise price is equal to the fair value of the ADSs on the date of grant. The stock options granted to participants under the 2021 Plan vest in equal installments on each of the first three anniversaries of the date of grant, subject to continued service. The stock options expire, in relation to each installment under the vesting schedule, five years after vesting, corresponding to a total term of six, seven and eight years for the respective installment.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Activity in the Group’s stock options outstanding and related information is as follows:</w:t>
      </w:r>
    </w:p>
    <w:p>
      <w:pPr>
        <w:pStyle w:val="TextBody"/>
        <w:bidi w:val="0"/>
        <w:jc w:val="both"/>
        <w:rPr/>
      </w:pPr>
      <w:r>
        <w:rPr/>
        <w:t> </w:t>
      </w:r>
    </w:p>
    <w:tbl>
      <w:tblPr>
        <w:tblW w:w="9965" w:type="dxa"/>
        <w:jc w:val="left"/>
        <w:tblInd w:w="0" w:type="dxa"/>
        <w:tblLayout w:type="fixed"/>
        <w:tblCellMar>
          <w:top w:w="28" w:type="dxa"/>
          <w:left w:w="28" w:type="dxa"/>
          <w:bottom w:w="28" w:type="dxa"/>
          <w:right w:w="28" w:type="dxa"/>
        </w:tblCellMar>
      </w:tblPr>
      <w:tblGrid>
        <w:gridCol w:w="4021"/>
        <w:gridCol w:w="146"/>
        <w:gridCol w:w="351"/>
        <w:gridCol w:w="2244"/>
        <w:gridCol w:w="166"/>
        <w:gridCol w:w="146"/>
        <w:gridCol w:w="479"/>
        <w:gridCol w:w="222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employee 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1,064,460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exchanged to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Expired during the period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Expired during the period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Includes 0 forfeited stock options related to the Company’s organizational restructuring during the year ended December 31, 2025 (2024: 79,472)</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Includes 15,797 expired stock options related to the Company’s organizational restructuring during the year ended December 31, 2025 (2024: 222,309)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ADS price at exercise for stock options exercised during the twelve months ended December 31, 2025 was $18.08.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at grant date of the stock options granted during the financial year 2024 was $13.4 for the May 2024 grant date and $9.2 for the November 2024 grant date. The fair value at grant date of the stock options granted during the financial year 2023 was $19.6 for the May 2023 grant date. $21.8 for the July 2023 grant date and $8.6 for the November 2023 grant date. The fair value at grant date of the stock options granted during the financial year 2022 was $29.8 for the May 2022 grant date and $17.2 for the November 2022 grant date. The fair value at grant date of the stock options granted during the financial year 2021 was $124.8 for the May 2021 grant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and $73.4 for the November 2021 grant date. The fair value of the stock options at grant date has been determined using the Black-Scholes option-pricing model, which takes into account the exercise price, the expected term of the stock options, the ADS price at grant date, expected price volatility of the underlying ADSs,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RSU or stock option entitles the holder to acquire, as determined by the Board of Directors, either twenty ordinary shares, twenty warrants or one ADS in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lists the inputs to the Black-Scholes option-pricing model used for employee stock options granted during the financial year 2025 and 2024 respectively. No stock options were granted during 2025.</w:t>
      </w:r>
    </w:p>
    <w:p>
      <w:pPr>
        <w:pStyle w:val="TextBody"/>
        <w:bidi w:val="0"/>
        <w:jc w:val="left"/>
        <w:rPr/>
      </w:pPr>
      <w:r>
        <w:rPr/>
        <w:t> </w:t>
      </w:r>
    </w:p>
    <w:tbl>
      <w:tblPr>
        <w:tblW w:w="6775" w:type="dxa"/>
        <w:jc w:val="left"/>
        <w:tblInd w:w="0" w:type="dxa"/>
        <w:tblLayout w:type="fixed"/>
        <w:tblCellMar>
          <w:top w:w="28" w:type="dxa"/>
          <w:left w:w="28" w:type="dxa"/>
          <w:bottom w:w="28" w:type="dxa"/>
          <w:right w:w="28" w:type="dxa"/>
        </w:tblCellMar>
      </w:tblPr>
      <w:tblGrid>
        <w:gridCol w:w="4456"/>
        <w:gridCol w:w="146"/>
        <w:gridCol w:w="886"/>
        <w:gridCol w:w="146"/>
        <w:gridCol w:w="114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ADS price at 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price volatility of the Company’s ADSs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50.00-55.00</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3.84-4.61</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Share-based compensation expense was $13.3 million for the twelve months ended December 31, 2025 (2024: $13.6 million).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Other operating income and (expenses), net</w:t>
      </w:r>
    </w:p>
    <w:tbl>
      <w:tblPr>
        <w:tblW w:w="9529" w:type="dxa"/>
        <w:jc w:val="left"/>
        <w:tblInd w:w="0" w:type="dxa"/>
        <w:tblLayout w:type="fixed"/>
        <w:tblCellMar>
          <w:top w:w="28" w:type="dxa"/>
          <w:left w:w="28" w:type="dxa"/>
          <w:bottom w:w="28" w:type="dxa"/>
          <w:right w:w="28" w:type="dxa"/>
        </w:tblCellMar>
      </w:tblPr>
      <w:tblGrid>
        <w:gridCol w:w="7201"/>
        <w:gridCol w:w="146"/>
        <w:gridCol w:w="146"/>
        <w:gridCol w:w="631"/>
        <w:gridCol w:w="166"/>
        <w:gridCol w:w="146"/>
        <w:gridCol w:w="146"/>
        <w:gridCol w:w="736"/>
        <w:gridCol w:w="211"/>
      </w:tblGrid>
      <w:tr>
        <w:trPr/>
        <w:tc>
          <w:tcPr>
            <w:tcW w:w="7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review of Greater China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related to discontinued construction of certain production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 related to discontinued construction of certain production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related to closure of production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 related to closure of production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(67,790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Finance income and expenses</w:t>
      </w:r>
    </w:p>
    <w:tbl>
      <w:tblPr>
        <w:tblW w:w="5974" w:type="dxa"/>
        <w:jc w:val="left"/>
        <w:tblInd w:w="0" w:type="dxa"/>
        <w:tblLayout w:type="fixed"/>
        <w:tblCellMar>
          <w:top w:w="28" w:type="dxa"/>
          <w:left w:w="28" w:type="dxa"/>
          <w:bottom w:w="28" w:type="dxa"/>
          <w:right w:w="28" w:type="dxa"/>
        </w:tblCellMar>
      </w:tblPr>
      <w:tblGrid>
        <w:gridCol w:w="3541"/>
        <w:gridCol w:w="146"/>
        <w:gridCol w:w="146"/>
        <w:gridCol w:w="736"/>
        <w:gridCol w:w="166"/>
        <w:gridCol w:w="146"/>
        <w:gridCol w:w="146"/>
        <w:gridCol w:w="73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foreign exchange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foreign exchange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Fair value changes on Convertible Notes (as defined below) contain the fair value changes less the coupon rate and changes in credit risk. The coupon rate on the Convertible Notes is 9.25%. Interest expenses on loan and borrowings for the twelve months ended December 31, 2025 and 2024 contain interest expense on Convertible Notes of $36.0 million and $33.8 million, respectively. See Note 3 “</w:t>
      </w:r>
      <w:r>
        <w:rPr>
          <w:rFonts w:ascii="Times New Roman" w:hAnsi="Times New Roman"/>
          <w:i/>
          <w:color w:val="000000"/>
          <w:sz w:val="20"/>
        </w:rPr>
        <w:t>Financial risk management</w:t>
      </w:r>
      <w:r>
        <w:rPr>
          <w:rFonts w:ascii="Times New Roman" w:hAnsi="Times New Roman"/>
          <w:color w:val="000000"/>
          <w:sz w:val="20"/>
        </w:rPr>
        <w:t>” and Note 26 “</w:t>
      </w:r>
      <w:r>
        <w:rPr>
          <w:rFonts w:ascii="Times New Roman" w:hAnsi="Times New Roman"/>
          <w:i/>
          <w:color w:val="000000"/>
          <w:sz w:val="20"/>
        </w:rPr>
        <w:t>Interest-bearing loans and borrowings</w:t>
      </w:r>
      <w:r>
        <w:rPr>
          <w:rFonts w:ascii="Times New Roman" w:hAnsi="Times New Roman"/>
          <w:color w:val="000000"/>
          <w:sz w:val="20"/>
        </w:rPr>
        <w:t>”</w:t>
      </w:r>
      <w:r>
        <w:rPr>
          <w:rFonts w:ascii="Times New Roman" w:hAnsi="Times New Roman"/>
          <w:i/>
          <w:color w:val="000000"/>
          <w:sz w:val="20"/>
        </w:rPr>
        <w:t>.</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financial expenses for the year ended December 31, 2025 mainly consist of $19.9 million in transaction costs relating to the Group’s financing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financial expenses for the year ended December 31, 2024 mainly consist of $5.0 million in transaction costs relating to amendments in the Group’s financing arrangements.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See Note 26 “</w:t>
      </w:r>
      <w:r>
        <w:rPr>
          <w:rFonts w:ascii="Times New Roman" w:hAnsi="Times New Roman"/>
          <w:i/>
          <w:color w:val="000000"/>
          <w:sz w:val="20"/>
        </w:rPr>
        <w:t>Interest-bearing loans and borrowings</w:t>
      </w:r>
      <w:r>
        <w:rPr>
          <w:rFonts w:ascii="Times New Roman" w:hAnsi="Times New Roman"/>
          <w:color w:val="000000"/>
          <w:sz w:val="20"/>
        </w:rPr>
        <w:t>” for further information.</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Net exchange rate differences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exchange-rate differences recognized in the consolidated statement of operations are included as follows:</w:t>
      </w:r>
    </w:p>
    <w:p>
      <w:pPr>
        <w:pStyle w:val="TextBody"/>
        <w:bidi w:val="0"/>
        <w:jc w:val="both"/>
        <w:rPr/>
      </w:pPr>
      <w:r>
        <w:rPr/>
        <w:t> </w:t>
      </w:r>
    </w:p>
    <w:tbl>
      <w:tblPr>
        <w:tblW w:w="6709" w:type="dxa"/>
        <w:jc w:val="left"/>
        <w:tblInd w:w="0" w:type="dxa"/>
        <w:tblLayout w:type="fixed"/>
        <w:tblCellMar>
          <w:top w:w="28" w:type="dxa"/>
          <w:left w:w="28" w:type="dxa"/>
          <w:bottom w:w="28" w:type="dxa"/>
          <w:right w:w="28" w:type="dxa"/>
        </w:tblCellMar>
      </w:tblPr>
      <w:tblGrid>
        <w:gridCol w:w="4441"/>
        <w:gridCol w:w="146"/>
        <w:gridCol w:w="146"/>
        <w:gridCol w:w="631"/>
        <w:gridCol w:w="166"/>
        <w:gridCol w:w="146"/>
        <w:gridCol w:w="146"/>
        <w:gridCol w:w="676"/>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Exchange-rate differences—net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See Note 3 “</w:t>
      </w:r>
      <w:r>
        <w:rPr>
          <w:rFonts w:ascii="Times New Roman" w:hAnsi="Times New Roman"/>
          <w:i/>
          <w:color w:val="000000"/>
          <w:sz w:val="20"/>
        </w:rPr>
        <w:t>Financial risk management</w:t>
      </w:r>
      <w:r>
        <w:rPr>
          <w:rFonts w:ascii="Times New Roman" w:hAnsi="Times New Roman"/>
          <w:color w:val="000000"/>
          <w:sz w:val="20"/>
        </w:rPr>
        <w:t xml:space="preserve">” for further information on the Group’s primary currency exposure.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Income tax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major components of income tax (expense)/benefit for the year ended December 31, 2025 and 2024 are as follows:</w:t>
      </w:r>
    </w:p>
    <w:p>
      <w:pPr>
        <w:pStyle w:val="TextBody"/>
        <w:bidi w:val="0"/>
        <w:jc w:val="both"/>
        <w:rPr/>
      </w:pPr>
      <w:r>
        <w:rPr/>
        <w:t> </w:t>
      </w:r>
    </w:p>
    <w:tbl>
      <w:tblPr>
        <w:tblW w:w="6769" w:type="dxa"/>
        <w:jc w:val="left"/>
        <w:tblInd w:w="0" w:type="dxa"/>
        <w:tblLayout w:type="fixed"/>
        <w:tblCellMar>
          <w:top w:w="28" w:type="dxa"/>
          <w:left w:w="28" w:type="dxa"/>
          <w:bottom w:w="28" w:type="dxa"/>
          <w:right w:w="28" w:type="dxa"/>
        </w:tblCellMar>
      </w:tblPr>
      <w:tblGrid>
        <w:gridCol w:w="4546"/>
        <w:gridCol w:w="146"/>
        <w:gridCol w:w="146"/>
        <w:gridCol w:w="631"/>
        <w:gridCol w:w="166"/>
        <w:gridCol w:w="146"/>
        <w:gridCol w:w="146"/>
        <w:gridCol w:w="631"/>
        <w:gridCol w:w="21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in respect of income tax of previous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Relating to origination and reversal of temporary</w:t>
              <w:br/>
              <w:t>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 reported in the consolidated</w:t>
              <w:br/>
              <w:t>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Reconciliation of tax expense and the accounting loss multiplied by Sweden’s corporate tax rate:</w:t>
      </w:r>
    </w:p>
    <w:p>
      <w:pPr>
        <w:pStyle w:val="TextBody"/>
        <w:bidi w:val="0"/>
        <w:jc w:val="left"/>
        <w:rPr/>
      </w:pPr>
      <w:r>
        <w:rPr/>
        <w:t> </w:t>
      </w:r>
    </w:p>
    <w:tbl>
      <w:tblPr>
        <w:tblW w:w="7189" w:type="dxa"/>
        <w:jc w:val="left"/>
        <w:tblInd w:w="0" w:type="dxa"/>
        <w:tblLayout w:type="fixed"/>
        <w:tblCellMar>
          <w:top w:w="28" w:type="dxa"/>
          <w:left w:w="28" w:type="dxa"/>
          <w:bottom w:w="28" w:type="dxa"/>
          <w:right w:w="28" w:type="dxa"/>
        </w:tblCellMar>
      </w:tblPr>
      <w:tblGrid>
        <w:gridCol w:w="4546"/>
        <w:gridCol w:w="146"/>
        <w:gridCol w:w="146"/>
        <w:gridCol w:w="841"/>
        <w:gridCol w:w="166"/>
        <w:gridCol w:w="146"/>
        <w:gridCol w:w="146"/>
        <w:gridCol w:w="841"/>
        <w:gridCol w:w="21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Accounting 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Sweden’s corporate income tax rate of 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tax rates in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in respect of income tax of previous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unrecognized 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changes in tax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Deferred tax</w:t>
      </w:r>
    </w:p>
    <w:p>
      <w:pPr>
        <w:pStyle w:val="TextBody"/>
        <w:bidi w:val="0"/>
        <w:spacing w:before="240" w:after="283"/>
        <w:jc w:val="both"/>
        <w:rPr>
          <w:rFonts w:ascii="Times New Roman" w:hAnsi="Times New Roman"/>
          <w:sz w:val="20"/>
        </w:rPr>
      </w:pPr>
      <w:r>
        <w:rPr>
          <w:rFonts w:ascii="Times New Roman" w:hAnsi="Times New Roman"/>
          <w:color w:val="000000"/>
          <w:sz w:val="20"/>
        </w:rPr>
        <w:t>Deferred tax relates to the following</w:t>
      </w:r>
      <w:r>
        <w:rPr>
          <w:rFonts w:ascii="Times New Roman" w:hAnsi="Times New Roman"/>
          <w:b/>
          <w:color w:val="000000"/>
          <w:sz w:val="20"/>
        </w:rPr>
        <w: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529" w:type="dxa"/>
        <w:jc w:val="left"/>
        <w:tblInd w:w="0" w:type="dxa"/>
        <w:tblLayout w:type="fixed"/>
        <w:tblCellMar>
          <w:top w:w="28" w:type="dxa"/>
          <w:left w:w="28" w:type="dxa"/>
          <w:bottom w:w="28" w:type="dxa"/>
          <w:right w:w="28" w:type="dxa"/>
        </w:tblCellMar>
      </w:tblPr>
      <w:tblGrid>
        <w:gridCol w:w="4306"/>
        <w:gridCol w:w="146"/>
        <w:gridCol w:w="146"/>
        <w:gridCol w:w="631"/>
        <w:gridCol w:w="166"/>
        <w:gridCol w:w="146"/>
        <w:gridCol w:w="146"/>
        <w:gridCol w:w="631"/>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allowances for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losses carried 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Reflected in the consolidated statement of financial</w:t>
              <w:br/>
              <w:t>   position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tax assets and deferred tax liabilities are offset if a legally enforceable right exists to set off current tax assets against current tax liabilities and the deferred taxes relate to the same taxable entity and the same taxation authority. Deferred income tax assets are recognized for tax loss carry-forwards, temporary differences or other tax credits to the extent that the realization of the related tax benefit through future taxable profits is probable.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reconciliation of net deferred tax is shown in the table below: </w:t>
      </w:r>
    </w:p>
    <w:tbl>
      <w:tblPr>
        <w:tblW w:w="6779" w:type="dxa"/>
        <w:jc w:val="left"/>
        <w:tblInd w:w="0" w:type="dxa"/>
        <w:tblLayout w:type="fixed"/>
        <w:tblCellMar>
          <w:top w:w="28" w:type="dxa"/>
          <w:left w:w="28" w:type="dxa"/>
          <w:bottom w:w="28" w:type="dxa"/>
          <w:right w:w="28" w:type="dxa"/>
        </w:tblCellMar>
      </w:tblPr>
      <w:tblGrid>
        <w:gridCol w:w="4591"/>
        <w:gridCol w:w="146"/>
        <w:gridCol w:w="146"/>
        <w:gridCol w:w="571"/>
        <w:gridCol w:w="146"/>
        <w:gridCol w:w="146"/>
        <w:gridCol w:w="146"/>
        <w:gridCol w:w="676"/>
        <w:gridCol w:w="21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Movement recognized in the consolidated statement of</w:t>
              <w:br/>
              <w:t>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some subsidiaries, a deferred income tax asset has been recognized to the extent that there are sufficient taxable temporary differences relating to the same taxation authority and the same taxable entity. For the Swedish subsidiaries, no deferred income tax asset was recognized since, according to the Group, the criteria for reporting deferred tax assets in IAS 12 were not met.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Deferred tax assets have not been recognized in respect of the following items:</w:t>
      </w:r>
    </w:p>
    <w:tbl>
      <w:tblPr>
        <w:tblW w:w="5709" w:type="dxa"/>
        <w:jc w:val="left"/>
        <w:tblInd w:w="0" w:type="dxa"/>
        <w:tblLayout w:type="fixed"/>
        <w:tblCellMar>
          <w:top w:w="28" w:type="dxa"/>
          <w:left w:w="28" w:type="dxa"/>
          <w:bottom w:w="28" w:type="dxa"/>
          <w:right w:w="28" w:type="dxa"/>
        </w:tblCellMar>
      </w:tblPr>
      <w:tblGrid>
        <w:gridCol w:w="3226"/>
        <w:gridCol w:w="146"/>
        <w:gridCol w:w="146"/>
        <w:gridCol w:w="781"/>
        <w:gridCol w:w="146"/>
        <w:gridCol w:w="146"/>
        <w:gridCol w:w="146"/>
        <w:gridCol w:w="78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Property, plant and equipment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losses carried 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expense carried 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unrecognized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269,587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Relates to impairment charges due to the decision to discontinue the construction of the production facility in Peterborough, UK.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 Group’s accumulated loss carry-forwards amounted to $1,277,8 million (2024: $1,052.9 million). Tax loss carry-forwards as of December 31, 2025 were expected to expire as follows:</w:t>
      </w:r>
    </w:p>
    <w:p>
      <w:pPr>
        <w:pStyle w:val="TextBody"/>
        <w:bidi w:val="0"/>
        <w:jc w:val="both"/>
        <w:rPr/>
      </w:pPr>
      <w:r>
        <w:rPr/>
        <w:t> </w:t>
      </w:r>
    </w:p>
    <w:tbl>
      <w:tblPr>
        <w:tblW w:w="6421" w:type="dxa"/>
        <w:jc w:val="left"/>
        <w:tblInd w:w="0" w:type="dxa"/>
        <w:tblLayout w:type="fixed"/>
        <w:tblCellMar>
          <w:top w:w="28" w:type="dxa"/>
          <w:left w:w="28" w:type="dxa"/>
          <w:bottom w:w="28" w:type="dxa"/>
          <w:right w:w="28" w:type="dxa"/>
        </w:tblCellMar>
      </w:tblPr>
      <w:tblGrid>
        <w:gridCol w:w="1996"/>
        <w:gridCol w:w="146"/>
        <w:gridCol w:w="239"/>
        <w:gridCol w:w="1111"/>
        <w:gridCol w:w="146"/>
        <w:gridCol w:w="146"/>
        <w:gridCol w:w="146"/>
        <w:gridCol w:w="931"/>
        <w:gridCol w:w="146"/>
        <w:gridCol w:w="146"/>
        <w:gridCol w:w="146"/>
        <w:gridCol w:w="93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Expected expiry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Unlimited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1,277,790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has unrecognized tax losses that arose in Sweden of $1,237.7 million (2024: $1,013.9 million) that are available indefinitely for offsetting against future taxable profits of the companies in Sweden. Deferred tax assets have not been recognized in respect of these losses as they may not be used to offset taxable profits elsewhere in the Group, they have arisen in companies that have been loss-making for some time, and there is no other evidence of recoverability in the foreseeable future. If the Group were able to recognize all unrecognized deferred tax assets on tax losses in Sweden, the result would increase by $255.0 million and $208.9 million for the years ended December 31, 2025 and 2024.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the Group has recognized tax losses in other foreign jurisdictions amounting to $1.1 million (2024: $5.2 million). A deferred tax asset has been recognized in respect of these losses as at December 31, 2025 as it is likely that these will be able to be utilized in the foreseeable future. The measurement of deferred tax assets is subject to uncertainty and the actual result may diverge from judgments due to future changes in business climate, altered tax laws etc. An assessment is made at each closing date of the likelihood that the deferred tax asset will be utilized.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no deferred tax liability had been recognized on investments in subsidiaries. The Company has concluded it has the ability and intention to control the timing of any distribution from its subsidiaries and determined that the undistributed profits of its subsidiaries will not be distributed in the foreseeable future. It is not practicable to calculate the aggregate amount of temporary differences associated with investments in subsidiaries, for which deferred tax liabilities have not been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applies judgment in identifying uncertainties over income tax treatments. Since the Company operates in a complex multinational environment, it periodically evaluates positions taken in the tax returns to validate whether it has any uncertain tax positions, particularly those relating to transfer pricing. The tax filings of the Company and the subsidiaries in different jurisdictions include adjustments related to transfer pricing and the taxation authorities may challenge those tax treatments. The Company determined, based on its tax compliance and transfer pricing study, that it is probable that its tax treatments (including those for the subsidiaries) will be accepted by the taxation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is, as of January 1, 2025 in scope of the OECD Pillar Two Model Rules (“P2 Rules”). The legislation is effective for the Group’s financial year beginning January 1, 2025. The P2 Rules have been enacted (or substantively enacted) in most jurisdictions in which the Group operates, including Sweden. The impact of Pillar Two income taxes is not material based on the most recently available financial information from the Group.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the IASB amended IAS 12 Income Taxes to include a mandatory temporary exception from recognizing or disclosing deferred taxes relating to the P2 Rules. The Group has applied this mandatory exception which did not have a material impact to the consolidated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Investments in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had the following subsidiaries as at December 31,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0"/>
        <w:gridCol w:w="146"/>
        <w:gridCol w:w="497"/>
        <w:gridCol w:w="1440"/>
        <w:gridCol w:w="271"/>
        <w:gridCol w:w="146"/>
        <w:gridCol w:w="497"/>
        <w:gridCol w:w="1440"/>
        <w:gridCol w:w="271"/>
        <w:gridCol w:w="146"/>
        <w:gridCol w:w="151"/>
        <w:gridCol w:w="1073"/>
        <w:gridCol w:w="146"/>
        <w:gridCol w:w="146"/>
        <w:gridCol w:w="241"/>
        <w:gridCol w:w="1540"/>
        <w:gridCol w:w="194"/>
      </w:tblGrid>
      <w:tr>
        <w:trPr/>
        <w:tc>
          <w:tcPr>
            <w:tcW w:w="1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Proportion of voting rights and shares held (directly or indirectly) (%)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Proportion of voting rights and shares held (directly or indirectly) (%)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Posted value in Oatly Group AB (publ) 31 December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Cereal Base CEBA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4,637,925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5,145,446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Indirect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UK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UK Operations &amp; Supply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Ireland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Germany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Switzerland AG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Austria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Norway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Spain, S.L.U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Denmark 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Oy Oatly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BV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Operation &amp; Supply BV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Poland sp. z o.o.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France 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EMEA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Sweden Operations &amp; Supply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Singapore Operations &amp; Supply Pte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Pte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APAC Pte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de México, S.A. de C.V.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Operations &amp; Supply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Canada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Havrekärnan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Australia Pty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Hong Kong Holding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Shanghai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Food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Thousands of Island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Super planting Shanghai Food and Beverage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Yaji (Shanghai) Catering Service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Hainan Trading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Dong Plant (Zhuhai) Food and Beverage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subsidiaries are wholly owned except Super planting Shanghai Food and Beverage Co. Ltd which is 60% owned. The number of shares equals the number of voting rights.</w:t>
      </w:r>
    </w:p>
    <w:p>
      <w:pPr>
        <w:pStyle w:val="TextBody"/>
        <w:bidi w:val="0"/>
        <w:jc w:val="left"/>
        <w:rPr/>
      </w:pPr>
      <w:r>
        <w:rPr/>
        <w:t> </w:t>
      </w:r>
    </w:p>
    <w:tbl>
      <w:tblPr>
        <w:tblW w:w="10030" w:type="dxa"/>
        <w:jc w:val="left"/>
        <w:tblInd w:w="0" w:type="dxa"/>
        <w:tblLayout w:type="fixed"/>
        <w:tblCellMar>
          <w:top w:w="28" w:type="dxa"/>
          <w:left w:w="28" w:type="dxa"/>
          <w:bottom w:w="28" w:type="dxa"/>
          <w:right w:w="28" w:type="dxa"/>
        </w:tblCellMar>
      </w:tblPr>
      <w:tblGrid>
        <w:gridCol w:w="4411"/>
        <w:gridCol w:w="146"/>
        <w:gridCol w:w="2311"/>
        <w:gridCol w:w="146"/>
        <w:gridCol w:w="301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4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Registration 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 of operation / registered office</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Cereal Base CEBA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556482-2988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Sweden/Malmö</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556446-1043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Sweden/Malmö</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Indirect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UK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8038012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Kingdom/Worthing</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UK Operations &amp; Supply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12847578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Kingdom/London</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Ireland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Ireland/Dublin</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Germany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27/459/31354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Germany/Berlin</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Switzerland AG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CHE-181.778.500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Schweiz/Appenzell</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Austria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FN548816h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Austria/Ried im Innkreis</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Norway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818976062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Norway/Oslo</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Spain, S.L.U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M-763172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Spain/Madrid</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Denmark 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42992836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Denmark/Copenhagen</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Oy Oatly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2858489-6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Finland/Helsingfors</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BV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73642746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The Netherlands/Vlissingen</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Operation &amp; Supply BV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73642754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The Netherlands/Vlissingen</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Poland sp. z o.o.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0000973894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Poland/Warszawa</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France 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948 863 709 RCSParis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France/Paris</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EMEA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559163-7698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Sweden/Malmö</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Sweden Operations &amp; Supply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559163-7680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Sweden/Malmö</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Singapore Operations &amp; Supply Pte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201931793R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Singapore/Singapore</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Pte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202009237Z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Singapore/Singapore</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APAC Pte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202010927Z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Singapore/Singapore</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de México, S.A. de C.V.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OME2401319Z5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Mexico/Mexico City</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USA/Delaware</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USA/Delaware</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Operations &amp; Supply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USA/Delaware</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Canada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Canada/Saint John, NB</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Havrekärnan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556645-7213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Sweden/Landskrona</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Australia Pty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644817327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Australia/Melbourne</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Hong Kong Holding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Hong Kong/China, Hong Kong</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Shanghai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91310000MA1G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China/Shanghai</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Food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91340500MA2WHW8X03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China/Shanghai</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Thousands of Island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91330127MA2KJGFG2Q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China/Shanghai</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Super planting Shanghai Food and Beverage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91310106MAC6K59H3R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China/Shanghai</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Yaji (Shanghai) Catering Service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91310104MADF52NM36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China/Shanghai</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Hainan Trading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91460000MA5U11140P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China/Hainan</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Dong Plant (Zhuhai) Food and Beverage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91440400MACH0YG33W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China/Zhuhai</w:t>
            </w:r>
          </w:p>
        </w:tc>
      </w:tr>
    </w:tbl>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Intangible assets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58" w:type="dxa"/>
        <w:jc w:val="left"/>
        <w:tblInd w:w="0" w:type="dxa"/>
        <w:tblLayout w:type="fixed"/>
        <w:tblCellMar>
          <w:top w:w="28" w:type="dxa"/>
          <w:left w:w="28" w:type="dxa"/>
          <w:bottom w:w="28" w:type="dxa"/>
          <w:right w:w="28" w:type="dxa"/>
        </w:tblCellMar>
      </w:tblPr>
      <w:tblGrid>
        <w:gridCol w:w="3121"/>
        <w:gridCol w:w="146"/>
        <w:gridCol w:w="146"/>
        <w:gridCol w:w="781"/>
        <w:gridCol w:w="166"/>
        <w:gridCol w:w="146"/>
        <w:gridCol w:w="154"/>
        <w:gridCol w:w="777"/>
        <w:gridCol w:w="166"/>
        <w:gridCol w:w="146"/>
        <w:gridCol w:w="146"/>
        <w:gridCol w:w="680"/>
        <w:gridCol w:w="166"/>
        <w:gridCol w:w="146"/>
        <w:gridCol w:w="191"/>
        <w:gridCol w:w="830"/>
        <w:gridCol w:w="166"/>
        <w:gridCol w:w="146"/>
        <w:gridCol w:w="146"/>
        <w:gridCol w:w="781"/>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Intangible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Capitalized</w:t>
              <w:br/>
              <w:t>software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intangible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Ongoing</w:t>
              <w:br/>
              <w:t>development</w:t>
              <w:b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142,315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131,144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159,881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116,208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137,747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Goodwill is in its entirely related to the acquisition of Cereal Base CEBA AB in 2016.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15.1.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Test of goodwill impairment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Chief Executive Officer assesses the operating performance based on the Group’s three operating segments: Europe &amp; </w:t>
      </w:r>
    </w:p>
    <w:p>
      <w:pPr>
        <w:pStyle w:val="TextBody"/>
        <w:bidi w:val="0"/>
        <w:jc w:val="left"/>
        <w:rPr>
          <w:rFonts w:ascii="Times New Roman" w:hAnsi="Times New Roman"/>
          <w:color w:val="000000"/>
          <w:sz w:val="20"/>
        </w:rPr>
      </w:pPr>
      <w:r>
        <w:rPr>
          <w:rFonts w:ascii="Times New Roman" w:hAnsi="Times New Roman"/>
          <w:color w:val="000000"/>
          <w:sz w:val="20"/>
        </w:rPr>
        <w:t>International, North America and Greater China. Goodwill is monitored by the Chief Executive Officer at the level of the three operating segments. The goodwill existing as at December 31, 2025 and 2024 is entirely attributable to Europe &amp; International.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Group tests whether goodwill has suffered any impairment on an annual basis, or more frequently if events or changes in </w:t>
      </w:r>
    </w:p>
    <w:p>
      <w:pPr>
        <w:pStyle w:val="TextBody"/>
        <w:bidi w:val="0"/>
        <w:jc w:val="left"/>
        <w:rPr>
          <w:rFonts w:ascii="Times New Roman" w:hAnsi="Times New Roman"/>
          <w:color w:val="000000"/>
          <w:sz w:val="20"/>
        </w:rPr>
      </w:pPr>
      <w:r>
        <w:rPr>
          <w:rFonts w:ascii="Times New Roman" w:hAnsi="Times New Roman"/>
          <w:color w:val="000000"/>
          <w:sz w:val="20"/>
        </w:rPr>
        <w:t xml:space="preserve">circumstances indicate that it might be impaired. The Group performed its annual impairment test as of December 31, 2025 and 2024.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2025 and 2024 reporting period, the recoverable amount of the cash-generating unit (“CGU”) was determined based on a value </w:t>
      </w:r>
    </w:p>
    <w:p>
      <w:pPr>
        <w:pStyle w:val="TextBody"/>
        <w:bidi w:val="0"/>
        <w:jc w:val="left"/>
        <w:rPr>
          <w:rFonts w:ascii="Times New Roman" w:hAnsi="Times New Roman"/>
          <w:color w:val="000000"/>
          <w:sz w:val="20"/>
        </w:rPr>
      </w:pPr>
      <w:r>
        <w:rPr>
          <w:rFonts w:ascii="Times New Roman" w:hAnsi="Times New Roman"/>
          <w:color w:val="000000"/>
          <w:sz w:val="20"/>
        </w:rPr>
        <w:t>in use calculation, which requires the use of assumptions. The calculations use cash flow projections based on financial budgets approved by management covering a five-year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Cash flows beyond the five-year period are extrapolated using an estimated growth rate of 2.0% (2024: 2.0%). The growth rate is consistent with forecasts included in industry reports specific to the industry in which the CGU operates. The pre-tax discount rate used is 9.8% (2024: 10.2%).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are key assumptions used in value in use calculations: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EBITDA margin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growth 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Pre-tax discount rate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 has determined the values assigned to each of the above key assumptions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EBITDA margin: Based on past performance and management’s expectations for the future when continuing to scale the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growth rate: This is the weighted average growth rate used to extrapolate cash flows beyond the budget period.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rates are consistent with forecasts included in industry reports.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Pre-tax discount rate: Reflect specific risks relating to the relevant segment and the countries in which they operate.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recoverable amount exceeds the carrying amount of goodwill.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Sensitivity analysis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no reasonably possible changes in any of the key assumptions that would have resulted in an impairment of goodwill.</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Property, plant and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property, plant and equipment as at December 31, 2025 and December 31, 2024 is as follows:</w:t>
      </w:r>
    </w:p>
    <w:p>
      <w:pPr>
        <w:pStyle w:val="TextBody"/>
        <w:bidi w:val="0"/>
        <w:jc w:val="left"/>
        <w:rPr/>
      </w:pPr>
      <w:r>
        <w:rPr/>
        <w:t> </w:t>
      </w:r>
    </w:p>
    <w:tbl>
      <w:tblPr>
        <w:tblW w:w="9731" w:type="dxa"/>
        <w:jc w:val="left"/>
        <w:tblInd w:w="0" w:type="dxa"/>
        <w:tblLayout w:type="fixed"/>
        <w:tblCellMar>
          <w:top w:w="28" w:type="dxa"/>
          <w:left w:w="28" w:type="dxa"/>
          <w:bottom w:w="28" w:type="dxa"/>
          <w:right w:w="28" w:type="dxa"/>
        </w:tblCellMar>
      </w:tblPr>
      <w:tblGrid>
        <w:gridCol w:w="4486"/>
        <w:gridCol w:w="146"/>
        <w:gridCol w:w="146"/>
        <w:gridCol w:w="781"/>
        <w:gridCol w:w="166"/>
        <w:gridCol w:w="146"/>
        <w:gridCol w:w="146"/>
        <w:gridCol w:w="841"/>
        <w:gridCol w:w="166"/>
        <w:gridCol w:w="146"/>
        <w:gridCol w:w="155"/>
        <w:gridCol w:w="896"/>
        <w:gridCol w:w="166"/>
        <w:gridCol w:w="146"/>
        <w:gridCol w:w="146"/>
        <w:gridCol w:w="84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br/>
              <w:t>machinery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Construction</w:t>
              <w:br/>
              <w:t>in progress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600,893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Sold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Disposals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445,279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459,133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(240,607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Sold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Disposals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(151,080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Sold</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Disposals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(164,445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depreciation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81,435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294,199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294,688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Relates primarily to sold assets due to the decision to discontinue the construction of the production facilities in Peterborough, UK and Dallas-Fort Worth, Texas.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Relates primarily to disposal of assets due to the decision to discontinue the construction of the production facilities in Peterborough, UK and Dallas-Fort Worth, Texas.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Of the total $37.3 million, $19.1 million relates to impairment charges due to the closure of the production facility in Singapore, and $17.6 million relates to impairment charges due to the decision to discontinue the construction of the production facility in China (Asia III).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 xml:space="preserve">Relates primarily to sold and disposed assets due to the closure of the Group’s production facility in Singapore.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additions during the year ended December 31, 2025 is mainly related to investment in existing production facilities.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reclassifications between construction in progress and land and buildings and plant and machinery during the year ended December 31, 2025 are mainly related to the Landskrona, Sweden production facility.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depreciation expense for years ended December 31, 2025 and 2024 was $33.4 million, $34.0 million,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Part of the Group’s property, plant and equipment are pledged to secure the Group’s interest-bearing loans and borrowings. Refer to Note 26 “</w:t>
      </w:r>
      <w:r>
        <w:rPr>
          <w:rFonts w:ascii="Times New Roman" w:hAnsi="Times New Roman"/>
          <w:i/>
          <w:color w:val="000000"/>
          <w:sz w:val="20"/>
        </w:rPr>
        <w:t>Interest-bearing loans and borrowings</w:t>
      </w:r>
      <w:r>
        <w:rPr>
          <w:rFonts w:ascii="Times New Roman" w:hAnsi="Times New Roman"/>
          <w:color w:val="000000"/>
          <w:sz w:val="20"/>
        </w:rPr>
        <w:t xml:space="preserve">” for further details.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16.1.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Test of impairment</w:t>
      </w:r>
    </w:p>
    <w:p>
      <w:pPr>
        <w:pStyle w:val="TextBody"/>
        <w:bidi w:val="0"/>
        <w:spacing w:before="240" w:after="283"/>
        <w:jc w:val="both"/>
        <w:rPr>
          <w:rFonts w:ascii="Times New Roman" w:hAnsi="Times New Roman"/>
          <w:sz w:val="20"/>
        </w:rPr>
      </w:pPr>
      <w:r>
        <w:rPr>
          <w:rFonts w:ascii="Times New Roman" w:hAnsi="Times New Roman"/>
          <w:color w:val="000000"/>
          <w:sz w:val="20"/>
        </w:rPr>
        <w:t>As described in Note 4 “</w:t>
      </w:r>
      <w:r>
        <w:rPr>
          <w:rFonts w:ascii="Times New Roman" w:hAnsi="Times New Roman"/>
          <w:i/>
          <w:color w:val="000000"/>
          <w:sz w:val="20"/>
        </w:rPr>
        <w:t>Significant accounting judgments, estimates and assessments</w:t>
      </w:r>
      <w:r>
        <w:rPr>
          <w:rFonts w:ascii="Times New Roman" w:hAnsi="Times New Roman"/>
          <w:color w:val="000000"/>
          <w:sz w:val="20"/>
        </w:rPr>
        <w:t>”, management decided, for the 2025 and 2024 reporting periods, to perform impairment tests for the non-financial assets in all the three operating segments, not only for the segment containing goodwill. Refer to Note 15 “</w:t>
      </w:r>
      <w:r>
        <w:rPr>
          <w:rFonts w:ascii="Times New Roman" w:hAnsi="Times New Roman"/>
          <w:i/>
          <w:color w:val="000000"/>
          <w:sz w:val="20"/>
        </w:rPr>
        <w:t>Intangible assets</w:t>
      </w:r>
      <w:r>
        <w:rPr>
          <w:rFonts w:ascii="Times New Roman" w:hAnsi="Times New Roman"/>
          <w:color w:val="000000"/>
          <w:sz w:val="20"/>
        </w:rPr>
        <w:t xml:space="preserve">” for disclosure of impairment test for the operating segment Europe &amp; International. The Group performed the impairment tests as of December 31, 2025 and 2024. </w:t>
      </w:r>
    </w:p>
    <w:p>
      <w:pPr>
        <w:pStyle w:val="TextBody"/>
        <w:bidi w:val="0"/>
        <w:spacing w:before="240" w:after="283"/>
        <w:jc w:val="both"/>
        <w:rPr>
          <w:rFonts w:ascii="Times New Roman" w:hAnsi="Times New Roman"/>
          <w:sz w:val="20"/>
        </w:rPr>
      </w:pPr>
      <w:r>
        <w:rPr>
          <w:rFonts w:ascii="Times New Roman" w:hAnsi="Times New Roman"/>
          <w:color w:val="000000"/>
          <w:sz w:val="20"/>
        </w:rPr>
        <w:t>For North America and Greater China the recoverable amount for the cash generating units were established through calculation of the value in use, which require the use of assumptions, refer Note 15 “</w:t>
      </w:r>
      <w:r>
        <w:rPr>
          <w:rFonts w:ascii="Times New Roman" w:hAnsi="Times New Roman"/>
          <w:i/>
          <w:color w:val="000000"/>
          <w:sz w:val="20"/>
        </w:rPr>
        <w:t>Intangible assets</w:t>
      </w:r>
      <w:r>
        <w:rPr>
          <w:rFonts w:ascii="Times New Roman" w:hAnsi="Times New Roman"/>
          <w:color w:val="000000"/>
          <w:sz w:val="20"/>
        </w:rPr>
        <w:t xml:space="preserve">” for disclosure on the assumptions used. The calculations use cash flow projections based on financial budgets approved by management covering a five-year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flows beyond the five-year period are extrapolated using an estimated growth rate of 2%. The growth rate is consistent with forecasts included in industry reports specific to the industry in which the CGU operates. The pre-tax discount rate used for North America was 10.1% (2024:10.6%) and for Greater China 8.4% (2024:9.2%).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recoverable amount exceeds the carrying amount of non-financial assets for both North America and Greater China.</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Sensitivity analysis - Greater China</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recoverable amount of the Greater China CGU would equal the carrying amount if the pre-tax discount rate increased by 2.0 percentage points or if the long-term EBITDA margin decreased by 2.1 percentage points.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Sensitivity analysis – North America</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There are no reasonably possible changes in any of the key assumptions that would have resulted in an impairment for North America.</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This note provides information for leases where the Group is a lessee.</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17.1.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The Group’s leasing activities and how these are accounted for</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17.2.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Amounts recognized in the consolidated statement of financial position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consolidated statement of financial position discloses the following amounts relating to leases:</w:t>
      </w:r>
    </w:p>
    <w:p>
      <w:pPr>
        <w:pStyle w:val="TextBody"/>
        <w:bidi w:val="0"/>
        <w:jc w:val="both"/>
        <w:rPr/>
      </w:pPr>
      <w:r>
        <w:rPr/>
        <w:t> </w:t>
      </w:r>
    </w:p>
    <w:tbl>
      <w:tblPr>
        <w:tblW w:w="4059" w:type="dxa"/>
        <w:jc w:val="left"/>
        <w:tblInd w:w="0" w:type="dxa"/>
        <w:tblLayout w:type="fixed"/>
        <w:tblCellMar>
          <w:top w:w="28" w:type="dxa"/>
          <w:left w:w="28" w:type="dxa"/>
          <w:bottom w:w="28" w:type="dxa"/>
          <w:right w:w="28" w:type="dxa"/>
        </w:tblCellMar>
      </w:tblPr>
      <w:tblGrid>
        <w:gridCol w:w="1786"/>
        <w:gridCol w:w="146"/>
        <w:gridCol w:w="146"/>
        <w:gridCol w:w="676"/>
        <w:gridCol w:w="146"/>
        <w:gridCol w:w="146"/>
        <w:gridCol w:w="146"/>
        <w:gridCol w:w="676"/>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and machinery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58" w:type="dxa"/>
        <w:jc w:val="left"/>
        <w:tblInd w:w="0" w:type="dxa"/>
        <w:tblLayout w:type="fixed"/>
        <w:tblCellMar>
          <w:top w:w="28" w:type="dxa"/>
          <w:left w:w="28" w:type="dxa"/>
          <w:bottom w:w="28" w:type="dxa"/>
          <w:right w:w="28" w:type="dxa"/>
        </w:tblCellMar>
      </w:tblPr>
      <w:tblGrid>
        <w:gridCol w:w="4486"/>
        <w:gridCol w:w="146"/>
        <w:gridCol w:w="146"/>
        <w:gridCol w:w="736"/>
        <w:gridCol w:w="166"/>
        <w:gridCol w:w="146"/>
        <w:gridCol w:w="146"/>
        <w:gridCol w:w="736"/>
        <w:gridCol w:w="166"/>
        <w:gridCol w:w="146"/>
        <w:gridCol w:w="146"/>
        <w:gridCol w:w="78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br/>
              <w:t>machinery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124,355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Decreases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Decreases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81,906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Decreases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depreciation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Primarily related to terminated lease contract due to the discontinued construction of the Group’s production facility in Peterborough, UK.</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Decreases in Land and buildings relate primarily to cancelled and returned land lease due to the discontinued construction of the production facility in China(Asia III).</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Included an asset impairment charge of $3.9 million due to the decision to discontinue the construction of the Group’s second production facility in China (Asia III).</w:t>
      </w:r>
    </w:p>
    <w:p>
      <w:pPr>
        <w:pStyle w:val="TextBody"/>
        <w:bidi w:val="0"/>
        <w:spacing w:before="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17.3.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Amounts recognized in the consolidated statement of operations</w:t>
      </w:r>
    </w:p>
    <w:tbl>
      <w:tblPr>
        <w:tblW w:w="7444" w:type="dxa"/>
        <w:jc w:val="left"/>
        <w:tblInd w:w="0" w:type="dxa"/>
        <w:tblLayout w:type="fixed"/>
        <w:tblCellMar>
          <w:top w:w="28" w:type="dxa"/>
          <w:left w:w="28" w:type="dxa"/>
          <w:bottom w:w="28" w:type="dxa"/>
          <w:right w:w="28" w:type="dxa"/>
        </w:tblCellMar>
      </w:tblPr>
      <w:tblGrid>
        <w:gridCol w:w="5011"/>
        <w:gridCol w:w="146"/>
        <w:gridCol w:w="146"/>
        <w:gridCol w:w="736"/>
        <w:gridCol w:w="166"/>
        <w:gridCol w:w="146"/>
        <w:gridCol w:w="146"/>
        <w:gridCol w:w="736"/>
        <w:gridCol w:w="21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and impairment charge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and machinery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(included in 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relating to short-term leases and low-value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total cash outflow for leases in 2025 was $15.2 million (2024: 24.5 million).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Group has the following lease agreements, which had not commenced as of December 31, 2025, but the Group is committed to: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One lease agreement regarding production equipment in Ma’anshan, China, under which the Group’s obligations collectively amount to $3.6 million for a term of six years.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non-current receivables</w:t>
      </w:r>
    </w:p>
    <w:p>
      <w:pPr>
        <w:pStyle w:val="TextBody"/>
        <w:bidi w:val="0"/>
        <w:jc w:val="left"/>
        <w:rPr/>
      </w:pPr>
      <w:r>
        <w:rPr/>
        <w:t> </w:t>
      </w:r>
    </w:p>
    <w:tbl>
      <w:tblPr>
        <w:tblW w:w="4689" w:type="dxa"/>
        <w:jc w:val="left"/>
        <w:tblInd w:w="0" w:type="dxa"/>
        <w:tblLayout w:type="fixed"/>
        <w:tblCellMar>
          <w:top w:w="28" w:type="dxa"/>
          <w:left w:w="28" w:type="dxa"/>
          <w:bottom w:w="28" w:type="dxa"/>
          <w:right w:w="28" w:type="dxa"/>
        </w:tblCellMar>
      </w:tblPr>
      <w:tblGrid>
        <w:gridCol w:w="2416"/>
        <w:gridCol w:w="146"/>
        <w:gridCol w:w="146"/>
        <w:gridCol w:w="676"/>
        <w:gridCol w:w="146"/>
        <w:gridCol w:w="146"/>
        <w:gridCol w:w="146"/>
        <w:gridCol w:w="676"/>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promissory note is part of the purchase price from selling the manufacturing facilities in Ogden, Utah and Dallas-Fort Worth, Texas during 2023. The note has a maturity date of May 31, 2028. The nominal interest rate is 8% for the first year and then increases by 200 basis points each year. The interest is capitalized semi-annually, and the effective interest rate is 12.56%.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Long-term prepaid expenses consist primarily of a credit toward future use of shared assets at the manufacturing facility in Ogden. </w:t>
      </w:r>
    </w:p>
    <w:p>
      <w:pPr>
        <w:pStyle w:val="TextBody"/>
        <w:bidi w:val="0"/>
        <w:spacing w:before="240" w:after="283"/>
        <w:jc w:val="both"/>
        <w:rPr>
          <w:rFonts w:ascii="Times New Roman" w:hAnsi="Times New Roman"/>
          <w:sz w:val="20"/>
        </w:rPr>
      </w:pPr>
      <w:r>
        <w:rPr>
          <w:rFonts w:ascii="Times New Roman" w:hAnsi="Times New Roman"/>
          <w:color w:val="000000"/>
          <w:sz w:val="20"/>
        </w:rPr>
        <w:t>Derivatives consist of interest rate cap and embedded derivatives related to the Company’s Nordic Bonds. See Note 26 “</w:t>
      </w:r>
      <w:r>
        <w:rPr>
          <w:rFonts w:ascii="Times New Roman" w:hAnsi="Times New Roman"/>
          <w:i/>
          <w:color w:val="000000"/>
          <w:sz w:val="20"/>
        </w:rPr>
        <w:t>Interest-bearing loans and borrowings</w:t>
      </w:r>
      <w:r>
        <w:rPr>
          <w:rFonts w:ascii="Times New Roman" w:hAnsi="Times New Roman"/>
          <w:color w:val="000000"/>
          <w:sz w:val="20"/>
        </w:rPr>
        <w:t>” for further details on the Nordic Bonds.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instruments per category</w:t>
      </w:r>
    </w:p>
    <w:p>
      <w:pPr>
        <w:pStyle w:val="TextBody"/>
        <w:bidi w:val="0"/>
        <w:jc w:val="left"/>
        <w:rPr/>
      </w:pPr>
      <w:r>
        <w:rPr/>
        <w:t> </w:t>
      </w:r>
    </w:p>
    <w:tbl>
      <w:tblPr>
        <w:tblW w:w="9182" w:type="dxa"/>
        <w:jc w:val="left"/>
        <w:tblInd w:w="0" w:type="dxa"/>
        <w:tblLayout w:type="fixed"/>
        <w:tblCellMar>
          <w:top w:w="28" w:type="dxa"/>
          <w:left w:w="28" w:type="dxa"/>
          <w:bottom w:w="28" w:type="dxa"/>
          <w:right w:w="28" w:type="dxa"/>
        </w:tblCellMar>
      </w:tblPr>
      <w:tblGrid>
        <w:gridCol w:w="4831"/>
        <w:gridCol w:w="146"/>
        <w:gridCol w:w="146"/>
        <w:gridCol w:w="571"/>
        <w:gridCol w:w="146"/>
        <w:gridCol w:w="146"/>
        <w:gridCol w:w="146"/>
        <w:gridCol w:w="421"/>
        <w:gridCol w:w="146"/>
        <w:gridCol w:w="146"/>
        <w:gridCol w:w="146"/>
        <w:gridCol w:w="781"/>
        <w:gridCol w:w="146"/>
        <w:gridCol w:w="146"/>
        <w:gridCol w:w="146"/>
        <w:gridCol w:w="781"/>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through</w:t>
              <w:br/>
              <w:t>profit or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amortized cost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in the consolidated statement of financial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254,792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84"/>
        <w:gridCol w:w="146"/>
        <w:gridCol w:w="146"/>
        <w:gridCol w:w="781"/>
        <w:gridCol w:w="146"/>
        <w:gridCol w:w="146"/>
        <w:gridCol w:w="146"/>
        <w:gridCol w:w="781"/>
        <w:gridCol w:w="146"/>
        <w:gridCol w:w="146"/>
        <w:gridCol w:w="146"/>
        <w:gridCol w:w="781"/>
        <w:gridCol w:w="146"/>
        <w:gridCol w:w="146"/>
        <w:gridCol w:w="146"/>
        <w:gridCol w:w="781"/>
        <w:gridCol w:w="191"/>
      </w:tblGrid>
      <w:tr>
        <w:trPr/>
        <w:tc>
          <w:tcPr>
            <w:tcW w:w="5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through</w:t>
              <w:br/>
              <w:t>profit or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amortized cost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in the consolidated statement of financial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(part of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Nordic Bonds (part of Non-Current and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 (part of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335,608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change in fair value recorded in the profit and loss for 2025 was a gain of $5.3 million (2024: gain of $31.3 million), consisting primarily of fair value changes on Convertible Notes. The fair value changes are included in Finance income and (expenses), net in the consolidated statement of operations.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Fair value hierarchy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Level 1: The fair value of financial instruments traded in active markets (such as publicly traded derivatives and equity securities) is based on quoted market prices at the end of the reporting period. The quoted market price used for financial assets held by the Group is the current bid price. These instruments are included in Level 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Level 2: The fair value of financial instruments that are not traded in an active market (for example, over-the-counter derivatives) is determined using valuation techniques, which maximize the use of observable market data and rely as little as possible on entity-specific estimates. If all significant inputs required to fair value an instrument are observable, the instrument is included in Level 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 valuation techniques used in Level 2 to value financial instruments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foreign currency forwards, the present value of future cash flows based on the forward exchange rates at the balance sheet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interest rate caps – option pricing models (e.g. Black-Scholes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Level 3: If one or more of the significant inputs is not based on observable market data, the instrument is included in Level 3. This is the case for unlisted equity securities.</w:t>
      </w:r>
    </w:p>
    <w:p>
      <w:pPr>
        <w:pStyle w:val="TextBody"/>
        <w:bidi w:val="0"/>
        <w:jc w:val="left"/>
        <w:rPr/>
      </w:pPr>
      <w:r>
        <w:rPr/>
        <w:t> </w:t>
      </w:r>
    </w:p>
    <w:tbl>
      <w:tblPr>
        <w:tblW w:w="9256" w:type="dxa"/>
        <w:jc w:val="left"/>
        <w:tblInd w:w="0" w:type="dxa"/>
        <w:tblLayout w:type="fixed"/>
        <w:tblCellMar>
          <w:top w:w="28" w:type="dxa"/>
          <w:left w:w="28" w:type="dxa"/>
          <w:bottom w:w="28" w:type="dxa"/>
          <w:right w:w="28" w:type="dxa"/>
        </w:tblCellMar>
      </w:tblPr>
      <w:tblGrid>
        <w:gridCol w:w="6061"/>
        <w:gridCol w:w="146"/>
        <w:gridCol w:w="187"/>
        <w:gridCol w:w="443"/>
        <w:gridCol w:w="146"/>
        <w:gridCol w:w="146"/>
        <w:gridCol w:w="146"/>
        <w:gridCol w:w="571"/>
        <w:gridCol w:w="146"/>
        <w:gridCol w:w="146"/>
        <w:gridCol w:w="146"/>
        <w:gridCol w:w="781"/>
        <w:gridCol w:w="19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Recurring fair value measurements at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(part of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333,145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Recurring fair value measurements at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(part of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transfers between the levels during 2025 and 2024.</w:t>
      </w:r>
    </w:p>
    <w:p>
      <w:pPr>
        <w:pStyle w:val="TextBody"/>
        <w:bidi w:val="0"/>
        <w:spacing w:before="240" w:after="283"/>
        <w:jc w:val="both"/>
        <w:rPr>
          <w:rFonts w:ascii="Times New Roman" w:hAnsi="Times New Roman"/>
          <w:sz w:val="20"/>
        </w:rPr>
      </w:pPr>
      <w:r>
        <w:rPr>
          <w:rFonts w:ascii="Times New Roman" w:hAnsi="Times New Roman"/>
          <w:color w:val="000000"/>
          <w:sz w:val="20"/>
        </w:rPr>
        <w:t>The carrying amount of the promissory note is a reasonable approximation of fair value. See Note 18 “</w:t>
      </w:r>
      <w:r>
        <w:rPr>
          <w:rFonts w:ascii="Times New Roman" w:hAnsi="Times New Roman"/>
          <w:i/>
          <w:color w:val="000000"/>
          <w:sz w:val="20"/>
        </w:rPr>
        <w:t>Other non-current receivables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The carrying amount of the Nordic Bonds in the Group is a reasonable approximation of fair value. See Note 26 “</w:t>
      </w:r>
      <w:r>
        <w:rPr>
          <w:rFonts w:ascii="Times New Roman" w:hAnsi="Times New Roman"/>
          <w:i/>
          <w:color w:val="000000"/>
          <w:sz w:val="20"/>
        </w:rPr>
        <w:t>Interest-bearing loans and borrowings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amount of current liabilities to credit institutions and other financial instruments in the Group is a reasonable approximation of fair value since they are short-term, and the discount effect is not significant.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42"/>
        <w:gridCol w:w="146"/>
        <w:gridCol w:w="220"/>
        <w:gridCol w:w="1185"/>
        <w:gridCol w:w="212"/>
      </w:tblGrid>
      <w:tr>
        <w:trPr/>
        <w:tc>
          <w:tcPr>
            <w:tcW w:w="8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323,528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324,395</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recognized in consolidated statement of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U.S.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333,145</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9"/>
        <w:gridCol w:w="146"/>
        <w:gridCol w:w="186"/>
        <w:gridCol w:w="1072"/>
        <w:gridCol w:w="166"/>
        <w:gridCol w:w="146"/>
        <w:gridCol w:w="186"/>
        <w:gridCol w:w="1072"/>
        <w:gridCol w:w="212"/>
      </w:tblGrid>
      <w:tr>
        <w:trPr/>
        <w:tc>
          <w:tcPr>
            <w:tcW w:w="7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the Company is contractually obligated to pay to holders of the Convertible Notes at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Difference between carrying amount and the amount the Company is contractually obligated to pay to holders of Convertible Notes at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(157,728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(222,447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the instrument in its entirety has been determined by using a combination of a Monte Carlo simulation and a discounted cash flow analysis.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lists the key inputs and assumptions used in the valuation model as of December 31, 2025 and 2024:</w:t>
      </w:r>
    </w:p>
    <w:p>
      <w:pPr>
        <w:pStyle w:val="TextBody"/>
        <w:bidi w:val="0"/>
        <w:jc w:val="left"/>
        <w:rPr/>
      </w:pPr>
      <w:r>
        <w:rPr/>
        <w:t> </w:t>
      </w:r>
    </w:p>
    <w:tbl>
      <w:tblPr>
        <w:tblW w:w="6645" w:type="dxa"/>
        <w:jc w:val="left"/>
        <w:tblInd w:w="0" w:type="dxa"/>
        <w:tblLayout w:type="fixed"/>
        <w:tblCellMar>
          <w:top w:w="28" w:type="dxa"/>
          <w:left w:w="28" w:type="dxa"/>
          <w:bottom w:w="28" w:type="dxa"/>
          <w:right w:w="28" w:type="dxa"/>
        </w:tblCellMar>
      </w:tblPr>
      <w:tblGrid>
        <w:gridCol w:w="4246"/>
        <w:gridCol w:w="146"/>
        <w:gridCol w:w="180"/>
        <w:gridCol w:w="705"/>
        <w:gridCol w:w="146"/>
        <w:gridCol w:w="146"/>
        <w:gridCol w:w="180"/>
        <w:gridCol w:w="705"/>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Conversion price per ADS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ADS price at valuation date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price volatility of the Company ADS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18"/>
        </w:rPr>
        <w:t xml:space="preserve">The U.S. Notes (as defined below) are convertible at the option of each holder at a conversion price of $27.20 per ADS, subject to customary anti-dilution adjustments. The HH Notes (as defined below) are convertible at the option of each holder at a conversion price of $28.20 per ADS, subject to customary anti-dilution adjustments. The Swedish Notes (as defined below) are convertible at the option of each holder at a conversion price of $1.36 per ordinary share, subject to customary anti-dilution adjustments. For further details on the Convertible Notes see Note 26 </w:t>
      </w:r>
      <w:r>
        <w:rPr>
          <w:rFonts w:ascii="Times New Roman" w:hAnsi="Times New Roman"/>
          <w:color w:val="000000"/>
          <w:sz w:val="20"/>
        </w:rPr>
        <w:t>“</w:t>
      </w:r>
      <w:r>
        <w:rPr>
          <w:rFonts w:ascii="Times New Roman" w:hAnsi="Times New Roman"/>
          <w:i/>
          <w:color w:val="000000"/>
          <w:sz w:val="18"/>
        </w:rPr>
        <w:t>Interest-bearing loans and borrowings</w:t>
      </w:r>
      <w:r>
        <w:rPr>
          <w:rFonts w:ascii="Times New Roman" w:hAnsi="Times New Roman"/>
          <w:color w:val="000000"/>
          <w:sz w:val="20"/>
        </w:rPr>
        <w:t>”</w:t>
      </w:r>
      <w:r>
        <w:rPr>
          <w:rFonts w:ascii="Times New Roman" w:hAnsi="Times New Roman"/>
          <w:color w:val="000000"/>
          <w:sz w:val="18"/>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market interest rate has been assessed based on the observed range of yields on corporate bonds with comparable terms and comparable credit ratings to that of the Group.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shows the impact of the key inputs and assumptions on the fair value of the Convertible Notes: </w:t>
      </w:r>
    </w:p>
    <w:p>
      <w:pPr>
        <w:pStyle w:val="TextBody"/>
        <w:bidi w:val="0"/>
        <w:jc w:val="both"/>
        <w:rPr/>
      </w:pPr>
      <w:r>
        <w:rPr/>
        <w:t> </w:t>
      </w:r>
    </w:p>
    <w:tbl>
      <w:tblPr>
        <w:tblW w:w="6624" w:type="dxa"/>
        <w:jc w:val="left"/>
        <w:tblInd w:w="0" w:type="dxa"/>
        <w:tblLayout w:type="fixed"/>
        <w:tblCellMar>
          <w:top w:w="28" w:type="dxa"/>
          <w:left w:w="28" w:type="dxa"/>
          <w:bottom w:w="28" w:type="dxa"/>
          <w:right w:w="28" w:type="dxa"/>
        </w:tblCellMar>
      </w:tblPr>
      <w:tblGrid>
        <w:gridCol w:w="4141"/>
        <w:gridCol w:w="146"/>
        <w:gridCol w:w="146"/>
        <w:gridCol w:w="781"/>
        <w:gridCol w:w="146"/>
        <w:gridCol w:w="146"/>
        <w:gridCol w:w="146"/>
        <w:gridCol w:w="781"/>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ADS price decrease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ADS price increase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decrease 10 percentage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increase 10 percentage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decrease 1 percentage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increase 1 percentage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decrease 1 percentage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increase 1 percentage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Inventories</w:t>
      </w:r>
    </w:p>
    <w:p>
      <w:pPr>
        <w:pStyle w:val="TextBody"/>
        <w:bidi w:val="0"/>
        <w:jc w:val="left"/>
        <w:rPr/>
      </w:pPr>
      <w:r>
        <w:rPr/>
        <w:t> </w:t>
      </w:r>
    </w:p>
    <w:tbl>
      <w:tblPr>
        <w:tblW w:w="4974" w:type="dxa"/>
        <w:jc w:val="left"/>
        <w:tblInd w:w="0" w:type="dxa"/>
        <w:tblLayout w:type="fixed"/>
        <w:tblCellMar>
          <w:top w:w="28" w:type="dxa"/>
          <w:left w:w="28" w:type="dxa"/>
          <w:bottom w:w="28" w:type="dxa"/>
          <w:right w:w="28" w:type="dxa"/>
        </w:tblCellMar>
      </w:tblPr>
      <w:tblGrid>
        <w:gridCol w:w="2701"/>
        <w:gridCol w:w="146"/>
        <w:gridCol w:w="146"/>
        <w:gridCol w:w="676"/>
        <w:gridCol w:w="146"/>
        <w:gridCol w:w="146"/>
        <w:gridCol w:w="146"/>
        <w:gridCol w:w="67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and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68,537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65,602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Inventories recognized as an expense during the year ended December 31, 2025 amounted to $552.7 million (2024: $555.7 million) and were included in cost of goods sold in the consolidated statement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Write-downs of inventories to net realizable value during the year ended December 31, 2025 amounted to $8.0 million (2024: $3.1 million). The write-downs were recognized as an expense during the years ended December 31, 2025 and 2024 and included in cost of goods sold in the consolidated statement of operations.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Trade receivables</w:t>
      </w:r>
    </w:p>
    <w:p>
      <w:pPr>
        <w:pStyle w:val="TextBody"/>
        <w:bidi w:val="0"/>
        <w:jc w:val="left"/>
        <w:rPr/>
      </w:pPr>
      <w:r>
        <w:rPr/>
        <w:t> </w:t>
      </w:r>
    </w:p>
    <w:tbl>
      <w:tblPr>
        <w:tblW w:w="6019" w:type="dxa"/>
        <w:jc w:val="left"/>
        <w:tblInd w:w="0" w:type="dxa"/>
        <w:tblLayout w:type="fixed"/>
        <w:tblCellMar>
          <w:top w:w="28" w:type="dxa"/>
          <w:left w:w="28" w:type="dxa"/>
          <w:bottom w:w="28" w:type="dxa"/>
          <w:right w:w="28" w:type="dxa"/>
        </w:tblCellMar>
      </w:tblPr>
      <w:tblGrid>
        <w:gridCol w:w="3496"/>
        <w:gridCol w:w="146"/>
        <w:gridCol w:w="146"/>
        <w:gridCol w:w="781"/>
        <w:gridCol w:w="166"/>
        <w:gridCol w:w="146"/>
        <w:gridCol w:w="146"/>
        <w:gridCol w:w="78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Trade receivables—net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103,366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Carrying amounts, by currency, for the Group’s trade receivables are as follows:</w:t>
      </w:r>
    </w:p>
    <w:tbl>
      <w:tblPr>
        <w:tblW w:w="3069" w:type="dxa"/>
        <w:jc w:val="left"/>
        <w:tblInd w:w="0" w:type="dxa"/>
        <w:tblLayout w:type="fixed"/>
        <w:tblCellMar>
          <w:top w:w="28" w:type="dxa"/>
          <w:left w:w="28" w:type="dxa"/>
          <w:bottom w:w="28" w:type="dxa"/>
          <w:right w:w="28" w:type="dxa"/>
        </w:tblCellMar>
      </w:tblPr>
      <w:tblGrid>
        <w:gridCol w:w="586"/>
        <w:gridCol w:w="146"/>
        <w:gridCol w:w="146"/>
        <w:gridCol w:w="781"/>
        <w:gridCol w:w="146"/>
        <w:gridCol w:w="146"/>
        <w:gridCol w:w="146"/>
        <w:gridCol w:w="781"/>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103,366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For more information on aging schedule and the allowance for expected credit losses, please see Note 3.1.2 “</w:t>
      </w:r>
      <w:r>
        <w:rPr>
          <w:rFonts w:ascii="Times New Roman" w:hAnsi="Times New Roman"/>
          <w:i/>
          <w:color w:val="000000"/>
          <w:sz w:val="20"/>
        </w:rPr>
        <w:t>Credit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maximum exposure to credit risk on the date of the statement of financial position is the carrying amounts according to the above.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current receivables</w:t>
      </w:r>
    </w:p>
    <w:p>
      <w:pPr>
        <w:pStyle w:val="TextBody"/>
        <w:bidi w:val="0"/>
        <w:jc w:val="left"/>
        <w:rPr/>
      </w:pPr>
      <w:r>
        <w:rPr/>
        <w:t> </w:t>
      </w:r>
    </w:p>
    <w:tbl>
      <w:tblPr>
        <w:tblW w:w="4839" w:type="dxa"/>
        <w:jc w:val="left"/>
        <w:tblInd w:w="0" w:type="dxa"/>
        <w:tblLayout w:type="fixed"/>
        <w:tblCellMar>
          <w:top w:w="28" w:type="dxa"/>
          <w:left w:w="28" w:type="dxa"/>
          <w:bottom w:w="28" w:type="dxa"/>
          <w:right w:w="28" w:type="dxa"/>
        </w:tblCellMar>
      </w:tblPr>
      <w:tblGrid>
        <w:gridCol w:w="2566"/>
        <w:gridCol w:w="146"/>
        <w:gridCol w:w="146"/>
        <w:gridCol w:w="676"/>
        <w:gridCol w:w="146"/>
        <w:gridCol w:w="146"/>
        <w:gridCol w:w="146"/>
        <w:gridCol w:w="67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payments to vendors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Prepaid expenses</w:t>
      </w:r>
    </w:p>
    <w:p>
      <w:pPr>
        <w:pStyle w:val="TextBody"/>
        <w:bidi w:val="0"/>
        <w:jc w:val="left"/>
        <w:rPr/>
      </w:pPr>
      <w:r>
        <w:rPr/>
        <w:t> </w:t>
      </w:r>
    </w:p>
    <w:tbl>
      <w:tblPr>
        <w:tblW w:w="5394" w:type="dxa"/>
        <w:jc w:val="left"/>
        <w:tblInd w:w="0" w:type="dxa"/>
        <w:tblLayout w:type="fixed"/>
        <w:tblCellMar>
          <w:top w:w="28" w:type="dxa"/>
          <w:left w:w="28" w:type="dxa"/>
          <w:bottom w:w="28" w:type="dxa"/>
          <w:right w:w="28" w:type="dxa"/>
        </w:tblCellMar>
      </w:tblPr>
      <w:tblGrid>
        <w:gridCol w:w="3331"/>
        <w:gridCol w:w="146"/>
        <w:gridCol w:w="146"/>
        <w:gridCol w:w="571"/>
        <w:gridCol w:w="146"/>
        <w:gridCol w:w="146"/>
        <w:gridCol w:w="146"/>
        <w:gridCol w:w="571"/>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financing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selling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consolidated statement of financial position and the consolidated statement of cash flows include the following items in “cash and cash equivalents”:</w:t>
      </w:r>
    </w:p>
    <w:p>
      <w:pPr>
        <w:pStyle w:val="TextBody"/>
        <w:bidi w:val="0"/>
        <w:jc w:val="both"/>
        <w:rPr/>
      </w:pPr>
      <w:r>
        <w:rPr/>
        <w:t> </w:t>
      </w:r>
    </w:p>
    <w:tbl>
      <w:tblPr>
        <w:tblW w:w="4494" w:type="dxa"/>
        <w:jc w:val="left"/>
        <w:tblInd w:w="0" w:type="dxa"/>
        <w:tblLayout w:type="fixed"/>
        <w:tblCellMar>
          <w:top w:w="28" w:type="dxa"/>
          <w:left w:w="28" w:type="dxa"/>
          <w:bottom w:w="28" w:type="dxa"/>
          <w:right w:w="28" w:type="dxa"/>
        </w:tblCellMar>
      </w:tblPr>
      <w:tblGrid>
        <w:gridCol w:w="2221"/>
        <w:gridCol w:w="146"/>
        <w:gridCol w:w="146"/>
        <w:gridCol w:w="676"/>
        <w:gridCol w:w="146"/>
        <w:gridCol w:w="146"/>
        <w:gridCol w:w="146"/>
        <w:gridCol w:w="67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bank and on hand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98,923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2024, short-term deposits were time deposits and structured deposits, with maturities of one to three months.</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capital and treasury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2021, the shareholders resolved to issue 69,496,515 warrants to secure the future delivery of ordinary shares under the 2021 Plan. During May 2025, the Company exercised 8,452,360 warrants (May 2024: 3,667,255 warrants, May 2023: 2,882,164 warrants, May 2022: 650,000 warrants). As of December 31, 2025 and 2024, there were 53,844,736 and 62,297,096 warrants outstanding,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Upon exercise of the warrants in May 2025, 8,452,360 ordinary shares were allotted and issued. During the twelve months ended December 31, 2025, the equivalent of 7,973,001 ordinary shares have been delivered to participants under the 2021 Incentive Award Plan in the form of ADSs.</w:t>
      </w:r>
      <w:r>
        <w:rPr>
          <w:rFonts w:ascii="Times New Roman" w:hAnsi="Times New Roman"/>
          <w:color w:val="2B333D"/>
          <w:sz w:val="20"/>
        </w:rPr>
        <w:t xml:space="preserve"> </w:t>
      </w:r>
      <w:r>
        <w:rPr>
          <w:rFonts w:ascii="Times New Roman" w:hAnsi="Times New Roman"/>
          <w:color w:val="000000"/>
          <w:sz w:val="20"/>
        </w:rPr>
        <w:t xml:space="preserve">The remaining balance is held as treasury shares to enable the Company’s timely delivery of ordinary shares upon the exercise of outstanding stock options and to meet future vesting of the RSUs. </w:t>
      </w:r>
    </w:p>
    <w:p>
      <w:pPr>
        <w:pStyle w:val="TextBody"/>
        <w:bidi w:val="0"/>
        <w:spacing w:before="240" w:after="283"/>
        <w:jc w:val="both"/>
        <w:rPr>
          <w:rFonts w:ascii="Times New Roman" w:hAnsi="Times New Roman"/>
          <w:sz w:val="20"/>
        </w:rPr>
      </w:pPr>
      <w:r>
        <w:rPr>
          <w:rFonts w:ascii="Times New Roman" w:hAnsi="Times New Roman"/>
          <w:color w:val="000000"/>
          <w:sz w:val="20"/>
        </w:rPr>
        <w:t>On October 3, 2025, 17,962,680 ordinary shares were issued in connection with repurchases and cancellations of U.S. Notes (as defined below). See Note 26 “</w:t>
      </w:r>
      <w:r>
        <w:rPr>
          <w:rFonts w:ascii="Times New Roman" w:hAnsi="Times New Roman"/>
          <w:i/>
          <w:color w:val="000000"/>
          <w:sz w:val="20"/>
        </w:rPr>
        <w:t>Interest-bearing loans and borrowings</w:t>
      </w:r>
      <w:r>
        <w:rPr>
          <w:rFonts w:ascii="Times New Roman" w:hAnsi="Times New Roman"/>
          <w:color w:val="000000"/>
          <w:sz w:val="20"/>
        </w:rPr>
        <w:t>” for further details.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twelve months ended December 31, 2025, 4,480 treasury shares were sold to cover fees in connection with the ADS Ratio Change.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and 2024, 624,500,001 and 598,559,840 ordinary shares, respectively were outstanding, and the par value per share was $0.00018 (SEK 0.0015). The Company had 891,459 and 416,580 treasury shares as of December 31, 2025 and December 31, 2024, respectively.</w:t>
      </w:r>
    </w:p>
    <w:p>
      <w:pPr>
        <w:pStyle w:val="TextBody"/>
        <w:bidi w:val="0"/>
        <w:spacing w:before="240" w:after="283"/>
        <w:jc w:val="both"/>
        <w:rPr>
          <w:rFonts w:ascii="Times New Roman" w:hAnsi="Times New Roman"/>
          <w:sz w:val="20"/>
        </w:rPr>
      </w:pPr>
      <w:r>
        <w:rPr>
          <w:rFonts w:ascii="Times New Roman" w:hAnsi="Times New Roman"/>
          <w:b/>
          <w:i/>
          <w:color w:val="000000"/>
          <w:sz w:val="20"/>
        </w:rPr>
        <w:t>Other contributed capital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and December 31, 2024 other contributed capital of $1,641.6 million and $1,628.0 million respectively, consists of share premium, shareholders contribution and proceeds from warrant issues and exercise of stock options.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reserves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other reserves of $(225.4) million consists of fair value reserve of $(80.0) million related to fair value gains and losses on the Convertible Notes (as defined below) attributable to changes in the Group’s credit risk, and foreign currency translation reserve of $(145.4) million primarily related to the exchange differences occurring from the translation of foreign operations in another currency than the reporting currency of the Group (USD).</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other reserves of $(274.2) million consists of fair value reserve of $(72.7) million related to fair value gains and losses on the Convertible Notes attributable to changes in the Group’s credit risk, and foreign currency translation reserve of $(201.5) million primarily related to the exchange differences occurring from the translation of foreign operations in another currency than the reporting currency of the Group (USD).</w:t>
      </w:r>
    </w:p>
    <w:p>
      <w:pPr>
        <w:pStyle w:val="TextBody"/>
        <w:bidi w:val="0"/>
        <w:spacing w:before="240" w:after="283"/>
        <w:jc w:val="both"/>
        <w:rPr>
          <w:rFonts w:ascii="Times New Roman" w:hAnsi="Times New Roman"/>
          <w:sz w:val="20"/>
        </w:rPr>
      </w:pPr>
      <w:r>
        <w:rPr>
          <w:rFonts w:ascii="Times New Roman" w:hAnsi="Times New Roman"/>
          <w:b/>
          <w:i/>
          <w:color w:val="000000"/>
          <w:sz w:val="20"/>
        </w:rPr>
        <w:t>Accumulated deficit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and December 31, 2024 accumulated deficit of $(1,397.8) million and $(1,249.3) million, respectively, consists of accumulated losses and share-based compensation.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December 31, 2025 and December 31, 2024, non-controlling interests amounted to $1.1 million and $1.4 million, respectively.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Interest-bearing loans and borrowings</w:t>
      </w:r>
    </w:p>
    <w:p>
      <w:pPr>
        <w:pStyle w:val="TextBody"/>
        <w:bidi w:val="0"/>
        <w:jc w:val="left"/>
        <w:rPr/>
      </w:pPr>
      <w:r>
        <w:rPr/>
        <w:t> </w:t>
      </w:r>
    </w:p>
    <w:tbl>
      <w:tblPr>
        <w:tblW w:w="7389" w:type="dxa"/>
        <w:jc w:val="left"/>
        <w:tblInd w:w="0" w:type="dxa"/>
        <w:tblLayout w:type="fixed"/>
        <w:tblCellMar>
          <w:top w:w="28" w:type="dxa"/>
          <w:left w:w="28" w:type="dxa"/>
          <w:bottom w:w="28" w:type="dxa"/>
          <w:right w:w="28" w:type="dxa"/>
        </w:tblCellMar>
      </w:tblPr>
      <w:tblGrid>
        <w:gridCol w:w="4906"/>
        <w:gridCol w:w="146"/>
        <w:gridCol w:w="146"/>
        <w:gridCol w:w="781"/>
        <w:gridCol w:w="146"/>
        <w:gridCol w:w="146"/>
        <w:gridCol w:w="146"/>
        <w:gridCol w:w="781"/>
        <w:gridCol w:w="1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Nordic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182,783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116,216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Nordic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330,152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446,368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interest-bearing loans and borrowing amounted to $523.0 million and was related to the Nordic Bonds, the Convertible Notes, and utilized amounts on the CMB Credit Facility (each as defined below). As of December 31, 2024, interest-bearing loans and borrowing amounted to $446.4 million, and was related to the Convertible Notes, and outstanding amounts under the TLB Credit Agreement and the term loan facility with Svensk Exportkredit.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Nordic Bonds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30, 2025, the Company issued SEK denominated senior secured floating rate bonds (the “Nordic Bonds”) under the terms and conditions entered into by the Company with Nordic Trustee &amp; Agency AB (publ) on September 29, 2025. The Nordic Bonds have an initial issue amount of SEK 1,700 million (equivalent of $180.9 million) and a tenor of four years, subject to certain early redemption features. Following the satisfaction of certain conditions, the proceeds from the Nordic Bonds were released to the Company from escrow on October 3, 2025, and used to prepay the TLB Credit Agreement in full, repurchase and cancel certain of the U.S. Notes (as defined below) and pay related transaction costs. The Nordic Bonds accrue interest at an interest rate equal to 3-month STIBOR plus 7.00 per cent. per annum applied to the nominal amount of the Nordic Bonds. The material terms of the Nordic Bonds include, among other things, (i) a mandatory total redemption of the Nordic Bonds on or before June 14, 2028 unless certain thresholds in respect of repurchase of Convertible Notes have been meet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pari passu with the Nordic Bonds or is subordinated to the Nordic Bonds, (iv) a distribution incurrence test (total net leverage ratio of the Group shall be equal to or less than 2.75:1, pro forma for the payment) which applies in respect of certain distributions by the Company to its shareholders, including dividends, and (v) other negative covenants such as restrictions on indebtedness, liens and asset disposals. As of December 31, 2025, the Group had SEK 1,716 million (equivalent of $187.1 million) outstanding under the Nordic Bonds, including accrued interest.</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debt under the Nordic Bonds and the SSRCF (as defined below) share in the same security and guarantees from material companies in the Group by way of an intercreditor agreement entered into by the Company on September 30, 2025 (the “New Intercreditor Agreement”), which replaced the Prior Intercreditor Agreement. The security provided for the SSRCF (as defined below) and the Nordic Bonds include share pledges, security over material intra-group loans, security over material bank accounts, security over material intellectual property, New York law all-asset security, English law debentures, Swedish business mortgages and Swedish real estate mortgage.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Currency risk (transaction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Nordic Bonds are denominated in SEK and the issuer within the Group is Oatly Group AB (publ) with a functional currency of USD. The Group is therefore exposed to currency risk USD/SEK and if the rate would increase/decrease by 10% the impact on loss before tax for the twelve months ended December 31, 2025, would be $16.7 million.</w:t>
      </w:r>
    </w:p>
    <w:p>
      <w:pPr>
        <w:pStyle w:val="TextBody"/>
        <w:bidi w:val="0"/>
        <w:spacing w:before="240" w:after="283"/>
        <w:jc w:val="both"/>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is exposed to interest rate risk that arises from the Nordic Bonds that carry an interest of STIBOR 3M. To manage the risk the Group has entered into interest rate cap for a partial amount of SEK 850 million of the Nordic Bonds. The cap is 1.95% and has a maturity of 3 years (September 2028). The effect from increase in basis points is limited due to the cap that economically hedges the Nordic Bonds. If variable interest increased by 100 basis points the impact on loss before tax for the three months October 1 to December 31, 2025, would be $0.2 million. If variable interest decreased by 100 basis points the impact on loss before tax for the three months October 1 to December 31, 2025, would be $0.5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Liabilities to credit institutions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19, 2025, the Group’s indirect subsidiary Oatly Shanghai Co., Ltd. entered into a new RMB 30.0 million (equivalent of $4.2 million) working capital credit facility with China Merchants Bank Co., Ltd. Shanghai Branch (the “CMB Credit Facility”). Individual utilizations under the CMB Credit Facility are subject to the lender’s approval and are available for one year, are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December 31, 2025, the Group had utilized loan amounts of RMB 20.0 million (equivalent of $2.8 million) under the CMB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30, 2025, the Company entered into a SEK 750 million (equivalent to $79.8 million) super senior revolving credit facility agreement with JP Morgan, Nordea and Rabobank (the “SSRCF”), which came into effect on October 3, 2025. The existing Sustainable Revolving Credit Facility Agreement (the “SRCF”) was cancelled, terminated and replaced by the SSRCF. The SSRCF has a committed tenor of two years and six months, with an uncommitted option to extend by an additional 15 months, and an initial margin of 4.00% p.a. (subject to leverage-based adjustments). Furthermore, it includes the following financial covenants: (i) tangible solvency ratio, (ii) minimum EBITDA (which ceases to apply following the third quarter of 2027), (iii) minimum liquidity (which ceases to apply following the third quarter of 2027), and (iv) total net leverage ratio (which commences to apply in respect of the LTM period ending on September 30, 2027). Moreover, the terms and conditions of the SSRCF contain certain negative covenants such as restrictions on dividends, indebtedness, liens, investments, acquisitions and asset disposals. Subject to certain exceptions, the payment of dividends by the Company generally requires that the total net leverage ratio of the Group is equal to or less than 3.50:1 (pro forma for the payment)..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As of December 31, 2025, the Group had access to $78.5 million in undrawn SSRCF commitments.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October 1, 2025, the term loan facility with Svensk Exportkredit was prepaid in full. On October 3, 2025, as described above, part of the proceeds from the Nordic Bonds were used to prepay the TLB Credit Agreement in full.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18, 2025, the Company completed a ratio change whereby the ratio of the Company’s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(the “Swedish Terms”), will interpret the definition of “Daily VWAP” therein to assume the trading price of 1/20 of an ADS. The conversion price of the Swedish Notes was reset again on March 23, 2025, to $1.36.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may require conversion of the Convertible Notes if the last reported sale price of the Company’s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18, 2023, the Company, Oatly AB, Oatly Inc. and other parties entered into an intercreditor agreement (the “Prior Intercreditor Agreement”) which includes customary ranking, enforcement and turnover provisions intended to govern the relationship between the creditor groups and which affects the Convertible Notes. On September 30, 2025, the parties to the Prior Intercreditor Agreement entered into the New Intercreditor Agreement which replaced the Prior Intercreditor Agreement. The New Intercreditor Agreement contains substantially similar ranking, enforcement and turnover provisions as the Prior Intercreditor Agreement in relation to the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Convertible Notes contain covenants limiting the Company’s ability to incur additional debt other than certain debt permitted under the original form of the terms and conditions of the Nordic Bonds, issue preferred stock, and incur convertible debt or subordinated debt, in each case without the consent of the holders of a majority of the Convertible Notes (as determined pursuant to the terms of the applicable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3, 2025, the Company completed a series of privately negotiated repurchases and cancellations of an aggregate amount of $42.9 million U.S. Notes in exchange for $24.6 million in cash and 898,134 ADSs.</w:t>
      </w:r>
    </w:p>
    <w:p>
      <w:pPr>
        <w:pStyle w:val="TextBody"/>
        <w:bidi w:val="0"/>
        <w:spacing w:before="240" w:after="283"/>
        <w:jc w:val="both"/>
        <w:rPr>
          <w:rFonts w:ascii="Times New Roman" w:hAnsi="Times New Roman"/>
          <w:sz w:val="20"/>
        </w:rPr>
      </w:pPr>
      <w:r>
        <w:rPr>
          <w:rFonts w:ascii="Times New Roman" w:hAnsi="Times New Roman"/>
          <w:color w:val="000000"/>
          <w:sz w:val="20"/>
        </w:rPr>
        <w:t>For details on the fair value on Convertible Notes, see Note 19 “</w:t>
      </w:r>
      <w:r>
        <w:rPr>
          <w:rFonts w:ascii="Times New Roman" w:hAnsi="Times New Roman"/>
          <w:i/>
          <w:color w:val="000000"/>
          <w:sz w:val="20"/>
        </w:rPr>
        <w:t>Financial instruments per category</w:t>
      </w:r>
      <w:r>
        <w:rPr>
          <w:rFonts w:ascii="Times New Roman" w:hAnsi="Times New Roman"/>
          <w:color w:val="000000"/>
          <w:sz w:val="20"/>
        </w:rPr>
        <w:t>”</w:t>
      </w:r>
      <w:r>
        <w:rPr>
          <w:rFonts w:ascii="Times New Roman" w:hAnsi="Times New Roman"/>
          <w:i/>
          <w:color w:val="000000"/>
          <w:sz w:val="20"/>
        </w:rPr>
        <w:t>.</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Provisions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879" w:type="dxa"/>
        <w:jc w:val="left"/>
        <w:tblInd w:w="0" w:type="dxa"/>
        <w:tblLayout w:type="fixed"/>
        <w:tblCellMar>
          <w:top w:w="28" w:type="dxa"/>
          <w:left w:w="28" w:type="dxa"/>
          <w:bottom w:w="28" w:type="dxa"/>
          <w:right w:w="28" w:type="dxa"/>
        </w:tblCellMar>
      </w:tblPr>
      <w:tblGrid>
        <w:gridCol w:w="4411"/>
        <w:gridCol w:w="146"/>
        <w:gridCol w:w="183"/>
        <w:gridCol w:w="928"/>
        <w:gridCol w:w="2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Charged to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Additional provisions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Unwinding of discount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Reversal of non-utilized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used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Charged to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spacing w:before="240" w:after="120"/>
        <w:jc w:val="left"/>
        <w:rPr>
          <w:rFonts w:ascii="Times New Roman" w:hAnsi="Times New Roman"/>
          <w:i/>
          <w:color w:val="000000"/>
          <w:sz w:val="20"/>
        </w:rPr>
      </w:pPr>
      <w:r>
        <w:rPr>
          <w:rFonts w:ascii="Times New Roman" w:hAnsi="Times New Roman"/>
          <w:i/>
          <w:color w:val="000000"/>
          <w:sz w:val="20"/>
        </w:rPr>
        <w:t>Restructuring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restructuring provisions recorded in 2025 were principally related to organizational restructuring.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restructuring provisions recorded in 2024 were principally related to decommissioning and other exit costs for the closure of the production facility in Singapore. The remaining amounts relating to the closure of the facility are expected to be paid throughout 2026 and into the first quarter of 2027. The Group also recorded provisions related to organizational restructuring. The main part of the organizational restructuring plan was drawn up and announced to the employees during 2024, with some additional parts being announced and recorded as expense during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2025, the Group had $8.6 million in cash outflows relating to organizational restructuring and $10.2 million in cash outflows relating to the closure of the production facility in Singapore.</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current liabilities</w:t>
      </w:r>
    </w:p>
    <w:tbl>
      <w:tblPr>
        <w:tblW w:w="4629" w:type="dxa"/>
        <w:jc w:val="left"/>
        <w:tblInd w:w="0" w:type="dxa"/>
        <w:tblLayout w:type="fixed"/>
        <w:tblCellMar>
          <w:top w:w="28" w:type="dxa"/>
          <w:left w:w="28" w:type="dxa"/>
          <w:bottom w:w="28" w:type="dxa"/>
          <w:right w:w="28" w:type="dxa"/>
        </w:tblCellMar>
      </w:tblPr>
      <w:tblGrid>
        <w:gridCol w:w="2461"/>
        <w:gridCol w:w="146"/>
        <w:gridCol w:w="146"/>
        <w:gridCol w:w="676"/>
        <w:gridCol w:w="146"/>
        <w:gridCol w:w="146"/>
        <w:gridCol w:w="146"/>
        <w:gridCol w:w="57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jc w:val="left"/>
        <w:rPr/>
      </w:pPr>
      <w:r>
        <w:rPr/>
        <w:t> </w:t>
      </w:r>
    </w:p>
    <w:tbl>
      <w:tblPr>
        <w:tblW w:w="5709" w:type="dxa"/>
        <w:jc w:val="left"/>
        <w:tblInd w:w="0" w:type="dxa"/>
        <w:tblLayout w:type="fixed"/>
        <w:tblCellMar>
          <w:top w:w="28" w:type="dxa"/>
          <w:left w:w="28" w:type="dxa"/>
          <w:bottom w:w="28" w:type="dxa"/>
          <w:right w:w="28" w:type="dxa"/>
        </w:tblCellMar>
      </w:tblPr>
      <w:tblGrid>
        <w:gridCol w:w="3226"/>
        <w:gridCol w:w="146"/>
        <w:gridCol w:w="146"/>
        <w:gridCol w:w="781"/>
        <w:gridCol w:w="146"/>
        <w:gridCol w:w="146"/>
        <w:gridCol w:w="146"/>
        <w:gridCol w:w="78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variable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logistic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production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marketing and sales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103,719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30.</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Related party disclosures</w:t>
      </w:r>
    </w:p>
    <w:p>
      <w:pPr>
        <w:pStyle w:val="TextBody"/>
        <w:bidi w:val="0"/>
        <w:spacing w:before="240" w:after="120"/>
        <w:jc w:val="left"/>
        <w:rPr>
          <w:rFonts w:ascii="Times New Roman" w:hAnsi="Times New Roman"/>
          <w:sz w:val="20"/>
        </w:rPr>
      </w:pPr>
      <w:r>
        <w:rPr>
          <w:rFonts w:ascii="Times New Roman" w:hAnsi="Times New Roman"/>
          <w:b/>
          <w:color w:val="000000"/>
          <w:sz w:val="20"/>
        </w:rPr>
        <w:t>Entity with significant influence over the Group</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CR Verlinvest Health Investment Limited (Org No 2380741), headquartered in Hong Kong, the People’s Republic of China, owns 43.5% of the ordinary shares in the Group (2024: 45.4%). Related parties are CR Verlinvest Health Investment Limited and its subsidiaries, as well as the Board of Directors and key management (senior executives and their associates) in the Group. Information about key management compensation is found in Note 8 “</w:t>
      </w:r>
      <w:r>
        <w:rPr>
          <w:rFonts w:ascii="Times New Roman" w:hAnsi="Times New Roman"/>
          <w:i/>
          <w:color w:val="000000"/>
          <w:sz w:val="20"/>
        </w:rPr>
        <w:t>Employee and personnel costs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Subsidiaries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Interests in subsidiaries are set out in Note 14 “</w:t>
      </w:r>
      <w:r>
        <w:rPr>
          <w:rFonts w:ascii="Times New Roman" w:hAnsi="Times New Roman"/>
          <w:i/>
          <w:color w:val="000000"/>
          <w:sz w:val="20"/>
        </w:rPr>
        <w:t>Investments in subsidiaries</w:t>
      </w:r>
      <w:r>
        <w:rPr>
          <w:rFonts w:ascii="Times New Roman" w:hAnsi="Times New Roman"/>
          <w:color w:val="000000"/>
          <w:sz w:val="20"/>
        </w:rPr>
        <w:t xml:space="preserve">”. </w:t>
      </w:r>
    </w:p>
    <w:p>
      <w:pPr>
        <w:pStyle w:val="Heading2"/>
        <w:bidi w:val="0"/>
        <w:spacing w:before="240" w:after="120"/>
        <w:jc w:val="left"/>
        <w:rPr>
          <w:rFonts w:ascii="Times New Roman" w:hAnsi="Times New Roman"/>
          <w:sz w:val="20"/>
        </w:rPr>
      </w:pPr>
      <w:r>
        <w:rPr>
          <w:rFonts w:ascii="Times New Roman" w:hAnsi="Times New Roman"/>
          <w:i/>
          <w:color w:val="000000"/>
          <w:sz w:val="20"/>
        </w:rPr>
        <w:t>Transactions with related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2025, $1.2 million (2024: $1.4 million) has been recognized in the consolidated statement of operations for compensation to the Board of Directors. </w:t>
      </w:r>
    </w:p>
    <w:p>
      <w:pPr>
        <w:pStyle w:val="TextBody"/>
        <w:bidi w:val="0"/>
        <w:spacing w:before="240" w:after="283"/>
        <w:jc w:val="both"/>
        <w:rPr>
          <w:rFonts w:ascii="Times New Roman" w:hAnsi="Times New Roman"/>
          <w:sz w:val="20"/>
        </w:rPr>
      </w:pPr>
      <w:r>
        <w:rPr>
          <w:rFonts w:ascii="Times New Roman" w:hAnsi="Times New Roman"/>
          <w:color w:val="000000"/>
          <w:sz w:val="20"/>
        </w:rPr>
        <w:t>On April 18, 2023 the Company issued Convertible Notes to related parties, Nativus Company Limited and Verlinvest with a fair value of $174.0 million. As of December 31, 2025, the fair value of the outstanding Convertible Notes to related parties amounted to $182.1 million. The Convertible Notes were issued with the terms and conditions described in Note 26 “</w:t>
      </w:r>
      <w:r>
        <w:rPr>
          <w:rFonts w:ascii="Times New Roman" w:hAnsi="Times New Roman"/>
          <w:i/>
          <w:color w:val="000000"/>
          <w:sz w:val="20"/>
        </w:rPr>
        <w:t>Interest-bearing loans and borrowings</w:t>
      </w:r>
      <w:r>
        <w:rPr>
          <w:rFonts w:ascii="Times New Roman" w:hAnsi="Times New Roman"/>
          <w:color w:val="000000"/>
          <w:sz w:val="20"/>
        </w:rPr>
        <w:t>”.</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Changes in liabilities attributable to financing activities</w:t>
      </w:r>
    </w:p>
    <w:tbl>
      <w:tblPr>
        <w:tblW w:w="10205" w:type="dxa"/>
        <w:jc w:val="left"/>
        <w:tblInd w:w="0" w:type="dxa"/>
        <w:tblLayout w:type="fixed"/>
        <w:tblCellMar>
          <w:top w:w="28" w:type="dxa"/>
          <w:left w:w="28" w:type="dxa"/>
          <w:bottom w:w="28" w:type="dxa"/>
          <w:right w:w="28" w:type="dxa"/>
        </w:tblCellMar>
      </w:tblPr>
      <w:tblGrid>
        <w:gridCol w:w="3735"/>
        <w:gridCol w:w="146"/>
        <w:gridCol w:w="146"/>
        <w:gridCol w:w="736"/>
        <w:gridCol w:w="166"/>
        <w:gridCol w:w="146"/>
        <w:gridCol w:w="153"/>
        <w:gridCol w:w="823"/>
        <w:gridCol w:w="146"/>
        <w:gridCol w:w="146"/>
        <w:gridCol w:w="146"/>
        <w:gridCol w:w="841"/>
        <w:gridCol w:w="166"/>
        <w:gridCol w:w="146"/>
        <w:gridCol w:w="174"/>
        <w:gridCol w:w="936"/>
        <w:gridCol w:w="166"/>
        <w:gridCol w:w="146"/>
        <w:gridCol w:w="146"/>
        <w:gridCol w:w="781"/>
        <w:gridCol w:w="214"/>
      </w:tblGrid>
      <w:tr>
        <w:trPr/>
        <w:tc>
          <w:tcPr>
            <w:tcW w:w="3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Nordic Bonds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br/>
              <w:t>to credit</w:t>
              <w:br/>
              <w:t>institutions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532,835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 –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Cancellation - leases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491,451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 –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recognized in consolidated statement of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Separation of embedded derivative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 embedded derivative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U.S.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changes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560,235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283"/>
        <w:jc w:val="both"/>
        <w:rPr>
          <w:rFonts w:ascii="Times New Roman" w:hAnsi="Times New Roman"/>
          <w:color w:val="000000"/>
          <w:sz w:val="20"/>
        </w:rPr>
      </w:pPr>
      <w:r>
        <w:rPr>
          <w:rFonts w:ascii="Times New Roman" w:hAnsi="Times New Roman"/>
          <w:color w:val="000000"/>
          <w:sz w:val="20"/>
        </w:rPr>
        <w:t xml:space="preserve">(1) Cancellation is primarily related to terminated lease contract due to the continued exit of the production facility in Peterborough, UK. </w:t>
      </w:r>
    </w:p>
    <w:p>
      <w:pPr>
        <w:pStyle w:val="TextBody"/>
        <w:bidi w:val="0"/>
        <w:spacing w:before="20" w:after="283"/>
        <w:jc w:val="left"/>
        <w:rPr>
          <w:rFonts w:ascii="Times New Roman" w:hAnsi="Times New Roman"/>
          <w:sz w:val="20"/>
        </w:rPr>
      </w:pPr>
      <w:r>
        <w:rPr>
          <w:rFonts w:ascii="Times New Roman" w:hAnsi="Times New Roman"/>
          <w:color w:val="000000"/>
          <w:sz w:val="20"/>
        </w:rPr>
        <w:t>(2) Other changes in liabilities to credit institutions includes transaction costs of $10.4 million that were expensed when the TLB agreement was extinguished on October 3, 2025. See Note 26 “</w:t>
      </w:r>
      <w:r>
        <w:rPr>
          <w:rFonts w:ascii="Times New Roman" w:hAnsi="Times New Roman"/>
          <w:i/>
          <w:color w:val="000000"/>
          <w:sz w:val="20"/>
        </w:rPr>
        <w:t>Interest-bearing loans and borrowings</w:t>
      </w:r>
      <w:r>
        <w:rPr>
          <w:rFonts w:ascii="Times New Roman" w:hAnsi="Times New Roman"/>
          <w:color w:val="000000"/>
          <w:sz w:val="20"/>
        </w:rPr>
        <w:t>” for further details.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classifies interest paid as cash flows from operating activities.</w:t>
      </w:r>
    </w:p>
    <w:p>
      <w:pPr>
        <w:pStyle w:val="TextBody"/>
        <w:bidi w:val="0"/>
        <w:jc w:val="left"/>
        <w:rPr/>
      </w:pPr>
      <w:r>
        <w:rPr/>
        <w:t>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Loss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calculates loss per share by dividing loss for the period attributable to the shareholders of the parent by the weighted average number of ordinary shares outstanding during the period (net of treasury shares).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59" w:type="dxa"/>
        <w:jc w:val="left"/>
        <w:tblInd w:w="0" w:type="dxa"/>
        <w:tblLayout w:type="fixed"/>
        <w:tblCellMar>
          <w:top w:w="28" w:type="dxa"/>
          <w:left w:w="28" w:type="dxa"/>
          <w:bottom w:w="28" w:type="dxa"/>
          <w:right w:w="28" w:type="dxa"/>
        </w:tblCellMar>
      </w:tblPr>
      <w:tblGrid>
        <w:gridCol w:w="6316"/>
        <w:gridCol w:w="146"/>
        <w:gridCol w:w="146"/>
        <w:gridCol w:w="1141"/>
        <w:gridCol w:w="166"/>
        <w:gridCol w:w="146"/>
        <w:gridCol w:w="146"/>
        <w:gridCol w:w="1141"/>
        <w:gridCol w:w="21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 attributable to the shareholders of the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607,525,897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596,886,163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loss per share, U.S.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number of ADS (1 ADS representing 20 ordinary shares)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30,376,295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29,844,308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loss per ADS, U.S.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rFonts w:ascii="Times New Roman" w:hAnsi="Times New Roman"/>
          <w:sz w:val="20"/>
        </w:rPr>
      </w:pPr>
      <w:r>
        <w:rPr>
          <w:rFonts w:ascii="Times New Roman" w:hAnsi="Times New Roman"/>
          <w:color w:val="000000"/>
          <w:sz w:val="18"/>
        </w:rPr>
        <w:t xml:space="preserve">(1) On February 18, 2025, the Company completed a ratio change whereby the ratio of its ADSs to ordinary shares was changed from one ADS representing one ordinary share to one ADS representing twenty ordinary shares. The weighted average number of ADSs has been calculated by dividing the weighted average number of shares by 20, even though the actual number of outstanding ADSs is lower since not all of the ordinary shares in the Company are represented by ADSs. For further details on the ADS Ratio Change, see Note 2 </w:t>
      </w:r>
      <w:r>
        <w:rPr>
          <w:rFonts w:ascii="Times New Roman" w:hAnsi="Times New Roman"/>
          <w:color w:val="000000"/>
          <w:sz w:val="20"/>
        </w:rPr>
        <w:t>“</w:t>
      </w:r>
      <w:r>
        <w:rPr>
          <w:rFonts w:ascii="Times New Roman" w:hAnsi="Times New Roman"/>
          <w:i/>
          <w:color w:val="000000"/>
          <w:sz w:val="18"/>
        </w:rPr>
        <w:t>Summary of accounting policies</w:t>
      </w:r>
      <w:r>
        <w:rPr>
          <w:rFonts w:ascii="Times New Roman" w:hAnsi="Times New Roman"/>
          <w:color w:val="000000"/>
          <w:sz w:val="20"/>
        </w:rPr>
        <w:t>”</w:t>
      </w:r>
      <w:r>
        <w:rPr>
          <w:rFonts w:ascii="Times New Roman" w:hAnsi="Times New Roman"/>
          <w:color w:val="000000"/>
          <w:sz w:val="18"/>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Potential dilutive securities that were not included in the diluted loss per share calculations because they would be anti-dilutive were as follows:</w:t>
      </w:r>
    </w:p>
    <w:p>
      <w:pPr>
        <w:pStyle w:val="TextBody"/>
        <w:bidi w:val="0"/>
        <w:jc w:val="left"/>
        <w:rPr/>
      </w:pPr>
      <w:r>
        <w:rPr/>
        <w:t> </w:t>
      </w:r>
    </w:p>
    <w:tbl>
      <w:tblPr>
        <w:tblW w:w="7404" w:type="dxa"/>
        <w:jc w:val="left"/>
        <w:tblInd w:w="0" w:type="dxa"/>
        <w:tblLayout w:type="fixed"/>
        <w:tblCellMar>
          <w:top w:w="28" w:type="dxa"/>
          <w:left w:w="28" w:type="dxa"/>
          <w:bottom w:w="28" w:type="dxa"/>
          <w:right w:w="28" w:type="dxa"/>
        </w:tblCellMar>
      </w:tblPr>
      <w:tblGrid>
        <w:gridCol w:w="4201"/>
        <w:gridCol w:w="146"/>
        <w:gridCol w:w="146"/>
        <w:gridCol w:w="1141"/>
        <w:gridCol w:w="146"/>
        <w:gridCol w:w="146"/>
        <w:gridCol w:w="146"/>
        <w:gridCol w:w="1141"/>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representing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32,430,060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16,403,397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representing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11,606,280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Convertible Notes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359,462,635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400,616,344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20" w:after="283"/>
        <w:jc w:val="both"/>
        <w:rPr>
          <w:rFonts w:ascii="Times New Roman" w:hAnsi="Times New Roman"/>
          <w:sz w:val="20"/>
        </w:rPr>
      </w:pPr>
      <w:r>
        <w:rPr>
          <w:rFonts w:ascii="Times New Roman" w:hAnsi="Times New Roman"/>
          <w:color w:val="000000"/>
          <w:sz w:val="18"/>
        </w:rPr>
        <w:t xml:space="preserve">(1) The number of potential dilutive shares from the Convertible Notes are calculated assuming the most advantageous conversion price from the standpoint of the holder and assuming all capitalized interest at maturity will be settled with shares or ADSs, and after considering the repurchases and cancellations of an aggregate amount of $42.9 million Convertible Notes that occurred on October 3, 2025. For further details on the Convertible Notes, the conversion price reset mechanism and the repurchases and cancellations see Note 26 </w:t>
      </w:r>
      <w:r>
        <w:rPr>
          <w:rFonts w:ascii="Times New Roman" w:hAnsi="Times New Roman"/>
          <w:color w:val="000000"/>
          <w:sz w:val="20"/>
        </w:rPr>
        <w:t>“</w:t>
      </w:r>
      <w:r>
        <w:rPr>
          <w:rFonts w:ascii="Times New Roman" w:hAnsi="Times New Roman"/>
          <w:i/>
          <w:color w:val="000000"/>
          <w:sz w:val="18"/>
        </w:rPr>
        <w:t>Interest-bearing loans and borrowings</w:t>
      </w:r>
      <w:r>
        <w:rPr>
          <w:rFonts w:ascii="Times New Roman" w:hAnsi="Times New Roman"/>
          <w:color w:val="000000"/>
          <w:sz w:val="20"/>
        </w:rPr>
        <w:t>”</w:t>
      </w:r>
      <w:r>
        <w:rPr>
          <w:rFonts w:ascii="Times New Roman" w:hAnsi="Times New Roman"/>
          <w:i/>
          <w:color w:val="000000"/>
          <w:sz w:val="18"/>
        </w:rPr>
        <w:t>.</w:t>
      </w:r>
    </w:p>
    <w:p>
      <w:pPr>
        <w:pStyle w:val="TextBody"/>
        <w:bidi w:val="0"/>
        <w:spacing w:before="240" w:after="283"/>
        <w:jc w:val="both"/>
        <w:rPr>
          <w:rFonts w:ascii="Times New Roman" w:hAnsi="Times New Roman"/>
          <w:sz w:val="20"/>
        </w:rPr>
      </w:pPr>
      <w:r>
        <w:rPr>
          <w:rFonts w:ascii="Times New Roman" w:hAnsi="Times New Roman"/>
          <w:color w:val="000000"/>
          <w:sz w:val="20"/>
        </w:rPr>
        <w:t>Refer to Note 9 “</w:t>
      </w:r>
      <w:r>
        <w:rPr>
          <w:rFonts w:ascii="Times New Roman" w:hAnsi="Times New Roman"/>
          <w:i/>
          <w:color w:val="000000"/>
          <w:sz w:val="20"/>
        </w:rPr>
        <w:t>Share-based compensation</w:t>
      </w:r>
      <w:r>
        <w:rPr>
          <w:rFonts w:ascii="Times New Roman" w:hAnsi="Times New Roman"/>
          <w:color w:val="000000"/>
          <w:sz w:val="20"/>
        </w:rPr>
        <w:t xml:space="preserve">” for a description of RSUs and stock options.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jc w:val="both"/>
        <w:rPr/>
      </w:pPr>
      <w:r>
        <w:rPr/>
        <w:t> </w:t>
      </w:r>
    </w:p>
    <w:p>
      <w:pPr>
        <w:pStyle w:val="Heading2"/>
        <w:bidi w:val="0"/>
        <w:spacing w:before="240" w:after="120"/>
        <w:jc w:val="left"/>
        <w:rPr>
          <w:rFonts w:ascii="Times New Roman" w:hAnsi="Times New Roman"/>
          <w:sz w:val="20"/>
        </w:rPr>
      </w:pPr>
      <w:r>
        <w:rPr>
          <w:rFonts w:ascii="Times New Roman" w:hAnsi="Times New Roman"/>
          <w:i/>
          <w:color w:val="000000"/>
          <w:sz w:val="20"/>
        </w:rPr>
        <w:t>Commitments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i/>
          <w:color w:val="000000"/>
          <w:sz w:val="20"/>
        </w:rPr>
        <w:t>Minimum purchase commitments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twelve months ended December 31, 2025, volume adjustments related to co-packer arrangements in Europe &amp; International and North America resulted in volume shortfall expenses of $13.9 million. The shortfall expenses are presented in cost of goods sold in the consolidated statement of operations.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The future cash outflows relating to leases that have not yet commenced are disclosed in Note 17 “</w:t>
      </w:r>
      <w:r>
        <w:rPr>
          <w:rFonts w:ascii="Times New Roman" w:hAnsi="Times New Roman"/>
          <w:i/>
          <w:color w:val="000000"/>
          <w:sz w:val="20"/>
        </w:rPr>
        <w:t>Leases</w:t>
      </w:r>
      <w:r>
        <w:rPr>
          <w:rFonts w:ascii="Times New Roman" w:hAnsi="Times New Roman"/>
          <w:color w:val="000000"/>
          <w:sz w:val="20"/>
        </w:rPr>
        <w:t xml:space="preserve">”. </w:t>
      </w:r>
    </w:p>
    <w:p>
      <w:pPr>
        <w:pStyle w:val="Heading2"/>
        <w:bidi w:val="0"/>
        <w:spacing w:before="240" w:after="120"/>
        <w:jc w:val="left"/>
        <w:rPr>
          <w:rFonts w:ascii="Times New Roman" w:hAnsi="Times New Roman"/>
          <w:sz w:val="20"/>
        </w:rPr>
      </w:pPr>
      <w:r>
        <w:rPr>
          <w:rFonts w:ascii="Times New Roman" w:hAnsi="Times New Roman"/>
          <w:i/>
          <w:color w:val="000000"/>
          <w:sz w:val="20"/>
        </w:rPr>
        <w:t>Legal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the Company may be involved in various claims and legal proceedings related to claims arising out of the operations. In July and September 2021, three securities class action complaints were filed under the captions Jochims v. Oatly Group AB (publ) et al., Case No. 1:21-cv-06360-AKH, Bentley v. Oatly Group AB (publ) et al., Case No. 1:21-cv-06485-AKH, and Kostendt v. Oatly Group AB (publ) et al., Case No. 1:21-cv-07904-AKH, in the United States District Court for the Southern District of New York against the Company and certain of its officers and directors. Those actions were consolidated under the caption In re Oatly Group AB (publ) Securities Litigation, Consolidated Civil Action No. 1:21-cv-06360-AKH. The operative consolidated complaint alleged violations of the Securities Exchange Act of 1934, SEC Rule 10b-5, and the Securities Act of 1933. In February 2022, a securities class action complaint was filed under the caption Hipple v. Oatly Group AB (publ) et al., Index No. 151432/2022 in the New York County Supreme Court against the Company and certain of its officers and directors, alleging violations of the Securities Act of 1933. In May 2022, the New York County Supreme Court granted a stay of Hipple v. Oatly Group AB (publ) et al. pending final adjudication of In re Oatly Group AB (publ) Securities Litigation. In October 2023, the parties reached a settlement in principle of both matters requiring the Company to pay $9.25 million, which was contingent upon court approval, among other things. In July 2024 the United States District Court for the Southern District of New York approved the settlement of In re Oatly Group AB (publ) Securities Litigation, and in August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2024, the New York County Supreme Court approved the settlement of Hipple v. Oatly Group AB (publ) et al., effectively concluding all pending class actions.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PARENT COMPANY INCOME STATEMENT</w:t>
      </w:r>
    </w:p>
    <w:p>
      <w:pPr>
        <w:pStyle w:val="TextBody"/>
        <w:bidi w:val="0"/>
        <w:jc w:val="left"/>
        <w:rPr/>
      </w:pPr>
      <w:r>
        <w:rPr/>
        <w:t> </w:t>
      </w:r>
    </w:p>
    <w:tbl>
      <w:tblPr>
        <w:tblW w:w="8131" w:type="dxa"/>
        <w:jc w:val="left"/>
        <w:tblInd w:w="0" w:type="dxa"/>
        <w:tblLayout w:type="fixed"/>
        <w:tblCellMar>
          <w:top w:w="28" w:type="dxa"/>
          <w:left w:w="28" w:type="dxa"/>
          <w:bottom w:w="28" w:type="dxa"/>
          <w:right w:w="28" w:type="dxa"/>
        </w:tblCellMar>
      </w:tblPr>
      <w:tblGrid>
        <w:gridCol w:w="4486"/>
        <w:gridCol w:w="146"/>
        <w:gridCol w:w="616"/>
        <w:gridCol w:w="146"/>
        <w:gridCol w:w="146"/>
        <w:gridCol w:w="931"/>
        <w:gridCol w:w="166"/>
        <w:gridCol w:w="146"/>
        <w:gridCol w:w="146"/>
        <w:gridCol w:w="99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31 December (in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(153,850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from financial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 income and similar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694,464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shares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and similar income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after financial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(1,421,161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before tax and year-end appropriations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(1,421,161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Year-end appropriations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(1,306,611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PARENT COMPANY STATEMENT OF COMPREHENSIVE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8"/>
        <w:gridCol w:w="146"/>
        <w:gridCol w:w="146"/>
        <w:gridCol w:w="316"/>
        <w:gridCol w:w="146"/>
        <w:gridCol w:w="146"/>
        <w:gridCol w:w="146"/>
        <w:gridCol w:w="841"/>
        <w:gridCol w:w="146"/>
        <w:gridCol w:w="146"/>
        <w:gridCol w:w="146"/>
        <w:gridCol w:w="991"/>
        <w:gridCol w:w="291"/>
      </w:tblGrid>
      <w:tr>
        <w:trPr/>
        <w:tc>
          <w:tcPr>
            <w:tcW w:w="6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31 December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-1,306,611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that will not be subsequently reclassified to consolidated statement of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changes on Convertible Notes attributable to changes in credit risk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income/(loss)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-1,306,611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PARENT COMPANY STATEMENT OF FINANCIAL POSITION</w:t>
      </w:r>
    </w:p>
    <w:tbl>
      <w:tblPr>
        <w:tblW w:w="6961" w:type="dxa"/>
        <w:jc w:val="left"/>
        <w:tblInd w:w="0" w:type="dxa"/>
        <w:tblLayout w:type="fixed"/>
        <w:tblCellMar>
          <w:top w:w="28" w:type="dxa"/>
          <w:left w:w="28" w:type="dxa"/>
          <w:bottom w:w="28" w:type="dxa"/>
          <w:right w:w="28" w:type="dxa"/>
        </w:tblCellMar>
      </w:tblPr>
      <w:tblGrid>
        <w:gridCol w:w="3331"/>
        <w:gridCol w:w="146"/>
        <w:gridCol w:w="451"/>
        <w:gridCol w:w="146"/>
        <w:gridCol w:w="146"/>
        <w:gridCol w:w="1036"/>
        <w:gridCol w:w="166"/>
        <w:gridCol w:w="146"/>
        <w:gridCol w:w="146"/>
        <w:gridCol w:w="1036"/>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at December 31 (in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in group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4,137,925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group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11,523,548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10,687,925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 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group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accrued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144,464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161,988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11,623,498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10,849,913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Restricted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Unrestricted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13,126,053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(6,390,104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(1,306,611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5,519,289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5,430,233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1,677,034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3,568,704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group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1,798,014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prepaid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4,427,175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5,419,680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11,623,498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10,849,913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PARENT COMPANY STATEMENT OF CHANGES IN EQUITY</w:t>
      </w:r>
    </w:p>
    <w:p>
      <w:pPr>
        <w:pStyle w:val="TextBody"/>
        <w:bidi w:val="0"/>
        <w:jc w:val="left"/>
        <w:rPr/>
      </w:pPr>
      <w:r>
        <w:rPr/>
        <w:t> </w:t>
      </w:r>
    </w:p>
    <w:tbl>
      <w:tblPr>
        <w:tblW w:w="11286" w:type="dxa"/>
        <w:jc w:val="left"/>
        <w:tblInd w:w="0" w:type="dxa"/>
        <w:tblLayout w:type="fixed"/>
        <w:tblCellMar>
          <w:top w:w="28" w:type="dxa"/>
          <w:left w:w="28" w:type="dxa"/>
          <w:bottom w:w="28" w:type="dxa"/>
          <w:right w:w="28" w:type="dxa"/>
        </w:tblCellMar>
      </w:tblPr>
      <w:tblGrid>
        <w:gridCol w:w="1396"/>
        <w:gridCol w:w="146"/>
        <w:gridCol w:w="146"/>
        <w:gridCol w:w="316"/>
        <w:gridCol w:w="146"/>
        <w:gridCol w:w="146"/>
        <w:gridCol w:w="154"/>
        <w:gridCol w:w="447"/>
        <w:gridCol w:w="146"/>
        <w:gridCol w:w="146"/>
        <w:gridCol w:w="227"/>
        <w:gridCol w:w="539"/>
        <w:gridCol w:w="166"/>
        <w:gridCol w:w="146"/>
        <w:gridCol w:w="146"/>
        <w:gridCol w:w="1036"/>
        <w:gridCol w:w="146"/>
        <w:gridCol w:w="146"/>
        <w:gridCol w:w="146"/>
        <w:gridCol w:w="841"/>
        <w:gridCol w:w="166"/>
        <w:gridCol w:w="146"/>
        <w:gridCol w:w="146"/>
        <w:gridCol w:w="991"/>
        <w:gridCol w:w="166"/>
        <w:gridCol w:w="146"/>
        <w:gridCol w:w="146"/>
        <w:gridCol w:w="991"/>
        <w:gridCol w:w="166"/>
        <w:gridCol w:w="146"/>
        <w:gridCol w:w="146"/>
        <w:gridCol w:w="991"/>
        <w:gridCol w:w="21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3"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Share 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Other reserves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Profit of the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Total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 in accordance with the approved statement of financial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13,126,053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2,520,923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(9,057,145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6,590,722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change in accounting policies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equity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13,126,053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3,292,319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(9,057,145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6,590,722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share issue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last year's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year and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(1,306,611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13,126,053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(5,618,709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(1,306,611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5,430,233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share issue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Redemption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U.S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last year's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13,254,910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(840,891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(6,888,177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5,519,289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PARENT COMPANY STATEMENT OF CASH FLOWS</w:t>
      </w:r>
    </w:p>
    <w:p>
      <w:pPr>
        <w:pStyle w:val="TextBody"/>
        <w:bidi w:val="0"/>
        <w:jc w:val="left"/>
        <w:rPr/>
      </w:pPr>
      <w:r>
        <w:rPr/>
        <w:t> </w:t>
      </w:r>
    </w:p>
    <w:tbl>
      <w:tblPr>
        <w:tblW w:w="9848" w:type="dxa"/>
        <w:jc w:val="left"/>
        <w:tblInd w:w="0" w:type="dxa"/>
        <w:tblLayout w:type="fixed"/>
        <w:tblCellMar>
          <w:top w:w="28" w:type="dxa"/>
          <w:left w:w="28" w:type="dxa"/>
          <w:bottom w:w="28" w:type="dxa"/>
          <w:right w:w="28" w:type="dxa"/>
        </w:tblCellMar>
      </w:tblPr>
      <w:tblGrid>
        <w:gridCol w:w="6151"/>
        <w:gridCol w:w="146"/>
        <w:gridCol w:w="146"/>
        <w:gridCol w:w="316"/>
        <w:gridCol w:w="146"/>
        <w:gridCol w:w="146"/>
        <w:gridCol w:w="146"/>
        <w:gridCol w:w="991"/>
        <w:gridCol w:w="166"/>
        <w:gridCol w:w="146"/>
        <w:gridCol w:w="146"/>
        <w:gridCol w:w="991"/>
        <w:gridCol w:w="2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Profit/(loss)after financial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(1,421,161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1,173,955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Cost for share-based remuneration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Change in Other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(104,445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Impairment of shares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1,574,500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(1,073,539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(694,464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457,698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387,275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used in operating activities before 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(251,049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(used in)/from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(1,373,792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U.S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Nordic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1,384,392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Parent Company accounting policies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principal accounting policies used in the preparation of this annual report are set out below. These policies have been consistently applied unless otherwise stated. All amounts are in thousands of SEK unless otherwise stated. Certain monetary amounts included in this Annual Report for the Parent Company have been subject to rounding adjustments. Accordingly, figures shown as totals in certain tables may not be the arithmetic aggregation of the figures that precede them.</w:t>
      </w:r>
    </w:p>
    <w:p>
      <w:pPr>
        <w:pStyle w:val="TextBody"/>
        <w:bidi w:val="0"/>
        <w:jc w:val="left"/>
        <w:rPr>
          <w:rFonts w:ascii="Times New Roman" w:hAnsi="Times New Roman"/>
          <w:b/>
          <w:i/>
          <w:color w:val="000000"/>
          <w:sz w:val="20"/>
        </w:rPr>
      </w:pPr>
      <w:r>
        <w:rPr>
          <w:rFonts w:ascii="Times New Roman" w:hAnsi="Times New Roman"/>
          <w:b/>
          <w:i/>
          <w:color w:val="000000"/>
          <w:sz w:val="20"/>
        </w:rPr>
        <w:t>Basis for preparation</w:t>
      </w:r>
    </w:p>
    <w:p>
      <w:pPr>
        <w:pStyle w:val="TextBody"/>
        <w:bidi w:val="0"/>
        <w:jc w:val="both"/>
        <w:rPr>
          <w:rFonts w:ascii="Times New Roman" w:hAnsi="Times New Roman"/>
          <w:color w:val="000000"/>
          <w:sz w:val="20"/>
        </w:rPr>
      </w:pPr>
      <w:r>
        <w:rPr>
          <w:rFonts w:ascii="Times New Roman" w:hAnsi="Times New Roman"/>
          <w:color w:val="000000"/>
          <w:sz w:val="20"/>
        </w:rPr>
        <w:t>The Parent Company’s accounting and valuation policies comply with the Swedish Annual Accounts Act and Swedish Financial Reporting Board recommendation RFR 2 Accounting for Legal Entities. The application of RFR 2 Notes requires that the Parent Company as legal entity shall apply all IFRS adopted by the EU and statements to the extent that this is possible within the framework of the Annual Accounts Act and the Pension Obligations Vesting Act and with consideration to the relationship between accounting and taxation.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Parent Company applies other accounting policies than the Group in the cases stated below:</w:t>
      </w:r>
    </w:p>
    <w:p>
      <w:pPr>
        <w:pStyle w:val="TextBody"/>
        <w:bidi w:val="0"/>
        <w:jc w:val="both"/>
        <w:rPr>
          <w:rFonts w:ascii="Times New Roman" w:hAnsi="Times New Roman"/>
          <w:b/>
          <w:i/>
          <w:color w:val="000000"/>
          <w:sz w:val="20"/>
        </w:rPr>
      </w:pPr>
      <w:r>
        <w:rPr>
          <w:rFonts w:ascii="Times New Roman" w:hAnsi="Times New Roman"/>
          <w:b/>
          <w:i/>
          <w:color w:val="000000"/>
          <w:sz w:val="20"/>
        </w:rPr>
        <w:t>Presentation formats</w:t>
      </w:r>
    </w:p>
    <w:p>
      <w:pPr>
        <w:pStyle w:val="TextBody"/>
        <w:bidi w:val="0"/>
        <w:jc w:val="both"/>
        <w:rPr>
          <w:rFonts w:ascii="Times New Roman" w:hAnsi="Times New Roman"/>
          <w:color w:val="000000"/>
          <w:sz w:val="20"/>
        </w:rPr>
      </w:pPr>
      <w:r>
        <w:rPr>
          <w:rFonts w:ascii="Times New Roman" w:hAnsi="Times New Roman"/>
          <w:color w:val="000000"/>
          <w:sz w:val="20"/>
        </w:rPr>
        <w:t>The income statement and balance sheet are presented in accordance with the presentation format prescribed in the Swedish Annual Accounts Act. The presentation format for the statement of changes in equity is also consistent with the Group’s format but shall also include the columns stated in the Swedish Annual Accounts Act. Moreover, there is a difference in terms, compared with the consolidated accounts, mainly regarding financial income and expenses, and equity.</w:t>
      </w:r>
    </w:p>
    <w:p>
      <w:pPr>
        <w:pStyle w:val="TextBody"/>
        <w:bidi w:val="0"/>
        <w:jc w:val="left"/>
        <w:rPr>
          <w:rFonts w:ascii="Times New Roman" w:hAnsi="Times New Roman"/>
          <w:b/>
          <w:i/>
          <w:color w:val="000000"/>
          <w:sz w:val="20"/>
        </w:rPr>
      </w:pPr>
      <w:r>
        <w:rPr>
          <w:rFonts w:ascii="Times New Roman" w:hAnsi="Times New Roman"/>
          <w:b/>
          <w:i/>
          <w:color w:val="000000"/>
          <w:sz w:val="20"/>
        </w:rPr>
        <w:t>Participations in subsidiaries</w:t>
      </w:r>
    </w:p>
    <w:p>
      <w:pPr>
        <w:pStyle w:val="TextBody"/>
        <w:bidi w:val="0"/>
        <w:jc w:val="both"/>
        <w:rPr>
          <w:rFonts w:ascii="Times New Roman" w:hAnsi="Times New Roman"/>
          <w:color w:val="000000"/>
          <w:sz w:val="20"/>
        </w:rPr>
      </w:pPr>
      <w:r>
        <w:rPr>
          <w:rFonts w:ascii="Times New Roman" w:hAnsi="Times New Roman"/>
          <w:color w:val="000000"/>
          <w:sz w:val="20"/>
        </w:rPr>
        <w:t>Participations in subsidiaries are recognized using the cost method, which means that the investments are recognized in the balance sheet at cost less any impairment. The cost includes acquisition-related costs and any contingent consideration. The recoverable amount is calculated if there is an indication of impairment of participations in subsidiaries. If this value is lower than the carrying amount, an impairment loss is recognized. Impairment is recognized under Profit from participations in Group companies.</w:t>
      </w:r>
    </w:p>
    <w:p>
      <w:pPr>
        <w:pStyle w:val="TextBody"/>
        <w:bidi w:val="0"/>
        <w:jc w:val="both"/>
        <w:rPr>
          <w:rFonts w:ascii="Times New Roman" w:hAnsi="Times New Roman"/>
          <w:b/>
          <w:i/>
          <w:color w:val="000000"/>
          <w:sz w:val="20"/>
        </w:rPr>
      </w:pPr>
      <w:r>
        <w:rPr>
          <w:rFonts w:ascii="Times New Roman" w:hAnsi="Times New Roman"/>
          <w:b/>
          <w:i/>
          <w:color w:val="000000"/>
          <w:sz w:val="20"/>
        </w:rPr>
        <w:t>Shareholder’s contributions</w:t>
      </w:r>
    </w:p>
    <w:p>
      <w:pPr>
        <w:pStyle w:val="TextBody"/>
        <w:bidi w:val="0"/>
        <w:jc w:val="both"/>
        <w:rPr>
          <w:rFonts w:ascii="Times New Roman" w:hAnsi="Times New Roman"/>
          <w:color w:val="000000"/>
          <w:sz w:val="20"/>
        </w:rPr>
      </w:pPr>
      <w:r>
        <w:rPr>
          <w:rFonts w:ascii="Times New Roman" w:hAnsi="Times New Roman"/>
          <w:color w:val="000000"/>
          <w:sz w:val="20"/>
        </w:rPr>
        <w:t>Shareholders’ contributions paid are recognized in the Parent Company as an increase in the carrying amount of the holding and in the receiving company as an increase in equity.</w:t>
      </w:r>
    </w:p>
    <w:p>
      <w:pPr>
        <w:pStyle w:val="TextBody"/>
        <w:bidi w:val="0"/>
        <w:jc w:val="both"/>
        <w:rPr>
          <w:rFonts w:ascii="Times New Roman" w:hAnsi="Times New Roman"/>
          <w:b/>
          <w:i/>
          <w:color w:val="000000"/>
          <w:sz w:val="20"/>
        </w:rPr>
      </w:pPr>
      <w:r>
        <w:rPr>
          <w:rFonts w:ascii="Times New Roman" w:hAnsi="Times New Roman"/>
          <w:b/>
          <w:i/>
          <w:color w:val="000000"/>
          <w:sz w:val="20"/>
        </w:rPr>
        <w:t>Group contributions</w:t>
      </w:r>
    </w:p>
    <w:p>
      <w:pPr>
        <w:pStyle w:val="TextBody"/>
        <w:bidi w:val="0"/>
        <w:jc w:val="both"/>
        <w:rPr>
          <w:rFonts w:ascii="Times New Roman" w:hAnsi="Times New Roman"/>
          <w:color w:val="000000"/>
          <w:sz w:val="20"/>
        </w:rPr>
      </w:pPr>
      <w:r>
        <w:rPr>
          <w:rFonts w:ascii="Times New Roman" w:hAnsi="Times New Roman"/>
          <w:color w:val="000000"/>
          <w:sz w:val="20"/>
        </w:rPr>
        <w:t>Group contributions are recognized in accordance with the alternate rules in RFR 2, which mean that Group contributions made and received are recognized as appropriations in profit or loss.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 in accounting policies</w:t>
      </w:r>
    </w:p>
    <w:p>
      <w:pPr>
        <w:pStyle w:val="TextBody"/>
        <w:bidi w:val="0"/>
        <w:jc w:val="left"/>
        <w:rPr>
          <w:rFonts w:ascii="Times New Roman" w:hAnsi="Times New Roman"/>
          <w:color w:val="000000"/>
          <w:sz w:val="20"/>
        </w:rPr>
      </w:pPr>
      <w:r>
        <w:rPr>
          <w:rFonts w:ascii="Times New Roman" w:hAnsi="Times New Roman"/>
          <w:color w:val="000000"/>
          <w:sz w:val="20"/>
        </w:rPr>
        <w:t>From the financial year 2025, the Company has changed its accounting policy regarding the application of the exemption in RFR 2 relating to IFRS 9, paragraph 5.7.7. Previously, the Company applied the exemption and therefore did not recognize changes in fair value attributable to changes in credit risk in other comprehensive income.</w:t>
      </w:r>
    </w:p>
    <w:p>
      <w:pPr>
        <w:pStyle w:val="TextBody"/>
        <w:bidi w:val="0"/>
        <w:jc w:val="left"/>
        <w:rPr>
          <w:rFonts w:ascii="Times New Roman" w:hAnsi="Times New Roman"/>
          <w:color w:val="000000"/>
          <w:sz w:val="20"/>
        </w:rPr>
      </w:pPr>
      <w:r>
        <w:rPr>
          <w:rFonts w:ascii="Times New Roman" w:hAnsi="Times New Roman"/>
          <w:color w:val="000000"/>
          <w:sz w:val="20"/>
        </w:rPr>
        <w:t>Following the Swedish Financial Reporting Board’s (Rådet för hållbarhets- och finansiell rapportering) revised assessment, the exemption in RFR 2 relating to IFRS 9, paragraph 5.7.7 has been removed. Consequently, changes in fair value attributable to changes in credit risk are now recognized in other comprehensive income.</w:t>
      </w:r>
    </w:p>
    <w:p>
      <w:pPr>
        <w:pStyle w:val="TextBody"/>
        <w:bidi w:val="0"/>
        <w:jc w:val="left"/>
        <w:rPr>
          <w:rFonts w:ascii="Times New Roman" w:hAnsi="Times New Roman"/>
          <w:color w:val="000000"/>
          <w:sz w:val="20"/>
        </w:rPr>
      </w:pPr>
      <w:r>
        <w:rPr>
          <w:rFonts w:ascii="Times New Roman" w:hAnsi="Times New Roman"/>
          <w:color w:val="000000"/>
          <w:sz w:val="20"/>
        </w:rPr>
        <w:t>The change in accounting policy has been applied retrospectively, which means that comparative figures have been restated and the effect of the restatement has been recognized in the parent company’s statement of changes in equity.</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sales by geographic market/country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Parent Company receives revenue from the transfer of services at a point in time in the following geographic regions:</w:t>
      </w:r>
    </w:p>
    <w:p>
      <w:pPr>
        <w:pStyle w:val="TextBody"/>
        <w:bidi w:val="0"/>
        <w:jc w:val="left"/>
        <w:rPr/>
      </w:pPr>
      <w:r>
        <w:rPr/>
        <w:t> </w:t>
      </w:r>
    </w:p>
    <w:tbl>
      <w:tblPr>
        <w:tblW w:w="6459" w:type="dxa"/>
        <w:jc w:val="left"/>
        <w:tblInd w:w="0" w:type="dxa"/>
        <w:tblLayout w:type="fixed"/>
        <w:tblCellMar>
          <w:top w:w="28" w:type="dxa"/>
          <w:left w:w="28" w:type="dxa"/>
          <w:bottom w:w="28" w:type="dxa"/>
          <w:right w:w="28" w:type="dxa"/>
        </w:tblCellMar>
      </w:tblPr>
      <w:tblGrid>
        <w:gridCol w:w="4186"/>
        <w:gridCol w:w="146"/>
        <w:gridCol w:w="146"/>
        <w:gridCol w:w="676"/>
        <w:gridCol w:w="146"/>
        <w:gridCol w:w="146"/>
        <w:gridCol w:w="146"/>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 per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Intra-Group purchases and sales</w:t>
      </w:r>
    </w:p>
    <w:p>
      <w:pPr>
        <w:pStyle w:val="TextBody"/>
        <w:bidi w:val="0"/>
        <w:jc w:val="left"/>
        <w:rPr/>
      </w:pPr>
      <w:r>
        <w:rPr/>
        <w:t> </w:t>
      </w:r>
    </w:p>
    <w:tbl>
      <w:tblPr>
        <w:tblW w:w="8119" w:type="dxa"/>
        <w:jc w:val="left"/>
        <w:tblInd w:w="0" w:type="dxa"/>
        <w:tblLayout w:type="fixed"/>
        <w:tblCellMar>
          <w:top w:w="28" w:type="dxa"/>
          <w:left w:w="28" w:type="dxa"/>
          <w:bottom w:w="28" w:type="dxa"/>
          <w:right w:w="28" w:type="dxa"/>
        </w:tblCellMar>
      </w:tblPr>
      <w:tblGrid>
        <w:gridCol w:w="6106"/>
        <w:gridCol w:w="146"/>
        <w:gridCol w:w="146"/>
        <w:gridCol w:w="421"/>
        <w:gridCol w:w="271"/>
        <w:gridCol w:w="146"/>
        <w:gridCol w:w="146"/>
        <w:gridCol w:w="421"/>
        <w:gridCol w:w="316"/>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purchases during the year from other Group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sales during the year to other Group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Renumeration to the auditors</w:t>
      </w:r>
    </w:p>
    <w:p>
      <w:pPr>
        <w:pStyle w:val="TextBody"/>
        <w:bidi w:val="0"/>
        <w:jc w:val="left"/>
        <w:rPr/>
      </w:pPr>
      <w:r>
        <w:rPr/>
        <w:t> </w:t>
      </w:r>
    </w:p>
    <w:tbl>
      <w:tblPr>
        <w:tblW w:w="6354" w:type="dxa"/>
        <w:jc w:val="left"/>
        <w:tblInd w:w="0" w:type="dxa"/>
        <w:tblLayout w:type="fixed"/>
        <w:tblCellMar>
          <w:top w:w="28" w:type="dxa"/>
          <w:left w:w="28" w:type="dxa"/>
          <w:bottom w:w="28" w:type="dxa"/>
          <w:right w:w="28" w:type="dxa"/>
        </w:tblCellMar>
      </w:tblPr>
      <w:tblGrid>
        <w:gridCol w:w="4186"/>
        <w:gridCol w:w="146"/>
        <w:gridCol w:w="146"/>
        <w:gridCol w:w="571"/>
        <w:gridCol w:w="146"/>
        <w:gridCol w:w="146"/>
        <w:gridCol w:w="146"/>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Audit services refer to the examination of the annual accounts and accounting records, as well as the administration of the Board of Directors and the CEO, other tasks incumbent on the Company’s auditor as well as advice and other assistance occasioned by observations made in the course of such examination or the performance of such other tasks.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audit fees is attributable to the group audit costs, are now being charged to the subsidiary Oatly AB starting from the financial year 2025.</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income and expenses</w:t>
      </w:r>
    </w:p>
    <w:p>
      <w:pPr>
        <w:pStyle w:val="TextBody"/>
        <w:bidi w:val="0"/>
        <w:jc w:val="left"/>
        <w:rPr/>
      </w:pPr>
      <w:r>
        <w:rPr/>
        <w:t> </w:t>
      </w:r>
    </w:p>
    <w:tbl>
      <w:tblPr>
        <w:tblW w:w="7464" w:type="dxa"/>
        <w:jc w:val="left"/>
        <w:tblInd w:w="0" w:type="dxa"/>
        <w:tblLayout w:type="fixed"/>
        <w:tblCellMar>
          <w:top w:w="28" w:type="dxa"/>
          <w:left w:w="28" w:type="dxa"/>
          <w:bottom w:w="28" w:type="dxa"/>
          <w:right w:w="28" w:type="dxa"/>
        </w:tblCellMar>
      </w:tblPr>
      <w:tblGrid>
        <w:gridCol w:w="4831"/>
        <w:gridCol w:w="146"/>
        <w:gridCol w:w="146"/>
        <w:gridCol w:w="931"/>
        <w:gridCol w:w="146"/>
        <w:gridCol w:w="146"/>
        <w:gridCol w:w="146"/>
        <w:gridCol w:w="781"/>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from Group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Fair value changes on Convertible Notes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interest income and similar profit/loss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1,073,539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694,464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to Group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expenses and similar profit/loss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387,275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(1) See Note 52 “</w:t>
      </w:r>
      <w:r>
        <w:rPr>
          <w:rFonts w:ascii="Times New Roman" w:hAnsi="Times New Roman"/>
          <w:i/>
          <w:color w:val="000000"/>
          <w:sz w:val="20"/>
        </w:rPr>
        <w:t>Interest-bearing loans and borrowings</w:t>
      </w:r>
      <w:r>
        <w:rPr>
          <w:rFonts w:ascii="Times New Roman" w:hAnsi="Times New Roman"/>
          <w:color w:val="000000"/>
          <w:sz w:val="20"/>
        </w:rPr>
        <w:t>” for more detailed information about reported revaluation effects.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financial expenses for the year ended December 31, 2025 mainly consist of 34,3 million SEK in transaction costs relating to the parents financing arrangements.</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Income tax (expense)/benefit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2"/>
        <w:gridCol w:w="146"/>
        <w:gridCol w:w="146"/>
        <w:gridCol w:w="631"/>
        <w:gridCol w:w="166"/>
        <w:gridCol w:w="146"/>
        <w:gridCol w:w="146"/>
        <w:gridCol w:w="991"/>
        <w:gridCol w:w="211"/>
      </w:tblGrid>
      <w:tr>
        <w:trPr/>
        <w:tc>
          <w:tcPr>
            <w:tcW w:w="7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reported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tax expenses and loss in the accounts, multiplied by current corporate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(1,306,611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Sweden’s corporate income tax rate of 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costs related to impairment of shares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non-deductible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non-taxable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losses and other temporary differences for which deferred tax assets are not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deductible expenses not recognized in the income statement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negative 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reported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color w:val="000000"/>
          <w:sz w:val="20"/>
        </w:rPr>
      </w:pPr>
      <w:r>
        <w:rPr>
          <w:rFonts w:ascii="Times New Roman" w:hAnsi="Times New Roman"/>
          <w:b/>
          <w:color w:val="000000"/>
          <w:sz w:val="20"/>
        </w:rPr>
        <w:t>Deferred tax</w:t>
      </w:r>
    </w:p>
    <w:p>
      <w:pPr>
        <w:pStyle w:val="TextBody"/>
        <w:bidi w:val="0"/>
        <w:jc w:val="both"/>
        <w:rPr>
          <w:rFonts w:ascii="Times New Roman" w:hAnsi="Times New Roman"/>
          <w:color w:val="000000"/>
          <w:sz w:val="20"/>
        </w:rPr>
      </w:pPr>
      <w:r>
        <w:rPr>
          <w:rFonts w:ascii="Times New Roman" w:hAnsi="Times New Roman"/>
          <w:color w:val="000000"/>
          <w:sz w:val="20"/>
        </w:rPr>
        <w:t>Deferred tax assets are recognized on tax loss carry-forwards or other deficits to the extent that it is probable that these can be used against future taxable profits. No deferred tax assets have been recognized, since the Parent Company does not believe that the criteria in IAS 12 for recognizing deferred tax have been met.</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 benefits, etc.</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amounts recognized are based on costs recognized in the Parent Company income statement.</w:t>
      </w:r>
    </w:p>
    <w:tbl>
      <w:tblPr>
        <w:tblW w:w="10205" w:type="dxa"/>
        <w:jc w:val="left"/>
        <w:tblInd w:w="0" w:type="dxa"/>
        <w:tblLayout w:type="fixed"/>
        <w:tblCellMar>
          <w:top w:w="28" w:type="dxa"/>
          <w:left w:w="28" w:type="dxa"/>
          <w:bottom w:w="28" w:type="dxa"/>
          <w:right w:w="28" w:type="dxa"/>
        </w:tblCellMar>
      </w:tblPr>
      <w:tblGrid>
        <w:gridCol w:w="7329"/>
        <w:gridCol w:w="146"/>
        <w:gridCol w:w="178"/>
        <w:gridCol w:w="772"/>
        <w:gridCol w:w="166"/>
        <w:gridCol w:w="146"/>
        <w:gridCol w:w="207"/>
        <w:gridCol w:w="1047"/>
        <w:gridCol w:w="214"/>
      </w:tblGrid>
      <w:tr>
        <w:trPr/>
        <w:tc>
          <w:tcPr>
            <w:tcW w:w="7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Salaries, other benefits and social security contributions – employees and board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Salaries and other remuneration </w:t>
            </w:r>
            <w:r>
              <w:rPr>
                <w:rFonts w:ascii="Times New Roman" w:hAnsi="Times New Roman"/>
                <w:i/>
                <w:color w:val="000000"/>
                <w:sz w:val="20"/>
              </w:rPr>
              <w:t>(of which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 (0)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(13,574) (542)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costs—defined contribution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employee and board member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(22,789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86"/>
        <w:gridCol w:w="146"/>
        <w:gridCol w:w="156"/>
        <w:gridCol w:w="789"/>
        <w:gridCol w:w="166"/>
        <w:gridCol w:w="146"/>
        <w:gridCol w:w="199"/>
        <w:gridCol w:w="1004"/>
        <w:gridCol w:w="213"/>
      </w:tblGrid>
      <w:tr>
        <w:trPr/>
        <w:tc>
          <w:tcPr>
            <w:tcW w:w="7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Salaries, other benefits and social security contributions – Board members and other senior executives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Salaries and other remuneration </w:t>
            </w:r>
            <w:r>
              <w:rPr>
                <w:rFonts w:ascii="Times New Roman" w:hAnsi="Times New Roman"/>
                <w:i/>
                <w:color w:val="000000"/>
                <w:sz w:val="20"/>
              </w:rPr>
              <w:t>(of which bonus)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 (0)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 (542)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payments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costs—defined contribution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remuneration to Board Members and other senior executives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(23,952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 Salaries and other remuneration to Board members for the financial year 2025 concerns actual paid remuneration. The Parent Company's total salaries and other remuneration amounts to a lower amount due to reversed costs from previous periods.</w:t>
      </w:r>
    </w:p>
    <w:p>
      <w:pPr>
        <w:pStyle w:val="TextBody"/>
        <w:bidi w:val="0"/>
        <w:spacing w:before="40" w:after="283"/>
        <w:jc w:val="both"/>
        <w:rPr>
          <w:rFonts w:ascii="Times New Roman" w:hAnsi="Times New Roman"/>
          <w:sz w:val="20"/>
        </w:rPr>
      </w:pPr>
      <w:r>
        <w:rPr>
          <w:rFonts w:ascii="Times New Roman" w:hAnsi="Times New Roman"/>
          <w:color w:val="000000"/>
          <w:sz w:val="20"/>
        </w:rPr>
        <w:t>(2) Refer to Group Note 9 “</w:t>
      </w:r>
      <w:r>
        <w:rPr>
          <w:rFonts w:ascii="Times New Roman" w:hAnsi="Times New Roman"/>
          <w:i/>
          <w:color w:val="000000"/>
          <w:sz w:val="20"/>
        </w:rPr>
        <w:t>Share-based compensation</w:t>
      </w:r>
      <w:r>
        <w:rPr>
          <w:rFonts w:ascii="Times New Roman" w:hAnsi="Times New Roman"/>
          <w:color w:val="000000"/>
          <w:sz w:val="20"/>
        </w:rPr>
        <w:t>” for further details.</w:t>
      </w:r>
    </w:p>
    <w:p>
      <w:pPr>
        <w:pStyle w:val="TextBody"/>
        <w:bidi w:val="0"/>
        <w:spacing w:before="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6"/>
        <w:gridCol w:w="253"/>
        <w:gridCol w:w="1102"/>
        <w:gridCol w:w="166"/>
        <w:gridCol w:w="146"/>
        <w:gridCol w:w="353"/>
        <w:gridCol w:w="838"/>
        <w:gridCol w:w="146"/>
        <w:gridCol w:w="146"/>
        <w:gridCol w:w="345"/>
        <w:gridCol w:w="818"/>
        <w:gridCol w:w="146"/>
        <w:gridCol w:w="146"/>
        <w:gridCol w:w="212"/>
        <w:gridCol w:w="503"/>
        <w:gridCol w:w="146"/>
        <w:gridCol w:w="146"/>
        <w:gridCol w:w="248"/>
        <w:gridCol w:w="1081"/>
        <w:gridCol w:w="166"/>
        <w:gridCol w:w="232"/>
        <w:gridCol w:w="146"/>
        <w:gridCol w:w="736"/>
        <w:gridCol w:w="218"/>
      </w:tblGrid>
      <w:tr>
        <w:trPr/>
        <w:tc>
          <w:tcPr>
            <w:tcW w:w="17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086"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Salaries, other benefits and social security expenses - Board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salary/remuneration to the Board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Variable remuneration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remuneration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Share-based compensation expense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Chairperson of the Board Eric Melloul</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Benjamin Black</w:t>
            </w:r>
            <w:r>
              <w:rPr>
                <w:rFonts w:ascii="Times New Roman" w:hAnsi="Times New Roman"/>
                <w:color w:val="000000"/>
                <w:sz w:val="13"/>
              </w:rPr>
              <w:t>(4)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Martin Brok</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Gregory Christenson</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Ann Chung</w:t>
            </w:r>
            <w:r>
              <w:rPr>
                <w:rFonts w:ascii="Times New Roman" w:hAnsi="Times New Roman"/>
                <w:color w:val="000000"/>
                <w:sz w:val="13"/>
              </w:rPr>
              <w:t>(5)</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Bernard Hours</w:t>
            </w:r>
            <w:r>
              <w:rPr>
                <w:rFonts w:ascii="Times New Roman" w:hAnsi="Times New Roman"/>
                <w:color w:val="000000"/>
                <w:sz w:val="13"/>
              </w:rPr>
              <w:t>(6)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Hannah Jones</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Nan Li</w:t>
            </w:r>
            <w:r>
              <w:rPr>
                <w:rFonts w:ascii="Times New Roman" w:hAnsi="Times New Roman"/>
                <w:color w:val="000000"/>
                <w:sz w:val="13"/>
              </w:rPr>
              <w:t>(4)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Wenjie Ma</w:t>
            </w:r>
            <w:r>
              <w:rPr>
                <w:rFonts w:ascii="Times New Roman" w:hAnsi="Times New Roman"/>
                <w:color w:val="000000"/>
                <w:sz w:val="13"/>
              </w:rPr>
              <w:t>(4)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Frances Rathke</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Lai Shu Tuen-Muk</w:t>
            </w:r>
            <w:r>
              <w:rPr>
                <w:rFonts w:ascii="Times New Roman" w:hAnsi="Times New Roman"/>
                <w:color w:val="000000"/>
                <w:sz w:val="13"/>
              </w:rPr>
              <w:t>(6)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Board member Xin Wang</w:t>
            </w:r>
            <w:r>
              <w:rPr>
                <w:rFonts w:ascii="Times New Roman" w:hAnsi="Times New Roman"/>
                <w:color w:val="000000"/>
                <w:sz w:val="13"/>
              </w:rPr>
              <w:t>(6)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Yawen Wu</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Employee representatives</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Lillis Härd</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Rholane Shiburi</w:t>
            </w:r>
            <w:r>
              <w:rPr>
                <w:rFonts w:ascii="Times New Roman" w:hAnsi="Times New Roman"/>
                <w:color w:val="000000"/>
                <w:sz w:val="13"/>
              </w:rPr>
              <w:t>(7)</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remuneration to board members</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(10,776</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Current CEO employed by another company within the Group and receives salary from this company.</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the expense recognized, in accordance with IFRS 2, in the consolidated statement of operations, based on the grant date fair value, rather than the amounts paid to or realized by the named individual.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RSUs granted in 2025 and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RSUs granted in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Black, Mr. Li and Mr. Ma joined the Board of Directors effective July 22,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Ms. Chung stepped down from the Board of Directors effective October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Hours, Mr Tuen-Muk and Mr. Wang stepped down from the Board of Directors effective July 22,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Mr. Shiburi joined the Board of Directors effective September 26,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8"/>
        <w:gridCol w:w="146"/>
        <w:gridCol w:w="212"/>
        <w:gridCol w:w="1074"/>
        <w:gridCol w:w="166"/>
        <w:gridCol w:w="146"/>
        <w:gridCol w:w="271"/>
        <w:gridCol w:w="895"/>
        <w:gridCol w:w="166"/>
        <w:gridCol w:w="146"/>
        <w:gridCol w:w="266"/>
        <w:gridCol w:w="879"/>
        <w:gridCol w:w="166"/>
        <w:gridCol w:w="146"/>
        <w:gridCol w:w="162"/>
        <w:gridCol w:w="539"/>
        <w:gridCol w:w="166"/>
        <w:gridCol w:w="146"/>
        <w:gridCol w:w="234"/>
        <w:gridCol w:w="1020"/>
        <w:gridCol w:w="166"/>
        <w:gridCol w:w="146"/>
        <w:gridCol w:w="146"/>
        <w:gridCol w:w="736"/>
        <w:gridCol w:w="217"/>
      </w:tblGrid>
      <w:tr>
        <w:trPr/>
        <w:tc>
          <w:tcPr>
            <w:tcW w:w="1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228"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Salaries, other benefits and social security contributions – Board members and other Senior Executives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salary/remuneration to the Board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Variable remuneration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remuneration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Share-based compensation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Martin Brok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Hannah Jones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Frances Rathke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Ann Chung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Chairperson of the Board Eric Melloul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Lai Shu Tuen-Muk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Yawen Wu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Bernard Hours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Xin Wang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Gregory Christenson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Steven Chu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 Toni Petersson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senior executives (1 person)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representatives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Lillis Härd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remuneration to board members, CEO and other senior executives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(21,899</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For disclosures concerning the notice period for senior executives, refer to Group Note 8 “</w:t>
      </w:r>
      <w:r>
        <w:rPr>
          <w:rFonts w:ascii="Times New Roman" w:hAnsi="Times New Roman"/>
          <w:i/>
          <w:color w:val="000000"/>
          <w:sz w:val="20"/>
        </w:rPr>
        <w:t>Employee and personnel costs</w:t>
      </w:r>
      <w:r>
        <w:rPr>
          <w:rFonts w:ascii="Times New Roman" w:hAnsi="Times New Roman"/>
          <w:color w:val="000000"/>
          <w:sz w:val="20"/>
        </w:rPr>
        <w:t>”.</w:t>
      </w:r>
    </w:p>
    <w:p>
      <w:pPr>
        <w:pStyle w:val="TextBody"/>
        <w:bidi w:val="0"/>
        <w:jc w:val="both"/>
        <w:rPr/>
      </w:pPr>
      <w:r>
        <w:rPr/>
        <w:t> </w:t>
      </w:r>
    </w:p>
    <w:tbl>
      <w:tblPr>
        <w:tblW w:w="9690" w:type="dxa"/>
        <w:jc w:val="left"/>
        <w:tblInd w:w="0" w:type="dxa"/>
        <w:tblLayout w:type="fixed"/>
        <w:tblCellMar>
          <w:top w:w="28" w:type="dxa"/>
          <w:left w:w="28" w:type="dxa"/>
          <w:bottom w:w="28" w:type="dxa"/>
          <w:right w:w="28" w:type="dxa"/>
        </w:tblCellMar>
      </w:tblPr>
      <w:tblGrid>
        <w:gridCol w:w="4666"/>
        <w:gridCol w:w="146"/>
        <w:gridCol w:w="147"/>
        <w:gridCol w:w="349"/>
        <w:gridCol w:w="146"/>
        <w:gridCol w:w="146"/>
        <w:gridCol w:w="146"/>
        <w:gridCol w:w="346"/>
        <w:gridCol w:w="146"/>
        <w:gridCol w:w="146"/>
        <w:gridCol w:w="196"/>
        <w:gridCol w:w="465"/>
        <w:gridCol w:w="146"/>
        <w:gridCol w:w="146"/>
        <w:gridCol w:w="202"/>
        <w:gridCol w:w="294"/>
        <w:gridCol w:w="146"/>
        <w:gridCol w:w="146"/>
        <w:gridCol w:w="172"/>
        <w:gridCol w:w="249"/>
        <w:gridCol w:w="146"/>
        <w:gridCol w:w="146"/>
        <w:gridCol w:w="196"/>
        <w:gridCol w:w="465"/>
        <w:gridCol w:w="1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number of employees by geographic division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931" w:type="dxa"/>
        <w:jc w:val="left"/>
        <w:tblInd w:w="0" w:type="dxa"/>
        <w:tblLayout w:type="fixed"/>
        <w:tblCellMar>
          <w:top w:w="28" w:type="dxa"/>
          <w:left w:w="28" w:type="dxa"/>
          <w:bottom w:w="28" w:type="dxa"/>
          <w:right w:w="28" w:type="dxa"/>
        </w:tblCellMar>
      </w:tblPr>
      <w:tblGrid>
        <w:gridCol w:w="2836"/>
        <w:gridCol w:w="146"/>
        <w:gridCol w:w="147"/>
        <w:gridCol w:w="349"/>
        <w:gridCol w:w="146"/>
        <w:gridCol w:w="146"/>
        <w:gridCol w:w="146"/>
        <w:gridCol w:w="346"/>
        <w:gridCol w:w="146"/>
        <w:gridCol w:w="146"/>
        <w:gridCol w:w="196"/>
        <w:gridCol w:w="465"/>
        <w:gridCol w:w="146"/>
        <w:gridCol w:w="146"/>
        <w:gridCol w:w="147"/>
        <w:gridCol w:w="349"/>
        <w:gridCol w:w="146"/>
        <w:gridCol w:w="146"/>
        <w:gridCol w:w="146"/>
        <w:gridCol w:w="346"/>
        <w:gridCol w:w="146"/>
        <w:gridCol w:w="146"/>
        <w:gridCol w:w="196"/>
        <w:gridCol w:w="465"/>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Gender distribution in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Women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and other Senior Executives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Share-based remuneration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LTI 2021</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The Extraordinary General Meeting held on May 6, 2021 adopted a long-term incentive program for the Company’s board members, management and employees, including qualified consultants who work full time for the Group and over a longer period, called LTI 2021. For more information on the terms of the program, see Group Note 9 “</w:t>
      </w:r>
      <w:r>
        <w:rPr>
          <w:rFonts w:ascii="Times New Roman" w:hAnsi="Times New Roman"/>
          <w:i/>
          <w:color w:val="000000"/>
          <w:sz w:val="20"/>
        </w:rPr>
        <w:t>Share-based compensation</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Since 2021, the Parent Company accounted for the estimated and reported value of equity-settled programs issued to employees in other companies in the Group as a capital injection to subsidiaries. The value of shares in subsidiaries increases with the corresponding amount recorded as an increase in equity of the Parent Company. Shareholder contributions regarding share-based payments amounted in total TSEK 847,150 at the end of the financial year 2025 (2024: 733,650, 2023: 600,381, 2022: 386,140, 2021: 131,110).</w:t>
      </w:r>
    </w:p>
    <w:p>
      <w:pPr>
        <w:pStyle w:val="TextBody"/>
        <w:bidi w:val="0"/>
        <w:jc w:val="both"/>
        <w:rPr>
          <w:rFonts w:ascii="Times New Roman" w:hAnsi="Times New Roman"/>
          <w:color w:val="000000"/>
          <w:sz w:val="20"/>
        </w:rPr>
      </w:pPr>
      <w:r>
        <w:rPr>
          <w:rFonts w:ascii="Times New Roman" w:hAnsi="Times New Roman"/>
          <w:color w:val="000000"/>
          <w:sz w:val="20"/>
        </w:rPr>
        <w:t>Share-based payment expenses accounted for in the Parent Company’s income statement amounted to TSEK (4,994) in 2025 and TSEK (9,538) in 2024.</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operating expenses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49" w:type="dxa"/>
        <w:jc w:val="left"/>
        <w:tblInd w:w="0" w:type="dxa"/>
        <w:tblLayout w:type="fixed"/>
        <w:tblCellMar>
          <w:top w:w="28" w:type="dxa"/>
          <w:left w:w="28" w:type="dxa"/>
          <w:bottom w:w="28" w:type="dxa"/>
          <w:right w:w="28" w:type="dxa"/>
        </w:tblCellMar>
      </w:tblPr>
      <w:tblGrid>
        <w:gridCol w:w="4186"/>
        <w:gridCol w:w="146"/>
        <w:gridCol w:w="146"/>
        <w:gridCol w:w="571"/>
        <w:gridCol w:w="146"/>
        <w:gridCol w:w="146"/>
        <w:gridCol w:w="146"/>
        <w:gridCol w:w="57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Appropriations </w:t>
      </w:r>
    </w:p>
    <w:p>
      <w:pPr>
        <w:pStyle w:val="TextBody"/>
        <w:bidi w:val="0"/>
        <w:jc w:val="both"/>
        <w:rPr/>
      </w:pPr>
      <w:r>
        <w:rPr/>
        <w:t> </w:t>
      </w:r>
    </w:p>
    <w:tbl>
      <w:tblPr>
        <w:tblW w:w="6744" w:type="dxa"/>
        <w:jc w:val="left"/>
        <w:tblInd w:w="0" w:type="dxa"/>
        <w:tblLayout w:type="fixed"/>
        <w:tblCellMar>
          <w:top w:w="28" w:type="dxa"/>
          <w:left w:w="28" w:type="dxa"/>
          <w:bottom w:w="28" w:type="dxa"/>
          <w:right w:w="28" w:type="dxa"/>
        </w:tblCellMar>
      </w:tblPr>
      <w:tblGrid>
        <w:gridCol w:w="4261"/>
        <w:gridCol w:w="146"/>
        <w:gridCol w:w="146"/>
        <w:gridCol w:w="781"/>
        <w:gridCol w:w="146"/>
        <w:gridCol w:w="146"/>
        <w:gridCol w:w="146"/>
        <w:gridCol w:w="78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 contribution to Oatly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 contribution to Havrekärnan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 contribution received from Oatly EMEA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114,550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Participation in Group companies</w:t>
      </w:r>
    </w:p>
    <w:p>
      <w:pPr>
        <w:pStyle w:val="TextBody"/>
        <w:bidi w:val="0"/>
        <w:jc w:val="left"/>
        <w:rPr/>
      </w:pPr>
      <w:r>
        <w:rPr/>
        <w:t> </w:t>
      </w:r>
    </w:p>
    <w:tbl>
      <w:tblPr>
        <w:tblW w:w="7049" w:type="dxa"/>
        <w:jc w:val="left"/>
        <w:tblInd w:w="0" w:type="dxa"/>
        <w:tblLayout w:type="fixed"/>
        <w:tblCellMar>
          <w:top w:w="28" w:type="dxa"/>
          <w:left w:w="28" w:type="dxa"/>
          <w:bottom w:w="28" w:type="dxa"/>
          <w:right w:w="28" w:type="dxa"/>
        </w:tblCellMar>
      </w:tblPr>
      <w:tblGrid>
        <w:gridCol w:w="4186"/>
        <w:gridCol w:w="146"/>
        <w:gridCol w:w="146"/>
        <w:gridCol w:w="931"/>
        <w:gridCol w:w="146"/>
        <w:gridCol w:w="146"/>
        <w:gridCol w:w="146"/>
        <w:gridCol w:w="991"/>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4,137,924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4,986,351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Intercompany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(1,574,500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9,783,370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4,137,924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br/>
        <w:t>In 2025, an intragroup restructuring was carried out whereby the ownership of the subsidiary Oatly AB was transferred from the former parent company, Cereal Base CEBA AB, to the parent company, Oatly Group AB (publ). Following the intragroup restructuring, Oatly AB is a wholly owned subsidiary of Oatly Group AB (publ).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2024, impairments of shares were recognized regarding the parent company's reported holdings in CEBA AB.</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For compilation of holdings regarding shares in subsidiary companies, please refer to Group Note 14 “</w:t>
      </w:r>
      <w:r>
        <w:rPr>
          <w:rFonts w:ascii="Times New Roman" w:hAnsi="Times New Roman"/>
          <w:i/>
          <w:color w:val="000000"/>
          <w:sz w:val="20"/>
        </w:rPr>
        <w:t>Investments in subsidiaries</w:t>
      </w:r>
      <w:r>
        <w:rPr>
          <w:rFonts w:ascii="Times New Roman" w:hAnsi="Times New Roman"/>
          <w:color w:val="000000"/>
          <w:sz w:val="20"/>
        </w:rPr>
        <w:t>”.</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Non-current receivables from Group companies</w:t>
      </w:r>
    </w:p>
    <w:p>
      <w:pPr>
        <w:pStyle w:val="TextBody"/>
        <w:bidi w:val="0"/>
        <w:jc w:val="left"/>
        <w:rPr/>
      </w:pPr>
      <w:r>
        <w:rPr/>
        <w:t> </w:t>
      </w:r>
    </w:p>
    <w:tbl>
      <w:tblPr>
        <w:tblW w:w="7049" w:type="dxa"/>
        <w:jc w:val="left"/>
        <w:tblInd w:w="0" w:type="dxa"/>
        <w:tblLayout w:type="fixed"/>
        <w:tblCellMar>
          <w:top w:w="28" w:type="dxa"/>
          <w:left w:w="28" w:type="dxa"/>
          <w:bottom w:w="28" w:type="dxa"/>
          <w:right w:w="28" w:type="dxa"/>
        </w:tblCellMar>
      </w:tblPr>
      <w:tblGrid>
        <w:gridCol w:w="4186"/>
        <w:gridCol w:w="146"/>
        <w:gridCol w:w="146"/>
        <w:gridCol w:w="991"/>
        <w:gridCol w:w="166"/>
        <w:gridCol w:w="146"/>
        <w:gridCol w:w="146"/>
        <w:gridCol w:w="93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Closing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This years change in receivables from group companies is mainly explained by the intragroup restructuring described in Note 43 “</w:t>
      </w:r>
      <w:r>
        <w:rPr>
          <w:rFonts w:ascii="Times New Roman" w:hAnsi="Times New Roman"/>
          <w:i/>
          <w:color w:val="000000"/>
          <w:sz w:val="20"/>
        </w:rPr>
        <w:t>Participations in group companies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Prepaid expenses and accrued income</w:t>
      </w:r>
    </w:p>
    <w:p>
      <w:pPr>
        <w:pStyle w:val="TextBody"/>
        <w:bidi w:val="0"/>
        <w:jc w:val="left"/>
        <w:rPr/>
      </w:pPr>
      <w:r>
        <w:rPr/>
        <w:t> </w:t>
      </w:r>
    </w:p>
    <w:tbl>
      <w:tblPr>
        <w:tblW w:w="6249" w:type="dxa"/>
        <w:jc w:val="left"/>
        <w:tblInd w:w="0" w:type="dxa"/>
        <w:tblLayout w:type="fixed"/>
        <w:tblCellMar>
          <w:top w:w="28" w:type="dxa"/>
          <w:left w:w="28" w:type="dxa"/>
          <w:bottom w:w="28" w:type="dxa"/>
          <w:right w:w="28" w:type="dxa"/>
        </w:tblCellMar>
      </w:tblPr>
      <w:tblGrid>
        <w:gridCol w:w="4186"/>
        <w:gridCol w:w="146"/>
        <w:gridCol w:w="146"/>
        <w:gridCol w:w="571"/>
        <w:gridCol w:w="146"/>
        <w:gridCol w:w="146"/>
        <w:gridCol w:w="146"/>
        <w:gridCol w:w="57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and bank balances</w:t>
      </w:r>
    </w:p>
    <w:p>
      <w:pPr>
        <w:pStyle w:val="TextBody"/>
        <w:bidi w:val="0"/>
        <w:jc w:val="left"/>
        <w:rPr/>
      </w:pPr>
      <w:r>
        <w:rPr/>
        <w:t> </w:t>
      </w:r>
    </w:p>
    <w:tbl>
      <w:tblPr>
        <w:tblW w:w="6459" w:type="dxa"/>
        <w:jc w:val="left"/>
        <w:tblInd w:w="0" w:type="dxa"/>
        <w:tblLayout w:type="fixed"/>
        <w:tblCellMar>
          <w:top w:w="28" w:type="dxa"/>
          <w:left w:w="28" w:type="dxa"/>
          <w:bottom w:w="28" w:type="dxa"/>
          <w:right w:w="28" w:type="dxa"/>
        </w:tblCellMar>
      </w:tblPr>
      <w:tblGrid>
        <w:gridCol w:w="4186"/>
        <w:gridCol w:w="146"/>
        <w:gridCol w:w="146"/>
        <w:gridCol w:w="676"/>
        <w:gridCol w:w="146"/>
        <w:gridCol w:w="146"/>
        <w:gridCol w:w="146"/>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liabilities attributable to financing activities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6"/>
        <w:gridCol w:w="146"/>
        <w:gridCol w:w="146"/>
        <w:gridCol w:w="933"/>
        <w:gridCol w:w="146"/>
        <w:gridCol w:w="146"/>
        <w:gridCol w:w="182"/>
        <w:gridCol w:w="1166"/>
        <w:gridCol w:w="214"/>
      </w:tblGrid>
      <w:tr>
        <w:trPr/>
        <w:tc>
          <w:tcPr>
            <w:tcW w:w="7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Nordic Bonds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balance,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3,228,827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Adjustments for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accrued interest)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339,877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Closing 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3,568,704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(231,482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Adjustments for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Separation of embedded derivative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U.S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accrued interest) recognized in the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(303,830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recognized in statement of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Closing 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1,677,034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3,058,899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current liabilities</w:t>
      </w:r>
    </w:p>
    <w:p>
      <w:pPr>
        <w:pStyle w:val="TextBody"/>
        <w:bidi w:val="0"/>
        <w:jc w:val="left"/>
        <w:rPr/>
      </w:pPr>
      <w:r>
        <w:rPr/>
        <w:t> </w:t>
      </w:r>
    </w:p>
    <w:tbl>
      <w:tblPr>
        <w:tblW w:w="6354" w:type="dxa"/>
        <w:jc w:val="left"/>
        <w:tblInd w:w="0" w:type="dxa"/>
        <w:tblLayout w:type="fixed"/>
        <w:tblCellMar>
          <w:top w:w="28" w:type="dxa"/>
          <w:left w:w="28" w:type="dxa"/>
          <w:bottom w:w="28" w:type="dxa"/>
          <w:right w:w="28" w:type="dxa"/>
        </w:tblCellMar>
      </w:tblPr>
      <w:tblGrid>
        <w:gridCol w:w="4186"/>
        <w:gridCol w:w="146"/>
        <w:gridCol w:w="146"/>
        <w:gridCol w:w="676"/>
        <w:gridCol w:w="146"/>
        <w:gridCol w:w="146"/>
        <w:gridCol w:w="146"/>
        <w:gridCol w:w="57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expenses, LTIP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 and deferred income</w:t>
      </w:r>
    </w:p>
    <w:p>
      <w:pPr>
        <w:pStyle w:val="TextBody"/>
        <w:bidi w:val="0"/>
        <w:jc w:val="left"/>
        <w:rPr/>
      </w:pPr>
      <w:r>
        <w:rPr/>
        <w:t> </w:t>
      </w:r>
    </w:p>
    <w:tbl>
      <w:tblPr>
        <w:tblW w:w="6459" w:type="dxa"/>
        <w:jc w:val="left"/>
        <w:tblInd w:w="0" w:type="dxa"/>
        <w:tblLayout w:type="fixed"/>
        <w:tblCellMar>
          <w:top w:w="28" w:type="dxa"/>
          <w:left w:w="28" w:type="dxa"/>
          <w:bottom w:w="28" w:type="dxa"/>
          <w:right w:w="28" w:type="dxa"/>
        </w:tblCellMar>
      </w:tblPr>
      <w:tblGrid>
        <w:gridCol w:w="4186"/>
        <w:gridCol w:w="146"/>
        <w:gridCol w:w="146"/>
        <w:gridCol w:w="676"/>
        <w:gridCol w:w="146"/>
        <w:gridCol w:w="146"/>
        <w:gridCol w:w="146"/>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40,626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Share capital</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 Company’s share capital as of December 31, 2025 was divided into 625,391,460 (2024: 598,976,420) ordinary shares with a par value of SEK 0.0015 (2024: SEK 0.0015) per share. All shares entitle to one vote each. See Group Note 25 “</w:t>
      </w:r>
      <w:r>
        <w:rPr>
          <w:rFonts w:ascii="Times New Roman" w:hAnsi="Times New Roman"/>
          <w:i/>
          <w:color w:val="000000"/>
          <w:sz w:val="20"/>
        </w:rPr>
        <w:t>Equity</w:t>
      </w:r>
      <w:r>
        <w:rPr>
          <w:rFonts w:ascii="Times New Roman" w:hAnsi="Times New Roman"/>
          <w:color w:val="000000"/>
          <w:sz w:val="20"/>
        </w:rPr>
        <w:t>” for information on the Parent Company’s share capital.</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instruments per category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6"/>
        <w:gridCol w:w="146"/>
        <w:gridCol w:w="283"/>
        <w:gridCol w:w="1315"/>
        <w:gridCol w:w="283"/>
        <w:gridCol w:w="283"/>
        <w:gridCol w:w="283"/>
        <w:gridCol w:w="673"/>
        <w:gridCol w:w="146"/>
        <w:gridCol w:w="146"/>
        <w:gridCol w:w="146"/>
        <w:gridCol w:w="931"/>
        <w:gridCol w:w="146"/>
        <w:gridCol w:w="146"/>
        <w:gridCol w:w="146"/>
        <w:gridCol w:w="931"/>
        <w:gridCol w:w="195"/>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changes recognized in the profit and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in the Parent Company's statement of financial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group companies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group companies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131,535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Non-current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40,178</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1,796,096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6,706,019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4"/>
        <w:gridCol w:w="146"/>
        <w:gridCol w:w="200"/>
        <w:gridCol w:w="1281"/>
        <w:gridCol w:w="200"/>
        <w:gridCol w:w="200"/>
        <w:gridCol w:w="200"/>
        <w:gridCol w:w="1281"/>
        <w:gridCol w:w="146"/>
        <w:gridCol w:w="146"/>
        <w:gridCol w:w="146"/>
        <w:gridCol w:w="931"/>
        <w:gridCol w:w="146"/>
        <w:gridCol w:w="146"/>
        <w:gridCol w:w="146"/>
        <w:gridCol w:w="931"/>
        <w:gridCol w:w="195"/>
      </w:tblGrid>
      <w:tr>
        <w:trPr/>
        <w:tc>
          <w:tcPr>
            <w:tcW w:w="3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changes recognized in the profit and loss - identified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in the Parent Company's statement of financial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group companies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1,798,014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(part of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3,058,899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Nordic Bonds (part of Non-Current and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prepaid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3,058,899</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3,568,704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3,032,629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1,849,425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Changes in fair value reported in the Parent Company's income statement for 2025 had a net positive effect of SEK 303,8 million.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corresponding net change for 2024 resulted in a negative effect of SEK 339.9 million. The effect is entirely related to the Convertible Notes. The changes in fair value are presented within the financial net in the Parent Company's income statement.</w:t>
      </w:r>
    </w:p>
    <w:p>
      <w:pPr>
        <w:pStyle w:val="TextBody"/>
        <w:bidi w:val="0"/>
        <w:spacing w:before="80" w:after="283"/>
        <w:jc w:val="both"/>
        <w:rPr>
          <w:rFonts w:ascii="Times New Roman" w:hAnsi="Times New Roman"/>
          <w:sz w:val="20"/>
        </w:rPr>
      </w:pPr>
      <w:r>
        <w:rPr>
          <w:rFonts w:ascii="Times New Roman" w:hAnsi="Times New Roman"/>
          <w:color w:val="000000"/>
          <w:sz w:val="20"/>
        </w:rPr>
        <w:t>Derivatives consist of interest rate cap and embedded derivatives related to the Company’s Nordic Bonds. See Note 26 “</w:t>
      </w:r>
      <w:r>
        <w:rPr>
          <w:rFonts w:ascii="Times New Roman" w:hAnsi="Times New Roman"/>
          <w:i/>
          <w:color w:val="000000"/>
          <w:sz w:val="20"/>
        </w:rPr>
        <w:t>Interest-bearing loans and borrowings</w:t>
      </w:r>
      <w:r>
        <w:rPr>
          <w:rFonts w:ascii="Times New Roman" w:hAnsi="Times New Roman"/>
          <w:color w:val="000000"/>
          <w:sz w:val="20"/>
        </w:rPr>
        <w:t>” for further details on the Nordic Bonds.</w:t>
      </w:r>
    </w:p>
    <w:p>
      <w:pPr>
        <w:pStyle w:val="TextBody"/>
        <w:bidi w:val="0"/>
        <w:jc w:val="both"/>
        <w:rPr>
          <w:rFonts w:ascii="Times New Roman" w:hAnsi="Times New Roman"/>
          <w:sz w:val="20"/>
        </w:rPr>
      </w:pPr>
      <w:r>
        <w:rPr>
          <w:rFonts w:ascii="Times New Roman" w:hAnsi="Times New Roman"/>
          <w:color w:val="000000"/>
          <w:sz w:val="20"/>
        </w:rPr>
        <w:t>The Convertible Notes that are reported at fair value are classified and included in level 3 of the fair value hierarchy. There have been no transfers between the levels during 2025 and 2024. See the Group's Note 19 “</w:t>
      </w:r>
      <w:r>
        <w:rPr>
          <w:rFonts w:ascii="Times New Roman" w:hAnsi="Times New Roman"/>
          <w:i/>
          <w:color w:val="000000"/>
          <w:sz w:val="20"/>
        </w:rPr>
        <w:t>Financial instruments per category</w:t>
      </w:r>
      <w:r>
        <w:rPr>
          <w:rFonts w:ascii="Times New Roman" w:hAnsi="Times New Roman"/>
          <w:color w:val="000000"/>
          <w:sz w:val="20"/>
        </w:rPr>
        <w:t>” for further description of levels in the fair value hierarchy and determined fair value for financial instruments that are reported at fair value, which includes the Parent Company's Convertible Notes. See Note 52 “</w:t>
      </w:r>
      <w:r>
        <w:rPr>
          <w:rFonts w:ascii="Times New Roman" w:hAnsi="Times New Roman"/>
          <w:i/>
          <w:color w:val="000000"/>
          <w:sz w:val="20"/>
        </w:rPr>
        <w:t>Interest bearing loans and borrowings</w:t>
      </w:r>
      <w:r>
        <w:rPr>
          <w:rFonts w:ascii="Times New Roman" w:hAnsi="Times New Roman"/>
          <w:color w:val="000000"/>
          <w:sz w:val="20"/>
        </w:rPr>
        <w:t>” for additional information regarding the reported value of the Parent Company's Convertible Notes and significant input data and assumptions that have been used in the valuation model for determining the fair value of the Convertible Notes as of December 31, 2025 and 2024.</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Interest-bearing loans and borrowings</w:t>
      </w:r>
    </w:p>
    <w:p>
      <w:pPr>
        <w:pStyle w:val="TextBody"/>
        <w:bidi w:val="0"/>
        <w:jc w:val="left"/>
        <w:rPr/>
      </w:pPr>
      <w:r>
        <w:rPr/>
        <w:t> </w:t>
      </w:r>
    </w:p>
    <w:tbl>
      <w:tblPr>
        <w:tblW w:w="7689" w:type="dxa"/>
        <w:jc w:val="left"/>
        <w:tblInd w:w="0" w:type="dxa"/>
        <w:tblLayout w:type="fixed"/>
        <w:tblCellMar>
          <w:top w:w="28" w:type="dxa"/>
          <w:left w:w="28" w:type="dxa"/>
          <w:bottom w:w="28" w:type="dxa"/>
          <w:right w:w="28" w:type="dxa"/>
        </w:tblCellMar>
      </w:tblPr>
      <w:tblGrid>
        <w:gridCol w:w="4906"/>
        <w:gridCol w:w="146"/>
        <w:gridCol w:w="146"/>
        <w:gridCol w:w="931"/>
        <w:gridCol w:w="146"/>
        <w:gridCol w:w="146"/>
        <w:gridCol w:w="146"/>
        <w:gridCol w:w="931"/>
        <w:gridCol w:w="1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Nordic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1,677,034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3,568,704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Nordic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3,098,160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3,568,704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4,775,194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3,568,704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Parent Company has convertible debentures that are classified in their entirety as liabilities. The instruments contain an embedded derivative in the form of a conversion option. As the entire instrument has been identified for recognition at fair value through the income statement at acquisition, the embedded option is not separately accounted for. Below is information about the reported value of the Parent Company's convertible debentures.</w:t>
      </w:r>
    </w:p>
    <w:p>
      <w:pPr>
        <w:pStyle w:val="TextBody"/>
        <w:bidi w:val="0"/>
        <w:jc w:val="both"/>
        <w:rPr/>
      </w:pPr>
      <w:r>
        <w:rPr/>
        <w:t> </w:t>
      </w:r>
    </w:p>
    <w:tbl>
      <w:tblPr>
        <w:tblW w:w="8458" w:type="dxa"/>
        <w:jc w:val="left"/>
        <w:tblInd w:w="0" w:type="dxa"/>
        <w:tblLayout w:type="fixed"/>
        <w:tblCellMar>
          <w:top w:w="28" w:type="dxa"/>
          <w:left w:w="28" w:type="dxa"/>
          <w:bottom w:w="28" w:type="dxa"/>
          <w:right w:w="28" w:type="dxa"/>
        </w:tblCellMar>
      </w:tblPr>
      <w:tblGrid>
        <w:gridCol w:w="6691"/>
        <w:gridCol w:w="146"/>
        <w:gridCol w:w="191"/>
        <w:gridCol w:w="1219"/>
        <w:gridCol w:w="21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3,228,827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profit and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3,568,704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U.S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profit and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recognized in consolidated statement of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3,058,899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86"/>
        <w:gridCol w:w="146"/>
        <w:gridCol w:w="169"/>
        <w:gridCol w:w="1154"/>
        <w:gridCol w:w="166"/>
        <w:gridCol w:w="146"/>
        <w:gridCol w:w="169"/>
        <w:gridCol w:w="1154"/>
        <w:gridCol w:w="215"/>
      </w:tblGrid>
      <w:tr>
        <w:trPr/>
        <w:tc>
          <w:tcPr>
            <w:tcW w:w="6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3,568,704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the Company is contractually obligated to pay to holders of the Convertible Notes at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6,015,864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Difference between carrying amount and the amount the Company is contractually obligated to pay to holders of Convertible Notes at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(1,448,245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(2,447,160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Fair value changes are attributable to market risk and own credit risk. Fair value changes attributable to market risk are reported in the income statement and effects attributable to own credit risk in other comprehensive income. Total net effect of changes in fair value for 2025 has totaled negative effect SEK 149.5 million (2024: SEK 339.9 million). This includes an effect of SEK 154.4 million that was recognized during 2025 arising from changes in credit risk. In 2024, no effect was recognized attributable to changes in credit risk.</w:t>
      </w:r>
    </w:p>
    <w:p>
      <w:pPr>
        <w:pStyle w:val="TextBody"/>
        <w:bidi w:val="0"/>
        <w:jc w:val="both"/>
        <w:rPr>
          <w:rFonts w:ascii="Times New Roman" w:hAnsi="Times New Roman"/>
          <w:sz w:val="20"/>
        </w:rPr>
      </w:pPr>
      <w:r>
        <w:rPr>
          <w:rFonts w:ascii="Times New Roman" w:hAnsi="Times New Roman"/>
          <w:color w:val="000000"/>
          <w:sz w:val="20"/>
        </w:rPr>
        <w:t>See the Group's Note 26 “</w:t>
      </w:r>
      <w:r>
        <w:rPr>
          <w:rFonts w:ascii="Times New Roman" w:hAnsi="Times New Roman"/>
          <w:i/>
          <w:color w:val="000000"/>
          <w:sz w:val="20"/>
        </w:rPr>
        <w:t>Interest-bearing loans and borrowings</w:t>
      </w:r>
      <w:r>
        <w:rPr>
          <w:rFonts w:ascii="Times New Roman" w:hAnsi="Times New Roman"/>
          <w:color w:val="000000"/>
          <w:sz w:val="20"/>
        </w:rPr>
        <w:t>” for information on the issued Convertible Notes and underlying valuation.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shows the impact of how the reported value of the Convertible Notes would change based on significant input data and the assumptions that have been used to determine the fair value of the Convertible Notes as of December 31, 2025 and for the comparative year December 31,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94"/>
        <w:gridCol w:w="146"/>
        <w:gridCol w:w="236"/>
        <w:gridCol w:w="1269"/>
        <w:gridCol w:w="146"/>
        <w:gridCol w:w="146"/>
        <w:gridCol w:w="276"/>
        <w:gridCol w:w="1765"/>
        <w:gridCol w:w="146"/>
        <w:gridCol w:w="146"/>
        <w:gridCol w:w="236"/>
        <w:gridCol w:w="1269"/>
        <w:gridCol w:w="146"/>
        <w:gridCol w:w="146"/>
        <w:gridCol w:w="276"/>
        <w:gridCol w:w="1765"/>
        <w:gridCol w:w="197"/>
      </w:tblGrid>
      <w:tr>
        <w:trPr/>
        <w:tc>
          <w:tcPr>
            <w:tcW w:w="1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(TUSD)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 (recalculated TSEK)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 (TUSD)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 (recalculated TSEK)</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decrease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3,342,673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increase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3,810,473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decrease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3,512,772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increase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3,620,550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decrease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3,562,266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increase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3,574,851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decrease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3,665,060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increase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3,476,051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Pledged assets and contingent liabilities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Pledged assets</w:t>
      </w:r>
    </w:p>
    <w:p>
      <w:pPr>
        <w:pStyle w:val="TextBody"/>
        <w:bidi w:val="0"/>
        <w:jc w:val="left"/>
        <w:rPr>
          <w:rFonts w:ascii="Times New Roman" w:hAnsi="Times New Roman"/>
          <w:color w:val="000000"/>
          <w:sz w:val="20"/>
        </w:rPr>
      </w:pPr>
      <w:r>
        <w:rPr>
          <w:rFonts w:ascii="Times New Roman" w:hAnsi="Times New Roman"/>
          <w:color w:val="000000"/>
          <w:sz w:val="20"/>
        </w:rPr>
        <w:t>The Parent Company has provided collateral in the form of shares in subsidiaries and certain structural loan receivables with Group companies in order to fulfill the requirements for collateral for liabilities to credit institutions in underlying Group companies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99" w:type="dxa"/>
        <w:jc w:val="left"/>
        <w:tblInd w:w="0" w:type="dxa"/>
        <w:tblLayout w:type="fixed"/>
        <w:tblCellMar>
          <w:top w:w="28" w:type="dxa"/>
          <w:left w:w="28" w:type="dxa"/>
          <w:bottom w:w="28" w:type="dxa"/>
          <w:right w:w="28" w:type="dxa"/>
        </w:tblCellMar>
      </w:tblPr>
      <w:tblGrid>
        <w:gridCol w:w="5806"/>
        <w:gridCol w:w="146"/>
        <w:gridCol w:w="146"/>
        <w:gridCol w:w="1036"/>
        <w:gridCol w:w="146"/>
        <w:gridCol w:w="146"/>
        <w:gridCol w:w="146"/>
        <w:gridCol w:w="1036"/>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Convertible Notes and Nordic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4,137,925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in the form of structural loan receivables from group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11,483,370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10,687,925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Contingent liabilities</w:t>
        <w:br/>
      </w:r>
      <w:r>
        <w:rPr>
          <w:rFonts w:ascii="Times New Roman" w:hAnsi="Times New Roman"/>
          <w:color w:val="000000"/>
          <w:sz w:val="20"/>
        </w:rPr>
        <w:t>The Parent Company reports contingent obligations in the form of surety bonds regarding issued bank guarantees for debts to credit institutions as well as leasing commitments that exist in underlying group entities.</w:t>
      </w:r>
    </w:p>
    <w:p>
      <w:pPr>
        <w:pStyle w:val="TextBody"/>
        <w:bidi w:val="0"/>
        <w:jc w:val="left"/>
        <w:rPr/>
      </w:pPr>
      <w:r>
        <w:rPr/>
        <w:t> </w:t>
      </w:r>
    </w:p>
    <w:tbl>
      <w:tblPr>
        <w:tblW w:w="6354" w:type="dxa"/>
        <w:jc w:val="left"/>
        <w:tblInd w:w="0" w:type="dxa"/>
        <w:tblLayout w:type="fixed"/>
        <w:tblCellMar>
          <w:top w:w="28" w:type="dxa"/>
          <w:left w:w="28" w:type="dxa"/>
          <w:bottom w:w="28" w:type="dxa"/>
          <w:right w:w="28" w:type="dxa"/>
        </w:tblCellMar>
      </w:tblPr>
      <w:tblGrid>
        <w:gridCol w:w="4186"/>
        <w:gridCol w:w="146"/>
        <w:gridCol w:w="146"/>
        <w:gridCol w:w="571"/>
        <w:gridCol w:w="146"/>
        <w:gridCol w:w="146"/>
        <w:gridCol w:w="146"/>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ending December 31 (in thousands of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Guarantees - 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Guarantees - leasing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Related party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Information on the parent company's remuneration to senior executives can be found in Note 40 “</w:t>
      </w:r>
      <w:r>
        <w:rPr>
          <w:rFonts w:ascii="Times New Roman" w:hAnsi="Times New Roman"/>
          <w:i/>
          <w:color w:val="000000"/>
          <w:sz w:val="20"/>
        </w:rPr>
        <w:t>Employee benefits, etc</w:t>
      </w:r>
      <w:r>
        <w:rPr>
          <w:rFonts w:ascii="Times New Roman" w:hAnsi="Times New Roman"/>
          <w:color w:val="000000"/>
          <w:sz w:val="20"/>
        </w:rPr>
        <w:t>”. For further details on related-party transactions, see the Group's Note 30 “</w:t>
      </w:r>
      <w:r>
        <w:rPr>
          <w:rFonts w:ascii="Times New Roman" w:hAnsi="Times New Roman"/>
          <w:i/>
          <w:color w:val="000000"/>
          <w:sz w:val="20"/>
        </w:rPr>
        <w:t>Related party disclosures</w:t>
      </w:r>
      <w:r>
        <w:rPr>
          <w:rFonts w:ascii="Times New Roman" w:hAnsi="Times New Roman"/>
          <w:color w:val="000000"/>
          <w:sz w:val="20"/>
        </w:rPr>
        <w:t>”</w:t>
      </w:r>
      <w:r>
        <w:rPr>
          <w:rFonts w:ascii="Times New Roman" w:hAnsi="Times New Roman"/>
          <w:i/>
          <w:color w:val="000000"/>
          <w:sz w:val="20"/>
        </w:rPr>
        <w:t>.</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Proposed appropriation of profits</w:t>
      </w:r>
    </w:p>
    <w:p>
      <w:pPr>
        <w:pStyle w:val="TextBody"/>
        <w:bidi w:val="0"/>
        <w:jc w:val="left"/>
        <w:rPr/>
      </w:pPr>
      <w:r>
        <w:rPr/>
        <w:t> </w:t>
      </w:r>
    </w:p>
    <w:tbl>
      <w:tblPr>
        <w:tblW w:w="8185" w:type="dxa"/>
        <w:jc w:val="left"/>
        <w:tblInd w:w="0" w:type="dxa"/>
        <w:tblLayout w:type="fixed"/>
        <w:tblCellMar>
          <w:top w:w="28" w:type="dxa"/>
          <w:left w:w="28" w:type="dxa"/>
          <w:bottom w:w="28" w:type="dxa"/>
          <w:right w:w="28" w:type="dxa"/>
        </w:tblCellMar>
      </w:tblPr>
      <w:tblGrid>
        <w:gridCol w:w="6286"/>
        <w:gridCol w:w="146"/>
        <w:gridCol w:w="146"/>
        <w:gridCol w:w="1396"/>
        <w:gridCol w:w="2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Board of Directors proposes that profits available for disposal (SEK)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premium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13,254,909,930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(840,890,998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(6,888,177,397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(7,488,762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5,518,352,773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 appropriated as follows to be carried 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5,518,352,773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Board of Directors and the CEO affirm that the consolidated accounts have been prepared in accordance with IFRS Accounting Standards, as adopted by the EU, and provide a true and fair view of the Group’s profit and financial position. The Annual Report has been prepared in accordance with generally accepted accounting policies and provides a true and fair view of the Parent Company’s profit and financial position.</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administration report for the Group and the Parent Company provides a fair review of the development of the Group’s and the Parent Company’s operations, profit and financial position and describes material risks and uncertainty factors faced by the Parent Company and the companies included in the Group.</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Consolidated Income Statement and Consolidated Balance Sheet and the Parent Company Income Statement and Parent Company Balance Sheet will be subject to adoption at the AGM on May 20, 2026.</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content of the consolidated accounts and the Annual Report was determined on April 22, 2026.</w:t>
      </w:r>
    </w:p>
    <w:p>
      <w:pPr>
        <w:pStyle w:val="TextBody"/>
        <w:bidi w:val="0"/>
        <w:spacing w:before="0" w:after="600"/>
        <w:jc w:val="both"/>
        <w:rPr>
          <w:rFonts w:ascii="Times New Roman" w:hAnsi="Times New Roman"/>
          <w:color w:val="000000"/>
          <w:sz w:val="20"/>
        </w:rPr>
      </w:pPr>
      <w:r>
        <w:rPr>
          <w:rFonts w:ascii="Times New Roman" w:hAnsi="Times New Roman"/>
          <w:color w:val="000000"/>
          <w:sz w:val="20"/>
        </w:rPr>
        <w:t>Malmö</w:t>
      </w:r>
    </w:p>
    <w:tbl>
      <w:tblPr>
        <w:tblW w:w="10205" w:type="dxa"/>
        <w:jc w:val="left"/>
        <w:tblInd w:w="0" w:type="dxa"/>
        <w:tblLayout w:type="fixed"/>
        <w:tblCellMar>
          <w:top w:w="28" w:type="dxa"/>
          <w:left w:w="28" w:type="dxa"/>
          <w:bottom w:w="28" w:type="dxa"/>
          <w:right w:w="28" w:type="dxa"/>
        </w:tblCellMar>
      </w:tblPr>
      <w:tblGrid>
        <w:gridCol w:w="5482"/>
        <w:gridCol w:w="109"/>
        <w:gridCol w:w="2191"/>
        <w:gridCol w:w="109"/>
        <w:gridCol w:w="2314"/>
      </w:tblGrid>
      <w:tr>
        <w:trPr/>
        <w:tc>
          <w:tcPr>
            <w:tcW w:w="5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Melloul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Black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Brok</w:t>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Chairperson of the Board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2026-04-22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2026-04-22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2026-04-22</w:t>
            </w:r>
          </w:p>
        </w:tc>
      </w:tr>
      <w:tr>
        <w:trPr/>
        <w:tc>
          <w:tcPr>
            <w:tcW w:w="5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Christenson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Lillis Härd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Hannah Jones</w:t>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Director, employee representative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54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2026-04-22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2026-04-22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2026-04-22</w:t>
            </w:r>
          </w:p>
        </w:tc>
      </w:tr>
      <w:tr>
        <w:trPr/>
        <w:tc>
          <w:tcPr>
            <w:tcW w:w="5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Wenjie Ma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Frances Rathke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Rholane Shiburi</w:t>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Director, employee representative </w:t>
            </w:r>
          </w:p>
        </w:tc>
      </w:tr>
      <w:tr>
        <w:trPr/>
        <w:tc>
          <w:tcPr>
            <w:tcW w:w="54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2026-04-22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2026-04-22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2026-04-22</w:t>
            </w:r>
          </w:p>
        </w:tc>
      </w:tr>
      <w:tr>
        <w:trPr/>
        <w:tc>
          <w:tcPr>
            <w:tcW w:w="5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__________________</w:t>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 Wang</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Yawen Wu</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Jean-Christophe Flatin</w:t>
            </w:r>
          </w:p>
        </w:tc>
      </w:tr>
      <w:tr>
        <w:trPr/>
        <w:tc>
          <w:tcPr>
            <w:tcW w:w="5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Chief Executive Officer </w:t>
            </w:r>
          </w:p>
        </w:tc>
      </w:tr>
      <w:tr>
        <w:trPr/>
        <w:tc>
          <w:tcPr>
            <w:tcW w:w="54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2026-04-22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2026-04-22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2026-04-22</w:t>
            </w:r>
          </w:p>
        </w:tc>
      </w:tr>
      <w:tr>
        <w:trPr/>
        <w:tc>
          <w:tcPr>
            <w:tcW w:w="5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Our audit report relating to the annual accounts and consolidated accounts was submitted on 2026-04-23</w:t>
            </w:r>
          </w:p>
          <w:p>
            <w:pPr>
              <w:pStyle w:val="TableContents"/>
              <w:bidi w:val="0"/>
              <w:jc w:val="left"/>
              <w:rPr>
                <w:rFonts w:ascii="Times New Roman" w:hAnsi="Times New Roman"/>
                <w:color w:val="000000"/>
                <w:sz w:val="20"/>
              </w:rPr>
            </w:pPr>
            <w:r>
              <w:rPr>
                <w:rFonts w:ascii="Times New Roman" w:hAnsi="Times New Roman"/>
                <w:color w:val="000000"/>
                <w:sz w:val="20"/>
              </w:rPr>
              <w:t>Ernst &amp; Young AB</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___________________________</w:t>
            </w:r>
          </w:p>
          <w:p>
            <w:pPr>
              <w:pStyle w:val="TableContents"/>
              <w:bidi w:val="0"/>
              <w:jc w:val="left"/>
              <w:rPr>
                <w:rFonts w:ascii="Times New Roman" w:hAnsi="Times New Roman"/>
                <w:color w:val="000000"/>
                <w:sz w:val="20"/>
              </w:rPr>
            </w:pPr>
            <w:r>
              <w:rPr>
                <w:rFonts w:ascii="Times New Roman" w:hAnsi="Times New Roman"/>
                <w:color w:val="000000"/>
                <w:sz w:val="20"/>
              </w:rPr>
              <w:t>Fredrik Norrman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Public Accountant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595959"/>
          <w:sz w:val="40"/>
        </w:rPr>
      </w:pPr>
      <w:r>
        <w:rPr>
          <w:rFonts w:ascii="Arial" w:hAnsi="Arial"/>
          <w:b/>
          <w:color w:val="595959"/>
          <w:sz w:val="40"/>
        </w:rPr>
        <w:t>Auditor’s report</w:t>
      </w:r>
    </w:p>
    <w:p>
      <w:pPr>
        <w:pStyle w:val="TextBody"/>
        <w:bidi w:val="0"/>
        <w:spacing w:before="0" w:after="80"/>
        <w:jc w:val="both"/>
        <w:rPr>
          <w:rFonts w:ascii="Times New Roman" w:hAnsi="Times New Roman"/>
          <w:sz w:val="20"/>
        </w:rPr>
      </w:pPr>
      <w:r>
        <w:rPr>
          <w:rFonts w:ascii="Arial" w:hAnsi="Arial"/>
          <w:color w:val="000000"/>
          <w:sz w:val="16"/>
        </w:rPr>
        <w:t>To the general meeting of the shareholders of Oatly Group AB, corporate identity number 559081-1989</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Arial" w:hAnsi="Arial"/>
          <w:color w:val="595959"/>
          <w:sz w:val="24"/>
        </w:rPr>
      </w:pPr>
      <w:r>
        <w:rPr>
          <w:rFonts w:ascii="Arial" w:hAnsi="Arial"/>
          <w:color w:val="595959"/>
          <w:sz w:val="24"/>
        </w:rPr>
        <w:t>Report on the annual accounts and consolidated accounts</w:t>
      </w:r>
    </w:p>
    <w:p>
      <w:pPr>
        <w:pStyle w:val="TextBody"/>
        <w:bidi w:val="0"/>
        <w:jc w:val="left"/>
        <w:rPr>
          <w:rFonts w:ascii="Arial" w:hAnsi="Arial"/>
          <w:color w:val="000000"/>
          <w:sz w:val="16"/>
        </w:rPr>
      </w:pPr>
      <w:r>
        <w:rPr>
          <w:rFonts w:ascii="Arial" w:hAnsi="Arial"/>
          <w:color w:val="000000"/>
          <w:sz w:val="16"/>
        </w:rPr>
      </w:r>
    </w:p>
    <w:p>
      <w:pPr>
        <w:pStyle w:val="TextBody"/>
        <w:bidi w:val="0"/>
        <w:spacing w:before="120" w:after="80"/>
        <w:jc w:val="left"/>
        <w:rPr>
          <w:rFonts w:ascii="Arial" w:hAnsi="Arial"/>
          <w:i/>
          <w:color w:val="595959"/>
          <w:sz w:val="16"/>
        </w:rPr>
      </w:pPr>
      <w:r>
        <w:rPr>
          <w:rFonts w:ascii="Arial" w:hAnsi="Arial"/>
          <w:i/>
          <w:color w:val="595959"/>
          <w:sz w:val="16"/>
        </w:rPr>
        <w:t>Opinions</w:t>
      </w:r>
    </w:p>
    <w:p>
      <w:pPr>
        <w:pStyle w:val="TextBody"/>
        <w:bidi w:val="0"/>
        <w:spacing w:before="0" w:after="80"/>
        <w:jc w:val="both"/>
        <w:rPr>
          <w:rFonts w:ascii="Times New Roman" w:hAnsi="Times New Roman"/>
          <w:sz w:val="20"/>
        </w:rPr>
      </w:pPr>
      <w:r>
        <w:rPr>
          <w:rFonts w:ascii="Arial" w:hAnsi="Arial"/>
          <w:color w:val="000000"/>
          <w:sz w:val="16"/>
        </w:rPr>
        <w:t>We have audited the annual accounts and consolidated accounts of Oatly Group AB (publ) for the year 2025.</w:t>
      </w:r>
      <w:r>
        <w:rPr>
          <w:rFonts w:ascii="Times New Roman" w:hAnsi="Times New Roman"/>
          <w:color w:val="000000"/>
          <w:sz w:val="20"/>
        </w:rPr>
        <w:t xml:space="preserve"> </w:t>
      </w:r>
    </w:p>
    <w:p>
      <w:pPr>
        <w:pStyle w:val="TextBody"/>
        <w:bidi w:val="0"/>
        <w:spacing w:before="0" w:after="80"/>
        <w:jc w:val="both"/>
        <w:rPr>
          <w:rFonts w:ascii="Arial" w:hAnsi="Arial"/>
          <w:color w:val="000000"/>
          <w:sz w:val="16"/>
        </w:rPr>
      </w:pPr>
      <w:r>
        <w:rPr>
          <w:rFonts w:ascii="Arial" w:hAnsi="Arial"/>
          <w:color w:val="000000"/>
          <w:sz w:val="16"/>
        </w:rPr>
        <w:t>In our opinion, the annual accounts have been prepared in accordance with the Annual Accounts Act and present fairly, in all material respects, the financial position of the parent company as of 31 December 2025 and its financial performance and cash flow for the year then ended in accordance with the Annual Accounts Act. The consolidated accounts have been prepared in accordance with the Annual Accounts Act and present fairly, in all material respects, the financial position of the group as of 31 December 2025 and their financial performance and cash flow for the year then ended in accordance with IFRS Accounting Standards, as adopted by the EU, and the Annual Accounts Act. The statutory administration report is consistent with the other parts of the annual accounts and consolidated accounts.</w:t>
      </w:r>
    </w:p>
    <w:p>
      <w:pPr>
        <w:pStyle w:val="TextBody"/>
        <w:bidi w:val="0"/>
        <w:spacing w:before="0" w:after="80"/>
        <w:jc w:val="both"/>
        <w:rPr>
          <w:rFonts w:ascii="Arial" w:hAnsi="Arial"/>
          <w:color w:val="000000"/>
          <w:sz w:val="16"/>
        </w:rPr>
      </w:pPr>
      <w:r>
        <w:rPr>
          <w:rFonts w:ascii="Arial" w:hAnsi="Arial"/>
          <w:color w:val="000000"/>
          <w:sz w:val="16"/>
        </w:rPr>
        <w:t>We therefore recommend that the general meeting of shareholders adopts the income statement and balance sheet for the parent company and the group.</w:t>
      </w:r>
    </w:p>
    <w:p>
      <w:pPr>
        <w:pStyle w:val="TextBody"/>
        <w:bidi w:val="0"/>
        <w:jc w:val="left"/>
        <w:rPr>
          <w:rFonts w:ascii="Times New Roman" w:hAnsi="Times New Roman"/>
          <w:sz w:val="20"/>
        </w:rPr>
      </w:pPr>
      <w:r>
        <w:rPr>
          <w:rFonts w:ascii="Arial" w:hAnsi="Arial"/>
          <w:b/>
          <w:i/>
          <w:color w:val="595959"/>
          <w:sz w:val="16"/>
        </w:rPr>
        <w:br/>
      </w:r>
      <w:r>
        <w:rPr>
          <w:rFonts w:ascii="Arial" w:hAnsi="Arial"/>
          <w:i/>
          <w:color w:val="595959"/>
          <w:sz w:val="16"/>
        </w:rPr>
        <w:t>Basis for Opinions</w:t>
      </w:r>
    </w:p>
    <w:p>
      <w:pPr>
        <w:pStyle w:val="TextBody"/>
        <w:bidi w:val="0"/>
        <w:spacing w:before="0" w:after="80"/>
        <w:jc w:val="both"/>
        <w:rPr>
          <w:rFonts w:ascii="Times New Roman" w:hAnsi="Times New Roman"/>
          <w:sz w:val="20"/>
        </w:rPr>
      </w:pPr>
      <w:r>
        <w:rPr>
          <w:rFonts w:ascii="Arial" w:hAnsi="Arial"/>
          <w:color w:val="000000"/>
          <w:sz w:val="16"/>
        </w:rPr>
        <w:t xml:space="preserve">We conducted our audit in accordance with International Standards on Auditing (ISA) and generally accepted auditing standards in Sweden. Our responsibilities under those standards are further described in the </w:t>
      </w:r>
      <w:r>
        <w:rPr>
          <w:rFonts w:ascii="Arial" w:hAnsi="Arial"/>
          <w:i/>
          <w:color w:val="000000"/>
          <w:sz w:val="16"/>
        </w:rPr>
        <w:t>Auditor’s Responsibilities</w:t>
      </w:r>
      <w:r>
        <w:rPr>
          <w:rFonts w:ascii="Times New Roman" w:hAnsi="Times New Roman"/>
          <w:color w:val="000000"/>
          <w:sz w:val="20"/>
        </w:rPr>
        <w:t xml:space="preserve"> </w:t>
      </w:r>
      <w:r>
        <w:rPr>
          <w:rFonts w:ascii="Arial" w:hAnsi="Arial"/>
          <w:color w:val="000000"/>
          <w:sz w:val="16"/>
        </w:rPr>
        <w:t>section. We are independent of the parent company and the group in accordance with professional ethics for accountants in Sweden and have otherwise fulfilled our ethical responsibilities in accordance with these requirements.</w:t>
      </w:r>
      <w:r>
        <w:rPr>
          <w:rFonts w:ascii="Times New Roman" w:hAnsi="Times New Roman"/>
          <w:color w:val="000000"/>
          <w:sz w:val="20"/>
        </w:rPr>
        <w:t xml:space="preserve"> </w:t>
      </w:r>
    </w:p>
    <w:p>
      <w:pPr>
        <w:pStyle w:val="TextBody"/>
        <w:bidi w:val="0"/>
        <w:spacing w:before="0" w:after="80"/>
        <w:jc w:val="both"/>
        <w:rPr>
          <w:rFonts w:ascii="Arial" w:hAnsi="Arial"/>
          <w:color w:val="000000"/>
          <w:sz w:val="16"/>
        </w:rPr>
      </w:pPr>
      <w:r>
        <w:rPr>
          <w:rFonts w:ascii="Arial" w:hAnsi="Arial"/>
          <w:color w:val="000000"/>
          <w:sz w:val="16"/>
        </w:rPr>
        <w:t>We believe that the audit evidence we have obtained is sufficient and appropriate to provide a basis for our opinions.</w:t>
      </w:r>
    </w:p>
    <w:p>
      <w:pPr>
        <w:pStyle w:val="TextBody"/>
        <w:bidi w:val="0"/>
        <w:jc w:val="left"/>
        <w:rPr>
          <w:rFonts w:ascii="Times New Roman" w:hAnsi="Times New Roman"/>
          <w:sz w:val="20"/>
        </w:rPr>
      </w:pPr>
      <w:r>
        <w:rPr>
          <w:rFonts w:ascii="Arial" w:hAnsi="Arial"/>
          <w:color w:val="000000"/>
          <w:sz w:val="16"/>
        </w:rPr>
        <w:br/>
      </w:r>
      <w:r>
        <w:rPr>
          <w:rFonts w:ascii="Arial" w:hAnsi="Arial"/>
          <w:i/>
          <w:color w:val="595959"/>
          <w:sz w:val="16"/>
        </w:rPr>
        <w:t>Responsibilities of the Board of Directors and the Managing Director</w:t>
      </w:r>
    </w:p>
    <w:p>
      <w:pPr>
        <w:pStyle w:val="TextBody"/>
        <w:bidi w:val="0"/>
        <w:spacing w:before="0" w:after="80"/>
        <w:jc w:val="both"/>
        <w:rPr>
          <w:rFonts w:ascii="Arial" w:hAnsi="Arial"/>
          <w:color w:val="000000"/>
          <w:sz w:val="16"/>
        </w:rPr>
      </w:pPr>
      <w:r>
        <w:rPr>
          <w:rFonts w:ascii="Arial" w:hAnsi="Arial"/>
          <w:color w:val="000000"/>
          <w:sz w:val="16"/>
        </w:rPr>
        <w:t>The Board of Directors and the Managing Director are responsible for the preparation of the annual accounts and consolidated accounts and that they give a fair presentation in accordance with the Annual Accounts Act and, concerning the consolidated accounts, in accordance with IFRS Accounting Standards as adopted by the EU. The Board of Directors and the Managing Director are also responsible for such internal control as they determine is necessary to enable the preparation of annual accounts and consolidated accounts that are free from material misstatement, whether due to fraud or error.</w:t>
      </w:r>
    </w:p>
    <w:p>
      <w:pPr>
        <w:pStyle w:val="TextBody"/>
        <w:bidi w:val="0"/>
        <w:spacing w:before="0" w:after="80"/>
        <w:jc w:val="both"/>
        <w:rPr>
          <w:rFonts w:ascii="Arial" w:hAnsi="Arial"/>
          <w:color w:val="000000"/>
          <w:sz w:val="16"/>
        </w:rPr>
      </w:pPr>
      <w:r>
        <w:rPr>
          <w:rFonts w:ascii="Arial" w:hAnsi="Arial"/>
          <w:color w:val="000000"/>
          <w:sz w:val="16"/>
        </w:rPr>
        <w:t>In preparing the annual accounts and consolidated accounts, the Board of Directors and the Managing Director are responsible for the assessment of the company’s and the group’s ability to continue as a going concern. They disclose, as applicable, matters related to going concern and using the going concern basis of accounting. The going concern basis of accounting is however not applied if the Board of Directors and the Managing Director intends to liquidate the company, to cease operations, or has no realistic alternative but to do so.</w:t>
      </w:r>
    </w:p>
    <w:p>
      <w:pPr>
        <w:pStyle w:val="TextBody"/>
        <w:bidi w:val="0"/>
        <w:spacing w:before="40" w:after="80"/>
        <w:jc w:val="left"/>
        <w:rPr>
          <w:rFonts w:ascii="Arial" w:hAnsi="Arial"/>
          <w:i/>
          <w:color w:val="595959"/>
          <w:sz w:val="16"/>
        </w:rPr>
      </w:pPr>
      <w:r>
        <w:rPr>
          <w:rFonts w:ascii="Arial" w:hAnsi="Arial"/>
          <w:i/>
          <w:color w:val="595959"/>
          <w:sz w:val="16"/>
        </w:rPr>
        <w:t>Auditor’s responsibility</w:t>
      </w:r>
    </w:p>
    <w:p>
      <w:pPr>
        <w:pStyle w:val="TextBody"/>
        <w:bidi w:val="0"/>
        <w:spacing w:before="0" w:after="80"/>
        <w:jc w:val="both"/>
        <w:rPr>
          <w:rFonts w:ascii="Arial" w:hAnsi="Arial"/>
          <w:color w:val="000000"/>
          <w:sz w:val="16"/>
        </w:rPr>
      </w:pPr>
      <w:r>
        <w:rPr>
          <w:rFonts w:ascii="Arial" w:hAnsi="Arial"/>
          <w:color w:val="000000"/>
          <w:sz w:val="16"/>
        </w:rPr>
        <w:t>Our objectives are to obtain reasonable assurance about whether the annual accounts and consolidated accounts as a whole are free from material misstatement, whether due to fraud or error, and to issue an auditor’s report that includes our opinions. Reasonable assurance is a high level of assurance, but is not a guarantee that an audit conducted in accordance with ISAs and generally accepted auditing standards in Sweden will always detect a material misstatement when it exists. Misstatements can arise from fraud or error and are considered material if, individually or in the aggregate, they could reasonably be expected to influence the economic decisions of users taken on the basis of these annual accounts and consolidated accounts.</w:t>
      </w:r>
    </w:p>
    <w:p>
      <w:pPr>
        <w:pStyle w:val="TextBody"/>
        <w:bidi w:val="0"/>
        <w:spacing w:before="0" w:after="80"/>
        <w:jc w:val="both"/>
        <w:rPr>
          <w:rFonts w:ascii="Arial" w:hAnsi="Arial"/>
          <w:color w:val="000000"/>
          <w:sz w:val="16"/>
        </w:rPr>
      </w:pPr>
      <w:r>
        <w:rPr>
          <w:rFonts w:ascii="Arial" w:hAnsi="Arial"/>
          <w:color w:val="000000"/>
          <w:sz w:val="16"/>
        </w:rPr>
        <w:t>As part of an audit in accordance with ISAs, we exercise professional judgment and maintain professional skepticism throughout the audit. We also:</w:t>
      </w:r>
    </w:p>
    <w:p>
      <w:pPr>
        <w:pStyle w:val="TextBody"/>
        <w:bidi w:val="0"/>
        <w:spacing w:before="0" w:after="60"/>
        <w:jc w:val="left"/>
        <w:rPr>
          <w:color w:val="7F7F7F"/>
        </w:rPr>
      </w:pPr>
      <w:r>
        <w:rPr>
          <w:color w:val="7F7F7F"/>
        </w:rPr>
        <w:t>•</w:t>
      </w:r>
    </w:p>
    <w:p>
      <w:pPr>
        <w:pStyle w:val="TextBody"/>
        <w:bidi w:val="0"/>
        <w:spacing w:before="0" w:after="60"/>
        <w:jc w:val="left"/>
        <w:rPr>
          <w:rFonts w:ascii="Arial" w:hAnsi="Arial"/>
          <w:color w:val="000000"/>
          <w:sz w:val="16"/>
        </w:rPr>
      </w:pPr>
      <w:r>
        <w:rPr>
          <w:rFonts w:ascii="Arial" w:hAnsi="Arial"/>
          <w:color w:val="000000"/>
          <w:sz w:val="16"/>
        </w:rPr>
        <w:t>Identify and assess the risks of material misstatement of the annual accounts and consolidated accounts, whether due to fraud or error, design and perform audit procedures responsive to those risks, and obtain audit evidence that is sufficient and appropriate to provide a basis for our opinions. The risk of not detecting a material misstatement resulting from fraud is higher than for one resulting from error, as fraud may involve collusion, forgery, intentional omissions, misrepresentations, or the override of internal control.</w:t>
      </w:r>
    </w:p>
    <w:p>
      <w:pPr>
        <w:pStyle w:val="TextBody"/>
        <w:bidi w:val="0"/>
        <w:spacing w:before="0" w:after="60"/>
        <w:jc w:val="left"/>
        <w:rPr>
          <w:color w:val="7F7F7F"/>
        </w:rPr>
      </w:pPr>
      <w:r>
        <w:rPr>
          <w:color w:val="7F7F7F"/>
        </w:rPr>
        <w:t>•</w:t>
      </w:r>
    </w:p>
    <w:p>
      <w:pPr>
        <w:pStyle w:val="TextBody"/>
        <w:bidi w:val="0"/>
        <w:spacing w:before="0" w:after="60"/>
        <w:jc w:val="left"/>
        <w:rPr>
          <w:rFonts w:ascii="Arial" w:hAnsi="Arial"/>
          <w:color w:val="000000"/>
          <w:sz w:val="16"/>
        </w:rPr>
      </w:pPr>
      <w:r>
        <w:rPr>
          <w:rFonts w:ascii="Arial" w:hAnsi="Arial"/>
          <w:color w:val="000000"/>
          <w:sz w:val="16"/>
        </w:rPr>
        <w:t xml:space="preserve">Obtain an understanding of the company’s internal control relevant to our audit in order to design audit procedures that are appropriate in the circumstances, but not for the purpose of expressing an opinion on the effectiveness of the company’s internal control. </w:t>
      </w:r>
    </w:p>
    <w:p>
      <w:pPr>
        <w:pStyle w:val="TextBody"/>
        <w:bidi w:val="0"/>
        <w:spacing w:before="0" w:after="60"/>
        <w:jc w:val="left"/>
        <w:rPr>
          <w:color w:val="7F7F7F"/>
        </w:rPr>
      </w:pPr>
      <w:r>
        <w:rPr>
          <w:color w:val="7F7F7F"/>
        </w:rPr>
        <w:t>•</w:t>
      </w:r>
    </w:p>
    <w:p>
      <w:pPr>
        <w:pStyle w:val="TextBody"/>
        <w:bidi w:val="0"/>
        <w:spacing w:before="0" w:after="60"/>
        <w:jc w:val="left"/>
        <w:rPr>
          <w:rFonts w:ascii="Arial" w:hAnsi="Arial"/>
          <w:color w:val="000000"/>
          <w:sz w:val="16"/>
        </w:rPr>
      </w:pPr>
      <w:r>
        <w:rPr>
          <w:rFonts w:ascii="Arial" w:hAnsi="Arial"/>
          <w:color w:val="000000"/>
          <w:sz w:val="16"/>
        </w:rPr>
        <w:t xml:space="preserve">Evaluate the appropriateness of accounting policies used and the reasonableness of accounting estimates and related disclosures made by the Board of Directors and the Managing Director. </w:t>
      </w:r>
    </w:p>
    <w:p>
      <w:pPr>
        <w:pStyle w:val="TextBody"/>
        <w:bidi w:val="0"/>
        <w:spacing w:before="0" w:after="60"/>
        <w:jc w:val="left"/>
        <w:rPr>
          <w:color w:val="7F7F7F"/>
        </w:rPr>
      </w:pPr>
      <w:r>
        <w:rPr>
          <w:color w:val="7F7F7F"/>
        </w:rPr>
        <w:t>•</w:t>
      </w:r>
    </w:p>
    <w:p>
      <w:pPr>
        <w:pStyle w:val="TextBody"/>
        <w:bidi w:val="0"/>
        <w:spacing w:before="0" w:after="60"/>
        <w:jc w:val="left"/>
        <w:rPr>
          <w:rFonts w:ascii="Arial" w:hAnsi="Arial"/>
          <w:color w:val="000000"/>
          <w:sz w:val="16"/>
        </w:rPr>
      </w:pPr>
      <w:r>
        <w:rPr>
          <w:rFonts w:ascii="Arial" w:hAnsi="Arial"/>
          <w:color w:val="000000"/>
          <w:sz w:val="16"/>
        </w:rPr>
        <w:t>Conclude on the appropriateness of the Board of Directors’ and the Managing Director’s use of the going concern basis of accounting in preparing the annual accounts and consolidated accounts. We also draw a conclusion, based on the audit evidence obtained, as to whether any material uncertainty exists related to events or conditions that may cast significant doubt on the company’s and the group’s ability to continue as a going concern. If we conclude that a material uncertainty exists, we are required to draw attention in our auditor’s report to the related disclosures in the annual accounts and consolidated accounts or, if such disclosures are inadequate, to modify our opinion about the annual accounts and consolidated accounts. Our conclusions are based on the audit evidence obtained up to the date of our auditor’s report. However, future events or conditions may cause a company and a group to cease to continue as a going concern.</w:t>
      </w:r>
    </w:p>
    <w:p>
      <w:pPr>
        <w:pStyle w:val="TextBody"/>
        <w:bidi w:val="0"/>
        <w:spacing w:before="0" w:after="60"/>
        <w:jc w:val="left"/>
        <w:rPr>
          <w:color w:val="7F7F7F"/>
        </w:rPr>
      </w:pPr>
      <w:r>
        <w:rPr>
          <w:color w:val="7F7F7F"/>
        </w:rPr>
        <w:t>•</w:t>
      </w:r>
    </w:p>
    <w:p>
      <w:pPr>
        <w:pStyle w:val="TextBody"/>
        <w:bidi w:val="0"/>
        <w:spacing w:before="0" w:after="60"/>
        <w:jc w:val="left"/>
        <w:rPr>
          <w:rFonts w:ascii="Arial" w:hAnsi="Arial"/>
          <w:color w:val="000000"/>
          <w:sz w:val="16"/>
        </w:rPr>
      </w:pPr>
      <w:r>
        <w:rPr>
          <w:rFonts w:ascii="Arial" w:hAnsi="Arial"/>
          <w:color w:val="000000"/>
          <w:sz w:val="16"/>
        </w:rPr>
        <w:t>Evaluate the overall presentation, structure and content of the annual accounts and consolidated accounts, including the disclosures, and whether the annual accounts and consolidated accounts represent the underlying transactions and events in a manner that achieves fair presentation.</w:t>
      </w:r>
    </w:p>
    <w:p>
      <w:pPr>
        <w:pStyle w:val="TextBody"/>
        <w:bidi w:val="0"/>
        <w:spacing w:before="0" w:after="120"/>
        <w:jc w:val="left"/>
        <w:rPr>
          <w:color w:val="7F7F7F"/>
        </w:rPr>
      </w:pPr>
      <w:r>
        <w:rPr>
          <w:color w:val="7F7F7F"/>
        </w:rPr>
        <w:t>•</w:t>
      </w:r>
    </w:p>
    <w:p>
      <w:pPr>
        <w:pStyle w:val="TextBody"/>
        <w:bidi w:val="0"/>
        <w:spacing w:before="0" w:after="120"/>
        <w:jc w:val="left"/>
        <w:rPr>
          <w:rFonts w:ascii="Arial" w:hAnsi="Arial"/>
          <w:color w:val="000000"/>
          <w:sz w:val="16"/>
        </w:rPr>
      </w:pPr>
      <w:r>
        <w:rPr>
          <w:rFonts w:ascii="Arial" w:hAnsi="Arial"/>
          <w:color w:val="000000"/>
          <w:sz w:val="16"/>
        </w:rPr>
        <w:t xml:space="preserve">Plan and perform the group audit to obtain sufficient and appropriate audit evidence regarding the financial information of the entities or business units within the group as a basis for forming an opinion on the consolidated accounts. We are responsible for the direction, supervision and review of the audit work performed for purposes of the group audit. We remain solely responsible for our opinions. </w:t>
      </w:r>
    </w:p>
    <w:p>
      <w:pPr>
        <w:pStyle w:val="TextBody"/>
        <w:bidi w:val="0"/>
        <w:spacing w:before="0" w:after="80"/>
        <w:jc w:val="both"/>
        <w:rPr>
          <w:rFonts w:ascii="Arial" w:hAnsi="Arial"/>
          <w:color w:val="000000"/>
          <w:sz w:val="16"/>
        </w:rPr>
      </w:pPr>
      <w:r>
        <w:rPr>
          <w:rFonts w:ascii="Arial" w:hAnsi="Arial"/>
          <w:color w:val="000000"/>
          <w:sz w:val="16"/>
        </w:rPr>
        <w:t>We must inform the Board of Directors of, among other matters, the planned scope and timing of the audit. We must also inform of significant audit findings during our audit, including any significant deficiencies in internal control that we identified.</w:t>
      </w:r>
    </w:p>
    <w:p>
      <w:pPr>
        <w:pStyle w:val="TextBody"/>
        <w:bidi w:val="0"/>
        <w:jc w:val="left"/>
        <w:rPr>
          <w:rFonts w:ascii="Arial" w:hAnsi="Arial"/>
          <w:color w:val="000000"/>
          <w:sz w:val="16"/>
        </w:rPr>
      </w:pPr>
      <w:r>
        <w:rPr>
          <w:rFonts w:ascii="Arial" w:hAnsi="Arial"/>
          <w:color w:val="000000"/>
          <w:sz w:val="16"/>
        </w:rPr>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595959"/>
          <w:sz w:val="24"/>
        </w:rPr>
        <w:t>Report on other legal and regulatory requirements</w:t>
      </w:r>
      <w:r>
        <w:rPr>
          <w:rFonts w:ascii="Times New Roman" w:hAnsi="Times New Roman"/>
          <w:color w:val="595959"/>
          <w:sz w:val="20"/>
        </w:rPr>
        <w:t xml:space="preserve"> </w:t>
      </w:r>
    </w:p>
    <w:p>
      <w:pPr>
        <w:pStyle w:val="TextBody"/>
        <w:bidi w:val="0"/>
        <w:jc w:val="left"/>
        <w:rPr>
          <w:rFonts w:ascii="Arial" w:hAnsi="Arial"/>
          <w:color w:val="000000"/>
          <w:sz w:val="16"/>
        </w:rPr>
      </w:pPr>
      <w:r>
        <w:rPr>
          <w:rFonts w:ascii="Arial" w:hAnsi="Arial"/>
          <w:color w:val="000000"/>
          <w:sz w:val="16"/>
        </w:rPr>
      </w:r>
    </w:p>
    <w:p>
      <w:pPr>
        <w:pStyle w:val="TextBody"/>
        <w:bidi w:val="0"/>
        <w:spacing w:before="0" w:after="80"/>
        <w:jc w:val="left"/>
        <w:rPr>
          <w:rFonts w:ascii="Arial" w:hAnsi="Arial"/>
          <w:i/>
          <w:color w:val="595959"/>
          <w:sz w:val="16"/>
        </w:rPr>
      </w:pPr>
      <w:r>
        <w:rPr>
          <w:rFonts w:ascii="Arial" w:hAnsi="Arial"/>
          <w:i/>
          <w:color w:val="595959"/>
          <w:sz w:val="16"/>
        </w:rPr>
        <w:t>Opinions</w:t>
      </w:r>
    </w:p>
    <w:p>
      <w:pPr>
        <w:pStyle w:val="TextBody"/>
        <w:bidi w:val="0"/>
        <w:spacing w:before="0" w:after="80"/>
        <w:jc w:val="both"/>
        <w:rPr>
          <w:rFonts w:ascii="Arial" w:hAnsi="Arial"/>
          <w:color w:val="000000"/>
          <w:sz w:val="16"/>
        </w:rPr>
      </w:pPr>
      <w:r>
        <w:rPr>
          <w:rFonts w:ascii="Arial" w:hAnsi="Arial"/>
          <w:color w:val="000000"/>
          <w:sz w:val="16"/>
        </w:rPr>
        <w:t>In addition to our audit of the annual accounts and consolidated accounts, we have also audited the administration of the Board of Directors and the Managing Director of Oatly Group AB (publ) for the year 2025 and the proposed appropriations of the company’s profit or loss.</w:t>
      </w:r>
    </w:p>
    <w:p>
      <w:pPr>
        <w:pStyle w:val="TextBody"/>
        <w:bidi w:val="0"/>
        <w:spacing w:before="0" w:after="80"/>
        <w:jc w:val="both"/>
        <w:rPr>
          <w:rFonts w:ascii="Arial" w:hAnsi="Arial"/>
          <w:color w:val="000000"/>
          <w:sz w:val="16"/>
        </w:rPr>
      </w:pPr>
      <w:r>
        <w:rPr>
          <w:rFonts w:ascii="Arial" w:hAnsi="Arial"/>
          <w:color w:val="000000"/>
          <w:sz w:val="16"/>
        </w:rPr>
        <w:t>We recommend to the general meeting of shareholders that the profit be appropriated in accordance with the proposal in the statutory administration report and that the members of the Board of Directors and the Managing Director be discharged from liability for the financial year.</w:t>
      </w:r>
    </w:p>
    <w:p>
      <w:pPr>
        <w:pStyle w:val="TextBody"/>
        <w:bidi w:val="0"/>
        <w:spacing w:before="40" w:after="80"/>
        <w:jc w:val="left"/>
        <w:rPr>
          <w:rFonts w:ascii="Arial" w:hAnsi="Arial"/>
          <w:i/>
          <w:color w:val="595959"/>
          <w:sz w:val="16"/>
        </w:rPr>
      </w:pPr>
      <w:r>
        <w:rPr>
          <w:rFonts w:ascii="Arial" w:hAnsi="Arial"/>
          <w:i/>
          <w:color w:val="595959"/>
          <w:sz w:val="16"/>
        </w:rPr>
        <w:t>Basis for opinions</w:t>
      </w:r>
    </w:p>
    <w:p>
      <w:pPr>
        <w:pStyle w:val="TextBody"/>
        <w:bidi w:val="0"/>
        <w:spacing w:before="0" w:after="80"/>
        <w:jc w:val="both"/>
        <w:rPr>
          <w:rFonts w:ascii="Times New Roman" w:hAnsi="Times New Roman"/>
          <w:sz w:val="20"/>
        </w:rPr>
      </w:pPr>
      <w:r>
        <w:rPr>
          <w:rFonts w:ascii="Arial" w:hAnsi="Arial"/>
          <w:color w:val="000000"/>
          <w:sz w:val="16"/>
        </w:rPr>
        <w:t xml:space="preserve">We conducted the audit in accordance with generally accepted auditing standards in Sweden. Our responsibilities under those standards are further described in the </w:t>
      </w:r>
      <w:r>
        <w:rPr>
          <w:rFonts w:ascii="Arial" w:hAnsi="Arial"/>
          <w:i/>
          <w:color w:val="000000"/>
          <w:sz w:val="16"/>
        </w:rPr>
        <w:t>Auditor’s Responsibilities</w:t>
      </w:r>
      <w:r>
        <w:rPr>
          <w:rFonts w:ascii="Times New Roman" w:hAnsi="Times New Roman"/>
          <w:color w:val="000000"/>
          <w:sz w:val="20"/>
        </w:rPr>
        <w:t xml:space="preserve"> </w:t>
      </w:r>
      <w:r>
        <w:rPr>
          <w:rFonts w:ascii="Arial" w:hAnsi="Arial"/>
          <w:color w:val="000000"/>
          <w:sz w:val="16"/>
        </w:rPr>
        <w:t>section. We are independent of the parent company and the group in accordance with professional ethics for accountants in Sweden and have otherwise fulfilled our ethical responsibilities in accordance with these requirements.</w:t>
      </w:r>
    </w:p>
    <w:p>
      <w:pPr>
        <w:pStyle w:val="TextBody"/>
        <w:bidi w:val="0"/>
        <w:spacing w:before="0" w:after="80"/>
        <w:jc w:val="both"/>
        <w:rPr>
          <w:rFonts w:ascii="Arial" w:hAnsi="Arial"/>
          <w:color w:val="000000"/>
          <w:sz w:val="16"/>
        </w:rPr>
      </w:pPr>
      <w:r>
        <w:rPr>
          <w:rFonts w:ascii="Arial" w:hAnsi="Arial"/>
          <w:color w:val="000000"/>
          <w:sz w:val="16"/>
        </w:rPr>
        <w:t>We believe that the audit evidence we have obtained is sufficient and appropriate to provide a basis for our opinions.</w:t>
      </w:r>
    </w:p>
    <w:p>
      <w:pPr>
        <w:pStyle w:val="TextBody"/>
        <w:bidi w:val="0"/>
        <w:spacing w:before="40" w:after="80"/>
        <w:jc w:val="left"/>
        <w:rPr>
          <w:rFonts w:ascii="Arial" w:hAnsi="Arial"/>
          <w:i/>
          <w:color w:val="595959"/>
          <w:sz w:val="16"/>
        </w:rPr>
      </w:pPr>
      <w:r>
        <w:rPr>
          <w:rFonts w:ascii="Arial" w:hAnsi="Arial"/>
          <w:i/>
          <w:color w:val="595959"/>
          <w:sz w:val="16"/>
        </w:rPr>
        <w:t>Responsibilities of the Board of Directors and the Managing Director</w:t>
      </w:r>
    </w:p>
    <w:p>
      <w:pPr>
        <w:pStyle w:val="TextBody"/>
        <w:bidi w:val="0"/>
        <w:spacing w:before="0" w:after="80"/>
        <w:jc w:val="both"/>
        <w:rPr>
          <w:rFonts w:ascii="Arial" w:hAnsi="Arial"/>
          <w:color w:val="000000"/>
          <w:sz w:val="16"/>
        </w:rPr>
      </w:pPr>
      <w:r>
        <w:rPr>
          <w:rFonts w:ascii="Arial" w:hAnsi="Arial"/>
          <w:color w:val="000000"/>
          <w:sz w:val="16"/>
        </w:rPr>
        <w:t>The Board of Directors is responsible for the proposal for appropriations of the company’s profit or loss. At the proposal of a dividend, this includes an assessment of whether the dividend is justifiable considering the requirements which the company's and the group’s type of operations, size and risks place on the size of the parent company's and the group’s equity, consolidation requirements, liquidity and position in general.</w:t>
      </w:r>
    </w:p>
    <w:p>
      <w:pPr>
        <w:pStyle w:val="TextBody"/>
        <w:bidi w:val="0"/>
        <w:spacing w:before="0" w:after="80"/>
        <w:jc w:val="both"/>
        <w:rPr>
          <w:rFonts w:ascii="Arial" w:hAnsi="Arial"/>
          <w:color w:val="000000"/>
          <w:sz w:val="16"/>
        </w:rPr>
      </w:pPr>
      <w:r>
        <w:rPr>
          <w:rFonts w:ascii="Arial" w:hAnsi="Arial"/>
          <w:color w:val="000000"/>
          <w:sz w:val="16"/>
        </w:rPr>
        <w:t>The Board of Directors is responsible for the company’s organization and the administration of the company’s affairs. This includes among other things continuous assessment of the company’s and the group’s financial situation and ensuring that the company's organization is designed so that the accounting, management of assets and the company’s financial affairs otherwise are controlled in a reassuring manner. The Managing Director shall manage the ongoing administration according to the Board of Directors’ guidelines and instructions and among other matters take measures that are necessary to fulfill the company’s accounting in accordance with law and handle the management of assets in a reassuring manner.</w:t>
      </w:r>
    </w:p>
    <w:p>
      <w:pPr>
        <w:pStyle w:val="TextBody"/>
        <w:bidi w:val="0"/>
        <w:spacing w:before="40" w:after="80"/>
        <w:jc w:val="left"/>
        <w:rPr>
          <w:rFonts w:ascii="Arial" w:hAnsi="Arial"/>
          <w:i/>
          <w:color w:val="595959"/>
          <w:sz w:val="16"/>
        </w:rPr>
      </w:pPr>
      <w:r>
        <w:rPr>
          <w:rFonts w:ascii="Arial" w:hAnsi="Arial"/>
          <w:i/>
          <w:color w:val="595959"/>
          <w:sz w:val="16"/>
        </w:rPr>
        <w:t>Auditor’s responsibility</w:t>
      </w:r>
    </w:p>
    <w:p>
      <w:pPr>
        <w:pStyle w:val="TextBody"/>
        <w:bidi w:val="0"/>
        <w:spacing w:before="0" w:after="80"/>
        <w:jc w:val="both"/>
        <w:rPr>
          <w:rFonts w:ascii="Arial" w:hAnsi="Arial"/>
          <w:color w:val="000000"/>
          <w:sz w:val="16"/>
        </w:rPr>
      </w:pPr>
      <w:r>
        <w:rPr>
          <w:rFonts w:ascii="Arial" w:hAnsi="Arial"/>
          <w:color w:val="000000"/>
          <w:sz w:val="16"/>
        </w:rPr>
        <w:t>Our objective concerning the audit of the administration, and thereby our opinion about discharge from liability, is to obtain audit evidence to assess with a reasonable degree of assurance whether any member of the Board of Directors or the Managing Director in any material respect:</w:t>
      </w:r>
    </w:p>
    <w:p>
      <w:pPr>
        <w:pStyle w:val="TextBody"/>
        <w:bidi w:val="0"/>
        <w:spacing w:before="0" w:after="120"/>
        <w:jc w:val="left"/>
        <w:rPr>
          <w:color w:val="7F7F7F"/>
        </w:rPr>
      </w:pPr>
      <w:r>
        <w:rPr>
          <w:color w:val="7F7F7F"/>
        </w:rPr>
        <w:t>•</w:t>
      </w:r>
    </w:p>
    <w:p>
      <w:pPr>
        <w:pStyle w:val="TextBody"/>
        <w:bidi w:val="0"/>
        <w:spacing w:before="0" w:after="120"/>
        <w:jc w:val="left"/>
        <w:rPr>
          <w:rFonts w:ascii="Arial" w:hAnsi="Arial"/>
          <w:color w:val="000000"/>
          <w:sz w:val="16"/>
        </w:rPr>
      </w:pPr>
      <w:r>
        <w:rPr>
          <w:rFonts w:ascii="Arial" w:hAnsi="Arial"/>
          <w:color w:val="000000"/>
          <w:sz w:val="16"/>
        </w:rPr>
        <w:t>has undertaken any action or been guilty of any omission which can give rise to liability to the company, or</w:t>
      </w:r>
    </w:p>
    <w:p>
      <w:pPr>
        <w:pStyle w:val="TextBody"/>
        <w:bidi w:val="0"/>
        <w:spacing w:before="0" w:after="120"/>
        <w:jc w:val="left"/>
        <w:rPr>
          <w:color w:val="7F7F7F"/>
        </w:rPr>
      </w:pPr>
      <w:r>
        <w:rPr>
          <w:color w:val="7F7F7F"/>
        </w:rPr>
        <w:t>•</w:t>
      </w:r>
    </w:p>
    <w:p>
      <w:pPr>
        <w:pStyle w:val="TextBody"/>
        <w:bidi w:val="0"/>
        <w:spacing w:before="0" w:after="120"/>
        <w:jc w:val="left"/>
        <w:rPr>
          <w:rFonts w:ascii="Arial" w:hAnsi="Arial"/>
          <w:color w:val="000000"/>
          <w:sz w:val="16"/>
        </w:rPr>
      </w:pPr>
      <w:r>
        <w:rPr>
          <w:rFonts w:ascii="Arial" w:hAnsi="Arial"/>
          <w:color w:val="000000"/>
          <w:sz w:val="16"/>
        </w:rPr>
        <w:t>in any other way has acted in contravention of the Companies Act, the Annual Accounts Act or the Articles of Association.</w:t>
      </w:r>
    </w:p>
    <w:p>
      <w:pPr>
        <w:pStyle w:val="TextBody"/>
        <w:bidi w:val="0"/>
        <w:spacing w:before="0" w:after="80"/>
        <w:jc w:val="both"/>
        <w:rPr>
          <w:rFonts w:ascii="Arial" w:hAnsi="Arial"/>
          <w:color w:val="000000"/>
          <w:sz w:val="16"/>
        </w:rPr>
      </w:pPr>
      <w:r>
        <w:rPr>
          <w:rFonts w:ascii="Arial" w:hAnsi="Arial"/>
          <w:color w:val="000000"/>
          <w:sz w:val="16"/>
        </w:rPr>
        <w:t>Our objective concerning the audit of the proposed appropriations of the company’s profit or loss, and thereby our opinion about this, is to assess with reasonable degree of assurance whether the proposal is in accordance with the Companies Act.</w:t>
      </w:r>
    </w:p>
    <w:p>
      <w:pPr>
        <w:pStyle w:val="TextBody"/>
        <w:bidi w:val="0"/>
        <w:spacing w:before="0" w:after="80"/>
        <w:jc w:val="both"/>
        <w:rPr>
          <w:rFonts w:ascii="Arial" w:hAnsi="Arial"/>
          <w:color w:val="000000"/>
          <w:sz w:val="16"/>
        </w:rPr>
      </w:pPr>
      <w:r>
        <w:rPr>
          <w:rFonts w:ascii="Arial" w:hAnsi="Arial"/>
          <w:color w:val="000000"/>
          <w:sz w:val="16"/>
        </w:rPr>
        <w:t>Reasonable assurance is a high level of assurance, but is not a guarantee that an audit conducted in accordance with generally accepted auditing standards in Sweden will always detect actions or omissions that can give rise to liability to the company, or that the proposed appropriations of the company’s profit or loss are not in accordance with the Companies Act.</w:t>
      </w:r>
    </w:p>
    <w:p>
      <w:pPr>
        <w:pStyle w:val="TextBody"/>
        <w:bidi w:val="0"/>
        <w:spacing w:before="0" w:after="80"/>
        <w:jc w:val="both"/>
        <w:rPr>
          <w:rFonts w:ascii="Arial" w:hAnsi="Arial"/>
          <w:color w:val="000000"/>
          <w:sz w:val="16"/>
        </w:rPr>
      </w:pPr>
      <w:r>
        <w:rPr>
          <w:rFonts w:ascii="Arial" w:hAnsi="Arial"/>
          <w:color w:val="000000"/>
          <w:sz w:val="16"/>
        </w:rPr>
        <w:t>As part of an audit in accordance with generally accepted auditing standards in Sweden, we exercise professional judgment and maintain professional skepticism throughout the audit. The examination of the administration and the proposed appropriations of the company’s profit or loss is based primarily on the audit of the accounts. Additional audit procedures performed are based on our professional judgment with starting point in risk and materiality. This means that we focus the examination on such actions, areas and relationships that are material for the operations and where deviations and violations would have particular importance for the company’s situation. We examine and test decisions undertaken, support for decisions, actions taken and other circumstances that are relevant to our opinion concerning discharge from liability. As a basis for our opinion on the Board of Directors’ proposed appropriations of the company’s profit or loss we examined whether the proposal is in accordance with the Companies Act.</w:t>
      </w:r>
    </w:p>
    <w:p>
      <w:pPr>
        <w:pStyle w:val="TextBody"/>
        <w:bidi w:val="0"/>
        <w:spacing w:before="0" w:after="80"/>
        <w:jc w:val="both"/>
        <w:rPr/>
      </w:pPr>
      <w:r>
        <w:rPr/>
        <w:t> </w:t>
      </w:r>
    </w:p>
    <w:p>
      <w:pPr>
        <w:pStyle w:val="TextBody"/>
        <w:bidi w:val="0"/>
        <w:spacing w:before="0" w:after="80"/>
        <w:jc w:val="both"/>
        <w:rPr>
          <w:rFonts w:ascii="Arial" w:hAnsi="Arial"/>
          <w:color w:val="000000"/>
          <w:sz w:val="16"/>
        </w:rPr>
      </w:pPr>
      <w:r>
        <w:rPr>
          <w:rFonts w:ascii="Arial" w:hAnsi="Arial"/>
          <w:color w:val="000000"/>
          <w:sz w:val="16"/>
        </w:rPr>
        <w:t>Stockholm 23 April 2026</w:t>
      </w:r>
    </w:p>
    <w:p>
      <w:pPr>
        <w:pStyle w:val="TextBody"/>
        <w:bidi w:val="0"/>
        <w:jc w:val="both"/>
        <w:rPr>
          <w:rFonts w:ascii="Arial" w:hAnsi="Arial"/>
          <w:color w:val="000000"/>
          <w:sz w:val="16"/>
        </w:rPr>
      </w:pPr>
      <w:r>
        <w:rPr>
          <w:rFonts w:ascii="Arial" w:hAnsi="Arial"/>
          <w:color w:val="000000"/>
          <w:sz w:val="16"/>
        </w:rPr>
        <w:t>Ernst &amp; Young AB</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Fredrik Norrman</w:t>
      </w:r>
    </w:p>
    <w:p>
      <w:pPr>
        <w:pStyle w:val="TextBody"/>
        <w:bidi w:val="0"/>
        <w:jc w:val="both"/>
        <w:rPr>
          <w:rFonts w:ascii="Arial" w:hAnsi="Arial"/>
          <w:color w:val="000000"/>
          <w:sz w:val="16"/>
        </w:rPr>
      </w:pPr>
      <w:r>
        <w:rPr>
          <w:rFonts w:ascii="Arial" w:hAnsi="Arial"/>
          <w:color w:val="000000"/>
          <w:sz w:val="16"/>
        </w:rPr>
        <w:t>Authorized Public Accountant</w:t>
      </w:r>
    </w:p>
    <w:p>
      <w:pPr>
        <w:pStyle w:val="TextBody"/>
        <w:bidi w:val="0"/>
        <w:spacing w:before="0" w:after="20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36243</Words>
  <Characters>199094</Characters>
  <CharactersWithSpaces>240822</CharactersWithSpaces>
  <Paragraphs>17331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