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tly_6k_1q25.htm"/>
      <w:bookmarkStart w:id="1" w:name="ksotly_6k_1q25"/>
      <w:bookmarkEnd w:id="0"/>
      <w:bookmarkEnd w:id="1"/>
      <w:r>
        <w:rPr/>
        <w:t> </w:t>
      </w:r>
    </w:p>
    <w:p>
      <w:pPr>
        <w:pStyle w:val="TextBody"/>
        <w:pBdr>
          <w:top w:val="double" w:sz="4" w:space="1" w:color="000000"/>
        </w:pBdr>
        <w:bidi w:val="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UNITED STATES</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FORM 6-K</w:t>
      </w:r>
    </w:p>
    <w:p>
      <w:pPr>
        <w:pStyle w:val="TextBody"/>
        <w:pBdr>
          <w:bottom w:val="single" w:sz="4" w:space="1" w:color="000000"/>
        </w:pBdr>
        <w:bidi w:val="0"/>
        <w:spacing w:before="0" w:after="20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REPORT OF FOREIGN PRIVATE ISSUER</w:t>
        <w:br/>
        <w:t>PURSUANT TO RULE 13a-16 OR 15d-16</w:t>
        <w:br/>
        <w:t>OF THE SECURITIES EXCHANGE ACT OF 1934</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For the month of April 2025</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Commission File Number: 001-40401</w:t>
      </w:r>
    </w:p>
    <w:p>
      <w:pPr>
        <w:pStyle w:val="TextBody"/>
        <w:pBdr>
          <w:top w:val="single" w:sz="4" w:space="1" w:color="000000"/>
        </w:pBdr>
        <w:bidi w:val="0"/>
        <w:jc w:val="center"/>
        <w:rPr/>
      </w:pPr>
      <w:r>
        <w:rPr/>
        <w:t> </w:t>
      </w:r>
    </w:p>
    <w:p>
      <w:pPr>
        <w:pStyle w:val="TextBody"/>
        <w:bidi w:val="0"/>
        <w:spacing w:before="0" w:after="200"/>
        <w:jc w:val="center"/>
        <w:rPr>
          <w:rFonts w:ascii="Times New Roman" w:hAnsi="Times New Roman"/>
          <w:b/>
          <w:color w:val="000000"/>
          <w:sz w:val="28"/>
        </w:rPr>
      </w:pPr>
      <w:r>
        <w:rPr>
          <w:rFonts w:ascii="Times New Roman" w:hAnsi="Times New Roman"/>
          <w:b/>
          <w:color w:val="000000"/>
          <w:sz w:val="28"/>
        </w:rPr>
        <w:t>Oatly Group AB</w:t>
      </w:r>
    </w:p>
    <w:p>
      <w:pPr>
        <w:pStyle w:val="TextBody"/>
        <w:bidi w:val="0"/>
        <w:jc w:val="center"/>
        <w:rPr>
          <w:rFonts w:ascii="Times New Roman" w:hAnsi="Times New Roman"/>
          <w:color w:val="000000"/>
          <w:sz w:val="18"/>
        </w:rPr>
      </w:pPr>
      <w:r>
        <w:rPr>
          <w:rFonts w:ascii="Times New Roman" w:hAnsi="Times New Roman"/>
          <w:color w:val="000000"/>
          <w:sz w:val="18"/>
        </w:rPr>
        <w:t>(Translation of registrant’s name into English)</w:t>
      </w:r>
    </w:p>
    <w:p>
      <w:pPr>
        <w:pStyle w:val="TextBody"/>
        <w:pBdr>
          <w:bottom w:val="single" w:sz="4" w:space="1" w:color="000000"/>
        </w:pBdr>
        <w:bidi w:val="0"/>
        <w:spacing w:before="0" w:after="12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Ångfärjekajen 8</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211 19 Malmö</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Sweden</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w:t>
      </w:r>
    </w:p>
    <w:p>
      <w:pPr>
        <w:pStyle w:val="TextBody"/>
        <w:pBdr>
          <w:bottom w:val="single" w:sz="4" w:space="1" w:color="000000"/>
        </w:pBdr>
        <w:bidi w:val="0"/>
        <w:spacing w:before="0" w:after="200"/>
        <w:jc w:val="center"/>
        <w:rPr/>
      </w:pPr>
      <w:r>
        <w:rPr/>
        <w:t> </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Indicate by check mark whether the registrant files or will file annual reports under cover of Form 20-F or Form 40-F.</w:t>
      </w:r>
    </w:p>
    <w:p>
      <w:pPr>
        <w:pStyle w:val="TextBody"/>
        <w:bidi w:val="0"/>
        <w:spacing w:before="0" w:after="200"/>
        <w:jc w:val="center"/>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pBdr>
          <w:bottom w:val="double" w:sz="4" w:space="1" w:color="000000"/>
        </w:pBdr>
        <w:bidi w:val="0"/>
        <w:spacing w:before="0" w:after="20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1857375" cy="1800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18002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Oatly Group AB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Interim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342" w:type="dxa"/>
        <w:jc w:val="left"/>
        <w:tblInd w:w="0" w:type="dxa"/>
        <w:tblLayout w:type="fixed"/>
        <w:tblCellMar>
          <w:top w:w="28" w:type="dxa"/>
          <w:left w:w="28" w:type="dxa"/>
          <w:bottom w:w="28" w:type="dxa"/>
          <w:right w:w="28" w:type="dxa"/>
        </w:tblCellMar>
      </w:tblPr>
      <w:tblGrid>
        <w:gridCol w:w="7981"/>
        <w:gridCol w:w="361"/>
      </w:tblGrid>
      <w:tr>
        <w:trPr/>
        <w:tc>
          <w:tcPr>
            <w:tcW w:w="79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Interim condensed consolidated statement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comprehensive_loss">
              <w:r>
                <w:rPr>
                  <w:rStyle w:val="InternetLink"/>
                  <w:rFonts w:ascii="Times New Roman" w:hAnsi="Times New Roman"/>
                  <w:color w:val="0000FF"/>
                  <w:sz w:val="20"/>
                  <w:u w:val="single"/>
                </w:rPr>
                <w:t>Interim condensed consolidated statement of comprehensive income/(loss)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financial_position">
              <w:r>
                <w:rPr>
                  <w:rStyle w:val="InternetLink"/>
                  <w:rFonts w:ascii="Times New Roman" w:hAnsi="Times New Roman"/>
                  <w:color w:val="0000FF"/>
                  <w:sz w:val="20"/>
                  <w:u w:val="single"/>
                </w:rPr>
                <w:t>Interim condensed consolidated statement of financial position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changes_in_equity">
              <w:r>
                <w:rPr>
                  <w:rStyle w:val="InternetLink"/>
                  <w:rFonts w:ascii="Times New Roman" w:hAnsi="Times New Roman"/>
                  <w:color w:val="0000FF"/>
                  <w:sz w:val="20"/>
                  <w:u w:val="single"/>
                </w:rPr>
                <w:t>Interim condensed consolidated statement of changes in equity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Interim condensed consolidated statement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notes_to_interim_condensed_consolidated_">
              <w:r>
                <w:rPr>
                  <w:rStyle w:val="InternetLink"/>
                  <w:rFonts w:ascii="Times New Roman" w:hAnsi="Times New Roman"/>
                  <w:color w:val="0000FF"/>
                  <w:sz w:val="20"/>
                  <w:u w:val="single"/>
                </w:rPr>
                <w:t>Notes to the interim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qualitative_quantitative_disclosu">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2" w:name="item_1_financial_statements"/>
      <w:bookmarkEnd w:id="2"/>
      <w:r>
        <w:rPr>
          <w:rFonts w:ascii="Times New Roman" w:hAnsi="Times New Roman"/>
          <w:b/>
          <w:color w:val="000000"/>
          <w:sz w:val="20"/>
        </w:rPr>
        <w:t>Item 1.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3" w:name="statement_of_operations"/>
      <w:bookmarkEnd w:id="3"/>
      <w:r>
        <w:rPr>
          <w:rFonts w:ascii="Times New Roman" w:hAnsi="Times New Roman"/>
          <w:b/>
          <w:color w:val="000000"/>
          <w:sz w:val="20"/>
        </w:rPr>
        <w:t>Interim condensed consolidated statement of operations</w:t>
      </w:r>
    </w:p>
    <w:p>
      <w:pPr>
        <w:pStyle w:val="TextBody"/>
        <w:bidi w:val="0"/>
        <w:jc w:val="both"/>
        <w:rPr/>
      </w:pPr>
      <w:r>
        <w:rPr/>
        <w:t> </w:t>
      </w:r>
    </w:p>
    <w:tbl>
      <w:tblPr>
        <w:tblW w:w="9151" w:type="dxa"/>
        <w:jc w:val="left"/>
        <w:tblInd w:w="0" w:type="dxa"/>
        <w:tblLayout w:type="fixed"/>
        <w:tblCellMar>
          <w:top w:w="28" w:type="dxa"/>
          <w:left w:w="28" w:type="dxa"/>
          <w:bottom w:w="28" w:type="dxa"/>
          <w:right w:w="28" w:type="dxa"/>
        </w:tblCellMar>
      </w:tblPr>
      <w:tblGrid>
        <w:gridCol w:w="5311"/>
        <w:gridCol w:w="146"/>
        <w:gridCol w:w="451"/>
        <w:gridCol w:w="146"/>
        <w:gridCol w:w="146"/>
        <w:gridCol w:w="1141"/>
        <w:gridCol w:w="166"/>
        <w:gridCol w:w="146"/>
        <w:gridCol w:w="146"/>
        <w:gridCol w:w="1141"/>
        <w:gridCol w:w="2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 except share and per share and ADS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Loss per ADS, attributable to shareholder of the parent </w:t>
              <w:br/>
              <w:t>(1 ADS representing 20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598,559,840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595,060,257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999,176,184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595,060,257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notes are an integral part of these interim condensed consolidated financial statements.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statement_of_comprehensive_loss"/>
      <w:bookmarkEnd w:id="4"/>
      <w:r>
        <w:rPr>
          <w:rFonts w:ascii="Times New Roman" w:hAnsi="Times New Roman"/>
          <w:b/>
          <w:color w:val="000000"/>
          <w:sz w:val="20"/>
        </w:rPr>
        <w:t>Interim condensed consolidated statement of comprehensive income/(loss)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21"/>
        <w:gridCol w:w="146"/>
        <w:gridCol w:w="163"/>
        <w:gridCol w:w="825"/>
        <w:gridCol w:w="185"/>
        <w:gridCol w:w="163"/>
        <w:gridCol w:w="163"/>
        <w:gridCol w:w="825"/>
        <w:gridCol w:w="214"/>
      </w:tblGrid>
      <w:tr>
        <w:trPr/>
        <w:tc>
          <w:tcPr>
            <w:tcW w:w="7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(45,844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may be subsequently reclassified to the consolidated statement of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from translation of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24,697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12,166</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(65,076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5" w:name="statement_of_financial_position"/>
      <w:bookmarkEnd w:id="5"/>
      <w:r>
        <w:rPr>
          <w:rFonts w:ascii="Times New Roman" w:hAnsi="Times New Roman"/>
          <w:b/>
          <w:color w:val="000000"/>
          <w:sz w:val="20"/>
        </w:rPr>
        <w:t>Interim condensed consolidated statement of financial position</w:t>
      </w:r>
    </w:p>
    <w:p>
      <w:pPr>
        <w:pStyle w:val="TextBody"/>
        <w:bidi w:val="0"/>
        <w:jc w:val="left"/>
        <w:rPr/>
      </w:pPr>
      <w:r>
        <w:rPr/>
        <w:t> </w:t>
      </w:r>
    </w:p>
    <w:tbl>
      <w:tblPr>
        <w:tblW w:w="8347" w:type="dxa"/>
        <w:jc w:val="left"/>
        <w:tblInd w:w="0" w:type="dxa"/>
        <w:tblLayout w:type="fixed"/>
        <w:tblCellMar>
          <w:top w:w="28" w:type="dxa"/>
          <w:left w:w="28" w:type="dxa"/>
          <w:bottom w:w="28" w:type="dxa"/>
          <w:right w:w="28" w:type="dxa"/>
        </w:tblCellMar>
      </w:tblPr>
      <w:tblGrid>
        <w:gridCol w:w="4201"/>
        <w:gridCol w:w="146"/>
        <w:gridCol w:w="571"/>
        <w:gridCol w:w="146"/>
        <w:gridCol w:w="161"/>
        <w:gridCol w:w="1099"/>
        <w:gridCol w:w="166"/>
        <w:gridCol w:w="146"/>
        <w:gridCol w:w="192"/>
        <w:gridCol w:w="1308"/>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504,854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803,980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162,797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535,060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697,857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803,980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6" w:name="statement_of_changes_in_equity"/>
      <w:bookmarkEnd w:id="6"/>
      <w:r>
        <w:rPr>
          <w:rFonts w:ascii="Times New Roman" w:hAnsi="Times New Roman"/>
          <w:b/>
          <w:color w:val="000000"/>
          <w:sz w:val="20"/>
        </w:rPr>
        <w:t>Interim condensed consolidated statement of changes in equity</w:t>
      </w:r>
    </w:p>
    <w:p>
      <w:pPr>
        <w:pStyle w:val="TextBody"/>
        <w:bidi w:val="0"/>
        <w:jc w:val="both"/>
        <w:rPr/>
      </w:pPr>
      <w:r>
        <w:rPr/>
        <w:t> </w:t>
      </w:r>
    </w:p>
    <w:tbl>
      <w:tblPr>
        <w:tblW w:w="10474" w:type="dxa"/>
        <w:jc w:val="left"/>
        <w:tblInd w:w="0" w:type="dxa"/>
        <w:tblLayout w:type="fixed"/>
        <w:tblCellMar>
          <w:top w:w="28" w:type="dxa"/>
          <w:left w:w="28" w:type="dxa"/>
          <w:bottom w:w="28" w:type="dxa"/>
          <w:right w:w="28" w:type="dxa"/>
        </w:tblCellMar>
      </w:tblPr>
      <w:tblGrid>
        <w:gridCol w:w="1396"/>
        <w:gridCol w:w="146"/>
        <w:gridCol w:w="451"/>
        <w:gridCol w:w="146"/>
        <w:gridCol w:w="601"/>
        <w:gridCol w:w="146"/>
        <w:gridCol w:w="766"/>
        <w:gridCol w:w="146"/>
        <w:gridCol w:w="946"/>
        <w:gridCol w:w="146"/>
        <w:gridCol w:w="841"/>
        <w:gridCol w:w="146"/>
        <w:gridCol w:w="1051"/>
        <w:gridCol w:w="146"/>
        <w:gridCol w:w="1021"/>
        <w:gridCol w:w="146"/>
        <w:gridCol w:w="1261"/>
        <w:gridCol w:w="146"/>
        <w:gridCol w:w="82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contributed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shareholders of the parent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106,123</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12,166</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121,881</w:t>
            </w:r>
          </w:p>
        </w:tc>
      </w:tr>
    </w:tbl>
    <w:p>
      <w:pPr>
        <w:pStyle w:val="TextBody"/>
        <w:bidi w:val="0"/>
        <w:spacing w:before="240" w:after="283"/>
        <w:jc w:val="both"/>
        <w:rPr/>
      </w:pPr>
      <w:r>
        <w:rPr/>
        <w:t> </w:t>
      </w:r>
    </w:p>
    <w:tbl>
      <w:tblPr>
        <w:tblW w:w="10474" w:type="dxa"/>
        <w:jc w:val="left"/>
        <w:tblInd w:w="0" w:type="dxa"/>
        <w:tblLayout w:type="fixed"/>
        <w:tblCellMar>
          <w:top w:w="28" w:type="dxa"/>
          <w:left w:w="28" w:type="dxa"/>
          <w:bottom w:w="28" w:type="dxa"/>
          <w:right w:w="28" w:type="dxa"/>
        </w:tblCellMar>
      </w:tblPr>
      <w:tblGrid>
        <w:gridCol w:w="1396"/>
        <w:gridCol w:w="146"/>
        <w:gridCol w:w="451"/>
        <w:gridCol w:w="146"/>
        <w:gridCol w:w="601"/>
        <w:gridCol w:w="146"/>
        <w:gridCol w:w="766"/>
        <w:gridCol w:w="146"/>
        <w:gridCol w:w="946"/>
        <w:gridCol w:w="146"/>
        <w:gridCol w:w="841"/>
        <w:gridCol w:w="146"/>
        <w:gridCol w:w="1051"/>
        <w:gridCol w:w="146"/>
        <w:gridCol w:w="1021"/>
        <w:gridCol w:w="146"/>
        <w:gridCol w:w="1261"/>
        <w:gridCol w:w="146"/>
        <w:gridCol w:w="82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contributed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shareholders of the parent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335,781</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(45,844)</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(19,232)</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(65,076)</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273,320</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statement_of_cash_flows"/>
      <w:bookmarkEnd w:id="7"/>
      <w:r>
        <w:rPr>
          <w:rFonts w:ascii="Times New Roman" w:hAnsi="Times New Roman"/>
          <w:b/>
          <w:color w:val="000000"/>
          <w:sz w:val="20"/>
        </w:rPr>
        <w:t>Interim condensed consolidated statement of cash flows</w:t>
      </w:r>
    </w:p>
    <w:tbl>
      <w:tblPr>
        <w:tblW w:w="10205" w:type="dxa"/>
        <w:jc w:val="left"/>
        <w:tblInd w:w="0" w:type="dxa"/>
        <w:tblLayout w:type="fixed"/>
        <w:tblCellMar>
          <w:top w:w="28" w:type="dxa"/>
          <w:left w:w="28" w:type="dxa"/>
          <w:bottom w:w="28" w:type="dxa"/>
          <w:right w:w="28" w:type="dxa"/>
        </w:tblCellMar>
      </w:tblPr>
      <w:tblGrid>
        <w:gridCol w:w="6452"/>
        <w:gridCol w:w="146"/>
        <w:gridCol w:w="721"/>
        <w:gridCol w:w="146"/>
        <w:gridCol w:w="160"/>
        <w:gridCol w:w="808"/>
        <w:gridCol w:w="182"/>
        <w:gridCol w:w="160"/>
        <w:gridCol w:w="160"/>
        <w:gridCol w:w="857"/>
        <w:gridCol w:w="413"/>
      </w:tblGrid>
      <w:tr>
        <w:trPr/>
        <w:tc>
          <w:tcPr>
            <w:tcW w:w="6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Depreciation of property, plant and equipment and right-of-use assets and</w:t>
              <w:br/>
              <w:t>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Write-downs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loss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Movements in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reversal related to discontinued construction of production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Decrease in trade receivables, other current receivables,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Decrease in trade payables, other current liabilities,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(13,558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(39,078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loan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(8,726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(25,271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74,428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209,025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notes_to_interim_condensed_consolidated_"/>
      <w:bookmarkEnd w:id="8"/>
      <w:r>
        <w:rPr>
          <w:rFonts w:ascii="Times New Roman" w:hAnsi="Times New Roman"/>
          <w:b/>
          <w:color w:val="000000"/>
          <w:sz w:val="20"/>
        </w:rPr>
        <w:t>Notes to the interim condensed consolidated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(unaudited)</w:t>
      </w:r>
    </w:p>
    <w:p>
      <w:pPr>
        <w:pStyle w:val="TextBody"/>
        <w:bidi w:val="0"/>
        <w:jc w:val="left"/>
        <w:rPr>
          <w:rFonts w:ascii="Times New Roman" w:hAnsi="Times New Roman"/>
          <w:i/>
          <w:color w:val="000000"/>
          <w:sz w:val="20"/>
        </w:rPr>
      </w:pPr>
      <w:r>
        <w:rPr>
          <w:rFonts w:ascii="Times New Roman" w:hAnsi="Times New Roman"/>
          <w:i/>
          <w:color w:val="000000"/>
          <w:sz w:val="20"/>
        </w:rPr>
        <w:t>(in thousands of U.S. dollars unless otherwise stated)</w:t>
      </w:r>
    </w:p>
    <w:p>
      <w:pPr>
        <w:pStyle w:val="Heading1"/>
        <w:bidi w:val="0"/>
        <w:spacing w:before="320" w:after="283"/>
        <w:jc w:val="left"/>
        <w:rPr>
          <w:rFonts w:ascii="Times New Roman" w:hAnsi="Times New Roman"/>
          <w:b/>
          <w:color w:val="000000"/>
          <w:sz w:val="20"/>
        </w:rPr>
      </w:pPr>
      <w:r>
        <w:rPr>
          <w:rFonts w:ascii="Times New Roman" w:hAnsi="Times New Roman"/>
          <w:b/>
          <w:color w:val="000000"/>
          <w:sz w:val="20"/>
        </w:rPr>
        <w:t>Note 1. 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Group AB (the “Company” or the “parent”) is a public limited company incorporated and domiciled in Sweden. The Company’s registered office is located at Ångfärjekajen 8, Malmö, Sweden.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Group AB and its subsidiaries (together, the “Group”) manufacture, distribute and sell oat-based products.</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2. Summary of accounting policies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interim condensed consolidated financial statements of Oatly Group AB for the three months ended March 31, 2025 and 2024 have been prepared in accordance with IAS 34 </w:t>
      </w:r>
      <w:r>
        <w:rPr>
          <w:rFonts w:ascii="Times New Roman" w:hAnsi="Times New Roman"/>
          <w:i/>
          <w:color w:val="000000"/>
          <w:sz w:val="20"/>
        </w:rPr>
        <w:t>Interim Financial Reporting</w:t>
      </w:r>
      <w:r>
        <w:rPr>
          <w:rFonts w:ascii="Times New Roman" w:hAnsi="Times New Roman"/>
          <w:color w:val="000000"/>
          <w:sz w:val="20"/>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2024,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interim condensed consolidated financial statements, including references to price per ADS and a specific number of ADSs, restricted stock units (“RSUs”) or stock options, reflect an ADS to ordinary share ratio of 1:20 (unless the context clearly indicates otherwise).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New and amended standards and interpretations issued but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IFRS® Accounting Standards as issued by the International Accounting Standards Board (“IFRS Accounting standards”) or IFRIC® Interpretations that are expected to have a material impact on the Group in the current or future reporting periods or on foreseeable future transactions, other than those included in the 2024 Annual Report.</w:t>
      </w:r>
    </w:p>
    <w:p>
      <w:pPr>
        <w:pStyle w:val="Heading1"/>
        <w:bidi w:val="0"/>
        <w:spacing w:before="320" w:after="120"/>
        <w:jc w:val="left"/>
        <w:rPr>
          <w:rFonts w:ascii="Times New Roman" w:hAnsi="Times New Roman"/>
          <w:b/>
          <w:color w:val="000000"/>
          <w:sz w:val="20"/>
        </w:rPr>
      </w:pPr>
      <w:r>
        <w:rPr>
          <w:rFonts w:ascii="Times New Roman" w:hAnsi="Times New Roman"/>
          <w:b/>
          <w:color w:val="000000"/>
          <w:sz w:val="20"/>
        </w:rPr>
        <w:t>Note 3. Significant accounting judgments, estimates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Estimates and judgments are continually evaluated and are based on historical experience and other factors, including expectation of future events. </w:t>
      </w:r>
    </w:p>
    <w:p>
      <w:pPr>
        <w:pStyle w:val="Heading1"/>
        <w:bidi w:val="0"/>
        <w:spacing w:before="320" w:after="200"/>
        <w:jc w:val="both"/>
        <w:rPr>
          <w:rFonts w:ascii="Times New Roman" w:hAnsi="Times New Roman"/>
          <w:b/>
          <w:color w:val="000000"/>
          <w:sz w:val="20"/>
        </w:rPr>
      </w:pPr>
      <w:r>
        <w:rPr>
          <w:rFonts w:ascii="Times New Roman" w:hAnsi="Times New Roman"/>
          <w:b/>
          <w:color w:val="000000"/>
          <w:sz w:val="20"/>
        </w:rPr>
        <w:t>Note 4. Seasonality</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5. Segment information</w:t>
      </w:r>
    </w:p>
    <w:p>
      <w:pPr>
        <w:pStyle w:val="Heading2"/>
        <w:bidi w:val="0"/>
        <w:spacing w:before="200" w:after="240"/>
        <w:jc w:val="left"/>
        <w:rPr>
          <w:rFonts w:ascii="Times New Roman" w:hAnsi="Times New Roman"/>
          <w:b/>
          <w:i/>
          <w:color w:val="000000"/>
          <w:sz w:val="20"/>
        </w:rPr>
      </w:pPr>
      <w:r>
        <w:rPr>
          <w:rFonts w:ascii="Times New Roman" w:hAnsi="Times New Roman"/>
          <w:b/>
          <w:i/>
          <w:color w:val="000000"/>
          <w:sz w:val="20"/>
        </w:rPr>
        <w:t>5.1 Revenue, Adjusted EBITDA and EBITDA</w:t>
      </w:r>
    </w:p>
    <w:tbl>
      <w:tblPr>
        <w:tblW w:w="10205" w:type="dxa"/>
        <w:jc w:val="left"/>
        <w:tblInd w:w="0" w:type="dxa"/>
        <w:tblLayout w:type="fixed"/>
        <w:tblCellMar>
          <w:top w:w="28" w:type="dxa"/>
          <w:left w:w="28" w:type="dxa"/>
          <w:bottom w:w="28" w:type="dxa"/>
          <w:right w:w="28" w:type="dxa"/>
        </w:tblCellMar>
      </w:tblPr>
      <w:tblGrid>
        <w:gridCol w:w="2185"/>
        <w:gridCol w:w="146"/>
        <w:gridCol w:w="218"/>
        <w:gridCol w:w="1172"/>
        <w:gridCol w:w="166"/>
        <w:gridCol w:w="146"/>
        <w:gridCol w:w="163"/>
        <w:gridCol w:w="755"/>
        <w:gridCol w:w="166"/>
        <w:gridCol w:w="146"/>
        <w:gridCol w:w="161"/>
        <w:gridCol w:w="749"/>
        <w:gridCol w:w="166"/>
        <w:gridCol w:w="146"/>
        <w:gridCol w:w="149"/>
        <w:gridCol w:w="752"/>
        <w:gridCol w:w="166"/>
        <w:gridCol w:w="146"/>
        <w:gridCol w:w="197"/>
        <w:gridCol w:w="854"/>
        <w:gridCol w:w="166"/>
        <w:gridCol w:w="146"/>
        <w:gridCol w:w="146"/>
        <w:gridCol w:w="781"/>
        <w:gridCol w:w="217"/>
      </w:tblGrid>
      <w:tr>
        <w:trPr/>
        <w:tc>
          <w:tcPr>
            <w:tcW w:w="2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 Adjusted EBITDA and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199,155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Discontinued construction of production facilities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(45,790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color w:val="000000"/>
          <w:sz w:val="18"/>
        </w:rPr>
      </w:pPr>
      <w:r>
        <w:rPr>
          <w:rFonts w:ascii="Times New Roman" w:hAnsi="Times New Roman"/>
          <w:color w:val="000000"/>
          <w:sz w:val="18"/>
        </w:rPr>
        <w:t>* Corporate consists of general costs not allocated to the segments.</w:t>
      </w:r>
    </w:p>
    <w:p>
      <w:pPr>
        <w:pStyle w:val="TextBody"/>
        <w:bidi w:val="0"/>
        <w:jc w:val="left"/>
        <w:rPr>
          <w:rFonts w:ascii="Times New Roman" w:hAnsi="Times New Roman"/>
          <w:color w:val="000000"/>
          <w:sz w:val="18"/>
        </w:rPr>
      </w:pPr>
      <w:r>
        <w:rPr>
          <w:rFonts w:ascii="Times New Roman" w:hAnsi="Times New Roman"/>
          <w:color w:val="000000"/>
          <w:sz w:val="18"/>
        </w:rPr>
        <w:t>** Eliminations in 2025 and 2024 refer to intersegment revenue for sales of products from Europe &amp; International to Greater China.</w:t>
      </w:r>
    </w:p>
    <w:p>
      <w:pPr>
        <w:pStyle w:val="TextBody"/>
        <w:bidi w:val="0"/>
        <w:jc w:val="left"/>
        <w:rPr>
          <w:rFonts w:ascii="Times New Roman" w:hAnsi="Times New Roman"/>
          <w:color w:val="000000"/>
          <w:sz w:val="18"/>
        </w:rPr>
      </w:pPr>
      <w:r>
        <w:rPr>
          <w:rFonts w:ascii="Times New Roman" w:hAnsi="Times New Roman"/>
          <w:color w:val="000000"/>
          <w:sz w:val="18"/>
        </w:rPr>
        <w:t>(1) Relates primarily to severance costs as the Group adjusts its organizational structure.</w:t>
      </w:r>
    </w:p>
    <w:p>
      <w:pPr>
        <w:pStyle w:val="TextBody"/>
        <w:bidi w:val="0"/>
        <w:jc w:val="left"/>
        <w:rPr>
          <w:rFonts w:ascii="Times New Roman" w:hAnsi="Times New Roman"/>
          <w:color w:val="000000"/>
          <w:sz w:val="18"/>
        </w:rPr>
      </w:pPr>
      <w:r>
        <w:rPr>
          <w:rFonts w:ascii="Times New Roman" w:hAnsi="Times New Roman"/>
          <w:color w:val="000000"/>
          <w:sz w:val="18"/>
        </w:rPr>
        <w:t>(2) Relates to reversal of previously recognized exit costs related to closure of the Group’s production facility in Singapore.</w:t>
      </w:r>
    </w:p>
    <w:p>
      <w:pPr>
        <w:pStyle w:val="TextBody"/>
        <w:bidi w:val="0"/>
        <w:jc w:val="left"/>
        <w:rPr>
          <w:rFonts w:ascii="Times New Roman" w:hAnsi="Times New Roman"/>
          <w:color w:val="000000"/>
          <w:sz w:val="18"/>
        </w:rPr>
      </w:pPr>
      <w:r>
        <w:rPr>
          <w:rFonts w:ascii="Times New Roman" w:hAnsi="Times New Roman"/>
          <w:color w:val="000000"/>
          <w:sz w:val="18"/>
        </w:rPr>
        <w:t>(3) Relates to reversal of previously recognized non-cash impairments related to discontinued construction of the Group’s production facility in Dallas-Fort Worth, Texas.</w:t>
      </w:r>
    </w:p>
    <w:p>
      <w:pPr>
        <w:pStyle w:val="TextBody"/>
        <w:bidi w:val="0"/>
        <w:jc w:val="left"/>
        <w:rPr/>
      </w:pPr>
      <w:r>
        <w:rPr/>
        <w:t> </w:t>
      </w:r>
    </w:p>
    <w:p>
      <w:pPr>
        <w:pStyle w:val="TextBody"/>
        <w:bidi w:val="0"/>
        <w:spacing w:before="40" w:after="240"/>
        <w:jc w:val="left"/>
        <w:rPr>
          <w:rFonts w:ascii="Times New Roman" w:hAnsi="Times New Roman"/>
          <w:sz w:val="20"/>
        </w:rPr>
      </w:pPr>
      <w:r>
        <w:rPr>
          <w:rFonts w:ascii="Times New Roman" w:hAnsi="Times New Roman"/>
          <w:b/>
          <w:color w:val="000000"/>
          <w:sz w:val="20"/>
        </w:rPr>
        <w:t>5.2</w:t>
      </w:r>
      <w:r>
        <w:rPr>
          <w:rFonts w:ascii="Times New Roman" w:hAnsi="Times New Roman"/>
          <w:color w:val="000000"/>
          <w:sz w:val="20"/>
        </w:rPr>
        <w:t xml:space="preserve"> </w:t>
      </w:r>
      <w:r>
        <w:rPr>
          <w:rFonts w:ascii="Times New Roman" w:hAnsi="Times New Roman"/>
          <w:b/>
          <w:i/>
          <w:color w:val="000000"/>
          <w:sz w:val="20"/>
        </w:rPr>
        <w:t>Non-current assets by country</w:t>
      </w:r>
    </w:p>
    <w:p>
      <w:pPr>
        <w:pStyle w:val="TextBody"/>
        <w:bidi w:val="0"/>
        <w:jc w:val="both"/>
        <w:rPr>
          <w:rFonts w:ascii="Times New Roman" w:hAnsi="Times New Roman"/>
          <w:color w:val="000000"/>
          <w:sz w:val="20"/>
        </w:rPr>
      </w:pPr>
      <w:r>
        <w:rPr>
          <w:rFonts w:ascii="Times New Roman" w:hAnsi="Times New Roman"/>
          <w:color w:val="000000"/>
          <w:sz w:val="20"/>
        </w:rPr>
        <w:t>Non-current assets for this purpose consist of property, plant and equipment and right-of-use assets.</w:t>
      </w:r>
    </w:p>
    <w:tbl>
      <w:tblPr>
        <w:tblW w:w="4845" w:type="dxa"/>
        <w:jc w:val="left"/>
        <w:tblInd w:w="0" w:type="dxa"/>
        <w:tblLayout w:type="fixed"/>
        <w:tblCellMar>
          <w:top w:w="28" w:type="dxa"/>
          <w:left w:w="28" w:type="dxa"/>
          <w:bottom w:w="28" w:type="dxa"/>
          <w:right w:w="28" w:type="dxa"/>
        </w:tblCellMar>
      </w:tblPr>
      <w:tblGrid>
        <w:gridCol w:w="1456"/>
        <w:gridCol w:w="146"/>
        <w:gridCol w:w="198"/>
        <w:gridCol w:w="1062"/>
        <w:gridCol w:w="146"/>
        <w:gridCol w:w="146"/>
        <w:gridCol w:w="236"/>
        <w:gridCol w:w="1264"/>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339,754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2"/>
        <w:bidi w:val="0"/>
        <w:spacing w:before="320" w:after="240"/>
        <w:jc w:val="left"/>
        <w:rPr>
          <w:rFonts w:ascii="Times New Roman" w:hAnsi="Times New Roman"/>
          <w:b/>
          <w:i/>
          <w:color w:val="000000"/>
          <w:sz w:val="20"/>
        </w:rPr>
      </w:pPr>
      <w:r>
        <w:rPr>
          <w:rFonts w:ascii="Times New Roman" w:hAnsi="Times New Roman"/>
          <w:b/>
          <w:i/>
          <w:color w:val="000000"/>
          <w:sz w:val="20"/>
        </w:rPr>
        <w:t>5.3 Revenue from external customers, broken down by location of the customers</w:t>
      </w:r>
    </w:p>
    <w:p>
      <w:pPr>
        <w:pStyle w:val="TextBody"/>
        <w:bidi w:val="0"/>
        <w:jc w:val="both"/>
        <w:rPr>
          <w:rFonts w:ascii="Times New Roman" w:hAnsi="Times New Roman"/>
          <w:color w:val="000000"/>
          <w:sz w:val="20"/>
        </w:rPr>
      </w:pPr>
      <w:r>
        <w:rPr>
          <w:rFonts w:ascii="Times New Roman" w:hAnsi="Times New Roman"/>
          <w:color w:val="000000"/>
          <w:sz w:val="20"/>
        </w:rPr>
        <w:t>The Group is domiciled in Sweden. The amount of its revenue from external customers, broken down by location of the customers, is shown in the table below.</w:t>
      </w:r>
    </w:p>
    <w:p>
      <w:pPr>
        <w:pStyle w:val="TextBody"/>
        <w:bidi w:val="0"/>
        <w:jc w:val="both"/>
        <w:rPr/>
      </w:pPr>
      <w:r>
        <w:rPr/>
        <w:t> </w:t>
      </w:r>
    </w:p>
    <w:tbl>
      <w:tblPr>
        <w:tblW w:w="4147" w:type="dxa"/>
        <w:jc w:val="left"/>
        <w:tblInd w:w="0" w:type="dxa"/>
        <w:tblLayout w:type="fixed"/>
        <w:tblCellMar>
          <w:top w:w="28" w:type="dxa"/>
          <w:left w:w="28" w:type="dxa"/>
          <w:bottom w:w="28" w:type="dxa"/>
          <w:right w:w="28" w:type="dxa"/>
        </w:tblCellMar>
      </w:tblPr>
      <w:tblGrid>
        <w:gridCol w:w="1456"/>
        <w:gridCol w:w="146"/>
        <w:gridCol w:w="160"/>
        <w:gridCol w:w="857"/>
        <w:gridCol w:w="160"/>
        <w:gridCol w:w="160"/>
        <w:gridCol w:w="160"/>
        <w:gridCol w:w="857"/>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199,155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countries that individually make up greater than 10% of total revenue included in “Other”.</w:t>
      </w:r>
    </w:p>
    <w:p>
      <w:pPr>
        <w:pStyle w:val="Heading2"/>
        <w:bidi w:val="0"/>
        <w:spacing w:before="320" w:after="240"/>
        <w:jc w:val="left"/>
        <w:rPr>
          <w:rFonts w:ascii="Times New Roman" w:hAnsi="Times New Roman"/>
          <w:sz w:val="20"/>
        </w:rPr>
      </w:pPr>
      <w:r>
        <w:rPr>
          <w:rFonts w:ascii="Times New Roman" w:hAnsi="Times New Roman"/>
          <w:b/>
          <w:i/>
          <w:color w:val="000000"/>
          <w:sz w:val="20"/>
        </w:rPr>
        <w:t>5.4 Revenue from external customers, broken down by channel and segment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Revenue from external customers, broken down by channel and segment, is shown in the table below.</w:t>
      </w:r>
    </w:p>
    <w:p>
      <w:pPr>
        <w:pStyle w:val="TextBody"/>
        <w:bidi w:val="0"/>
        <w:jc w:val="both"/>
        <w:rPr/>
      </w:pPr>
      <w:r>
        <w:rPr/>
        <w:t> </w:t>
      </w:r>
    </w:p>
    <w:tbl>
      <w:tblPr>
        <w:tblW w:w="9101" w:type="dxa"/>
        <w:jc w:val="left"/>
        <w:tblInd w:w="0" w:type="dxa"/>
        <w:tblLayout w:type="fixed"/>
        <w:tblCellMar>
          <w:top w:w="28" w:type="dxa"/>
          <w:left w:w="28" w:type="dxa"/>
          <w:bottom w:w="28" w:type="dxa"/>
          <w:right w:w="28" w:type="dxa"/>
        </w:tblCellMar>
      </w:tblPr>
      <w:tblGrid>
        <w:gridCol w:w="2776"/>
        <w:gridCol w:w="146"/>
        <w:gridCol w:w="285"/>
        <w:gridCol w:w="1530"/>
        <w:gridCol w:w="146"/>
        <w:gridCol w:w="146"/>
        <w:gridCol w:w="213"/>
        <w:gridCol w:w="987"/>
        <w:gridCol w:w="146"/>
        <w:gridCol w:w="146"/>
        <w:gridCol w:w="207"/>
        <w:gridCol w:w="963"/>
        <w:gridCol w:w="146"/>
        <w:gridCol w:w="146"/>
        <w:gridCol w:w="146"/>
        <w:gridCol w:w="78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199,155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is primarily related to e-commerce, both direct-to-consumer and through third-party platforms.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of approximately 8% and 11% in the three months ended March 31, 2025 and 2024, respectively, were derived from a single external customer in the foodservice channel. The revenues were attributed to the North America and Greater China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Oatmilk accounted for 92% and 89% of the Group’s revenue in the three months ended March 31, 2025 and 2024, respectively.</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6. Share-based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RSUs. To secure the future delivery of ordinary shares and ADSs under the 2021 Plan, the Company’s shareholders resolved to issue 69,496,515 warrants. The right to subscribe for the warrants vests only in the Company. See Note 18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2025, the Company, under the 2021 Plan, issued no new RSUs. The RSUs are accounted for as equity-settled share-based compensation transactions. The RSUs are measured based on the fair market value of the underlying ADSs on the date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 No RSUs vested during the three months ended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in the Group’s RSUs outstanding and related information is as follows:</w:t>
      </w:r>
    </w:p>
    <w:p>
      <w:pPr>
        <w:pStyle w:val="TextBody"/>
        <w:bidi w:val="0"/>
        <w:jc w:val="left"/>
        <w:rPr/>
      </w:pPr>
      <w:r>
        <w:rPr/>
        <w:t> </w:t>
      </w:r>
    </w:p>
    <w:tbl>
      <w:tblPr>
        <w:tblW w:w="7520" w:type="dxa"/>
        <w:jc w:val="left"/>
        <w:tblInd w:w="0" w:type="dxa"/>
        <w:tblLayout w:type="fixed"/>
        <w:tblCellMar>
          <w:top w:w="28" w:type="dxa"/>
          <w:left w:w="28" w:type="dxa"/>
          <w:bottom w:w="28" w:type="dxa"/>
          <w:right w:w="28" w:type="dxa"/>
        </w:tblCellMar>
      </w:tblPr>
      <w:tblGrid>
        <w:gridCol w:w="2311"/>
        <w:gridCol w:w="146"/>
        <w:gridCol w:w="208"/>
        <w:gridCol w:w="1112"/>
        <w:gridCol w:w="166"/>
        <w:gridCol w:w="146"/>
        <w:gridCol w:w="659"/>
        <w:gridCol w:w="25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806,661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2025, the Company, under the 2021 Plan, issued no new stock options.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 No new stock options vested during the three months ended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in the Group’s stock options outstanding and related information is as follows: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3736"/>
        <w:gridCol w:w="146"/>
        <w:gridCol w:w="295"/>
        <w:gridCol w:w="1580"/>
        <w:gridCol w:w="166"/>
        <w:gridCol w:w="146"/>
        <w:gridCol w:w="549"/>
        <w:gridCol w:w="215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RSU or stock option entitles the holder to acquire, as determined by the Board of Directors, either twenty ordinary shares, twenty warrants or one ADS in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Share-based compensation expense was $3.6 million for the three months ended March 31, 2025 (2024: $2.6 million).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7. Finance income and expenses</w:t>
      </w:r>
    </w:p>
    <w:tbl>
      <w:tblPr>
        <w:tblW w:w="6986" w:type="dxa"/>
        <w:jc w:val="left"/>
        <w:tblInd w:w="0" w:type="dxa"/>
        <w:tblLayout w:type="fixed"/>
        <w:tblCellMar>
          <w:top w:w="28" w:type="dxa"/>
          <w:left w:w="28" w:type="dxa"/>
          <w:bottom w:w="28" w:type="dxa"/>
          <w:right w:w="28" w:type="dxa"/>
        </w:tblCellMar>
      </w:tblPr>
      <w:tblGrid>
        <w:gridCol w:w="4276"/>
        <w:gridCol w:w="146"/>
        <w:gridCol w:w="170"/>
        <w:gridCol w:w="790"/>
        <w:gridCol w:w="193"/>
        <w:gridCol w:w="170"/>
        <w:gridCol w:w="170"/>
        <w:gridCol w:w="860"/>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Heading1"/>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Interest expense on the Convertible Notes is the nominal coupon rate of 9.25%. Fair value changes on Convertible Notes contains the fair value changes less the coupon rate and changes in credit risk. See Note 13 </w:t>
      </w:r>
      <w:r>
        <w:rPr>
          <w:rFonts w:ascii="Times New Roman" w:hAnsi="Times New Roman"/>
          <w:i/>
          <w:color w:val="000000"/>
          <w:sz w:val="20"/>
        </w:rPr>
        <w:t>Fair value of financial instruments</w:t>
      </w:r>
      <w:r>
        <w:rPr>
          <w:rFonts w:ascii="Times New Roman" w:hAnsi="Times New Roman"/>
          <w:color w:val="000000"/>
          <w:sz w:val="20"/>
        </w:rPr>
        <w:t xml:space="preserve"> and Note 21 </w:t>
      </w:r>
      <w:r>
        <w:rPr>
          <w:rFonts w:ascii="Times New Roman" w:hAnsi="Times New Roman"/>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financial expenses for the three months ended March 31, 2025 and three months ended March 31, 2024 mainly consists of $1.0 million and $5.0 million, respectively, in transaction costs relating to amendments in the Group’s financing arrangements.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19 </w:t>
      </w:r>
      <w:r>
        <w:rPr>
          <w:rFonts w:ascii="Times New Roman" w:hAnsi="Times New Roman"/>
          <w:i/>
          <w:color w:val="000000"/>
          <w:sz w:val="20"/>
        </w:rPr>
        <w:t>Liabilities to credit institutions</w:t>
      </w:r>
      <w:r>
        <w:rPr>
          <w:rFonts w:ascii="Times New Roman" w:hAnsi="Times New Roman"/>
          <w:color w:val="000000"/>
          <w:sz w:val="20"/>
        </w:rPr>
        <w:t xml:space="preserve"> for further details on the Group’s credit facilities.</w:t>
      </w:r>
    </w:p>
    <w:p>
      <w:pPr>
        <w:pStyle w:val="TextBody"/>
        <w:bidi w:val="0"/>
        <w:spacing w:before="240" w:after="283"/>
        <w:jc w:val="both"/>
        <w:rPr/>
      </w:pPr>
      <w:r>
        <w:rPr/>
        <w:t> </w:t>
      </w:r>
    </w:p>
    <w:p>
      <w:pPr>
        <w:pStyle w:val="Heading1"/>
        <w:bidi w:val="0"/>
        <w:spacing w:before="120" w:after="283"/>
        <w:jc w:val="both"/>
        <w:rPr>
          <w:rFonts w:ascii="Times New Roman" w:hAnsi="Times New Roman"/>
          <w:b/>
          <w:color w:val="000000"/>
          <w:sz w:val="20"/>
        </w:rPr>
      </w:pPr>
      <w:r>
        <w:rPr>
          <w:rFonts w:ascii="Times New Roman" w:hAnsi="Times New Roman"/>
          <w:b/>
          <w:color w:val="000000"/>
          <w:sz w:val="20"/>
        </w:rPr>
        <w:t>Note 8. 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Total tax expense for the three months ended March 31, 2025 was $3.4 million. Total tax expense for the three months ended March 31, 2024 was $0.1 million. The effective tax rate for the three months ended March 31, 2025 was 36.5%. The main drivers of the effective tax rate relate to non-recognition of deferred tax assets on tax losses and tax effect relating to foreign exchange effects recognized in other comprehensive income. The effective tax rate for three months ended March 31, 2024 was 0.1%, with non-recognition of deferred tax assets on tax losses being the main driver of the effective tax rate.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Although no material exposure arising from Pillar Two has been identified to date, material Pillar Two impacts to the Group’s tax expense remain possible.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IASB amended IAS 12 Income Taxes to include a mandatory temporary exception from recognizing or disclosing deferred taxes relating to the Pillar Two legislation. The Group has applied this mandatory exception which did not have a material impact to the consolidated financial statements.</w:t>
      </w:r>
    </w:p>
    <w:p>
      <w:pPr>
        <w:pStyle w:val="TextBody"/>
        <w:bidi w:val="0"/>
        <w:spacing w:before="240" w:after="283"/>
        <w:jc w:val="both"/>
        <w:rPr/>
      </w:pPr>
      <w:r>
        <w:rPr/>
        <w:t> </w:t>
      </w:r>
    </w:p>
    <w:p>
      <w:pPr>
        <w:pStyle w:val="TextBody"/>
        <w:bidi w:val="0"/>
        <w:spacing w:before="240" w:after="283"/>
        <w:jc w:val="both"/>
        <w:rPr/>
      </w:pPr>
      <w:r>
        <w:rPr/>
        <w:t> </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9.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the intangible assets as at March 31, 2025 and December 31, 2024 is as follows: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tbl>
      <w:tblPr>
        <w:tblW w:w="9338" w:type="dxa"/>
        <w:jc w:val="left"/>
        <w:tblInd w:w="0" w:type="dxa"/>
        <w:tblLayout w:type="fixed"/>
        <w:tblCellMar>
          <w:top w:w="28" w:type="dxa"/>
          <w:left w:w="28" w:type="dxa"/>
          <w:bottom w:w="28" w:type="dxa"/>
          <w:right w:w="28" w:type="dxa"/>
        </w:tblCellMar>
      </w:tblPr>
      <w:tblGrid>
        <w:gridCol w:w="3121"/>
        <w:gridCol w:w="146"/>
        <w:gridCol w:w="146"/>
        <w:gridCol w:w="781"/>
        <w:gridCol w:w="146"/>
        <w:gridCol w:w="146"/>
        <w:gridCol w:w="154"/>
        <w:gridCol w:w="777"/>
        <w:gridCol w:w="166"/>
        <w:gridCol w:w="146"/>
        <w:gridCol w:w="155"/>
        <w:gridCol w:w="671"/>
        <w:gridCol w:w="166"/>
        <w:gridCol w:w="146"/>
        <w:gridCol w:w="207"/>
        <w:gridCol w:w="814"/>
        <w:gridCol w:w="166"/>
        <w:gridCol w:w="146"/>
        <w:gridCol w:w="146"/>
        <w:gridCol w:w="78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w:t>
              <w:b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intangible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Ongoing</w:t>
              <w:br/>
              <w:t>development</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144,297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for the three months ended March 31, 2025 was $1.0 million (2024: $1.0 million).</w:t>
      </w:r>
    </w:p>
    <w:p>
      <w:pPr>
        <w:pStyle w:val="Heading1"/>
        <w:bidi w:val="0"/>
        <w:spacing w:before="240" w:after="120"/>
        <w:jc w:val="left"/>
        <w:rPr>
          <w:rFonts w:ascii="Times New Roman" w:hAnsi="Times New Roman"/>
          <w:b/>
          <w:color w:val="000000"/>
          <w:sz w:val="20"/>
        </w:rPr>
      </w:pPr>
      <w:r>
        <w:rPr>
          <w:rFonts w:ascii="Times New Roman" w:hAnsi="Times New Roman"/>
          <w:b/>
          <w:color w:val="000000"/>
          <w:sz w:val="20"/>
        </w:rPr>
        <w:t>Note 10. Property, Plant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property, plant, and equipment as at March 31, 2025 and December 31, 2024 is as follows:</w:t>
      </w:r>
    </w:p>
    <w:tbl>
      <w:tblPr>
        <w:tblW w:w="9731"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841"/>
        <w:gridCol w:w="166"/>
        <w:gridCol w:w="146"/>
        <w:gridCol w:w="173"/>
        <w:gridCol w:w="878"/>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Construction</w:t>
              <w:br/>
              <w:t>in progress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449,572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(148,034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294,199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301,538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 Relates primarily to disposed assets due to the closure of the Group’s production facility in Singapore.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months ended March 31, 2025 was $7.4 million (2024: $8.7 million).</w:t>
      </w:r>
    </w:p>
    <w:p>
      <w:pPr>
        <w:pStyle w:val="Heading1"/>
        <w:bidi w:val="0"/>
        <w:spacing w:before="320" w:after="283"/>
        <w:jc w:val="both"/>
        <w:rPr>
          <w:rFonts w:ascii="Times New Roman" w:hAnsi="Times New Roman"/>
          <w:b/>
          <w:color w:val="000000"/>
          <w:sz w:val="20"/>
        </w:rPr>
      </w:pPr>
      <w:r>
        <w:rPr>
          <w:rFonts w:ascii="Times New Roman" w:hAnsi="Times New Roman"/>
          <w:b/>
          <w:color w:val="000000"/>
          <w:sz w:val="20"/>
        </w:rPr>
        <w:t>Note 11.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is the roll-forward of lease right-of-use assets:</w:t>
      </w:r>
    </w:p>
    <w:p>
      <w:pPr>
        <w:pStyle w:val="TextBody"/>
        <w:bidi w:val="0"/>
        <w:jc w:val="both"/>
        <w:rPr/>
      </w:pPr>
      <w:r>
        <w:rPr/>
        <w:t> </w:t>
      </w:r>
    </w:p>
    <w:tbl>
      <w:tblPr>
        <w:tblW w:w="6703" w:type="dxa"/>
        <w:jc w:val="left"/>
        <w:tblInd w:w="0" w:type="dxa"/>
        <w:tblLayout w:type="fixed"/>
        <w:tblCellMar>
          <w:top w:w="28" w:type="dxa"/>
          <w:left w:w="28" w:type="dxa"/>
          <w:bottom w:w="28" w:type="dxa"/>
          <w:right w:w="28" w:type="dxa"/>
        </w:tblCellMar>
      </w:tblPr>
      <w:tblGrid>
        <w:gridCol w:w="3076"/>
        <w:gridCol w:w="146"/>
        <w:gridCol w:w="146"/>
        <w:gridCol w:w="736"/>
        <w:gridCol w:w="166"/>
        <w:gridCol w:w="146"/>
        <w:gridCol w:w="146"/>
        <w:gridCol w:w="736"/>
        <w:gridCol w:w="166"/>
        <w:gridCol w:w="146"/>
        <w:gridCol w:w="146"/>
        <w:gridCol w:w="73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86,395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months ended March 31, 2025 was $2.7 million (2024: $3.3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is the maturity analysis of lease liabilities:</w:t>
      </w:r>
    </w:p>
    <w:p>
      <w:pPr>
        <w:pStyle w:val="TextBody"/>
        <w:bidi w:val="0"/>
        <w:jc w:val="both"/>
        <w:rPr/>
      </w:pPr>
      <w:r>
        <w:rPr/>
        <w:t> </w:t>
      </w:r>
    </w:p>
    <w:tbl>
      <w:tblPr>
        <w:tblW w:w="6373" w:type="dxa"/>
        <w:jc w:val="left"/>
        <w:tblInd w:w="0" w:type="dxa"/>
        <w:tblLayout w:type="fixed"/>
        <w:tblCellMar>
          <w:top w:w="28" w:type="dxa"/>
          <w:left w:w="28" w:type="dxa"/>
          <w:bottom w:w="28" w:type="dxa"/>
          <w:right w:w="28" w:type="dxa"/>
        </w:tblCellMar>
      </w:tblPr>
      <w:tblGrid>
        <w:gridCol w:w="4756"/>
        <w:gridCol w:w="146"/>
        <w:gridCol w:w="208"/>
        <w:gridCol w:w="1052"/>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3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3 months and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and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2 and 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discounting remaining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 included in the condensed consolidated</w:t>
              <w:br/>
              <w:t>statement of financial position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the following lease agreements, which had not commenced as of March 31, 2025, but to which the Group is committed: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lease agreement regarding production equipment in Ma’anshan, China, under which the Group’s obligations collectively amount to $3.5 million for a term of six years. </w:t>
      </w:r>
    </w:p>
    <w:p>
      <w:pPr>
        <w:pStyle w:val="Heading1"/>
        <w:bidi w:val="0"/>
        <w:spacing w:before="320" w:after="283"/>
        <w:jc w:val="both"/>
        <w:rPr>
          <w:rFonts w:ascii="Times New Roman" w:hAnsi="Times New Roman"/>
          <w:sz w:val="20"/>
        </w:rPr>
      </w:pPr>
      <w:r>
        <w:rPr>
          <w:rFonts w:ascii="Times New Roman" w:hAnsi="Times New Roman"/>
          <w:b/>
          <w:color w:val="000000"/>
          <w:sz w:val="20"/>
        </w:rPr>
        <w:t>Note 12. Other non-current receivables</w:t>
      </w:r>
      <w:r>
        <w:rPr>
          <w:rFonts w:ascii="Times New Roman" w:hAnsi="Times New Roman"/>
          <w:color w:val="000000"/>
          <w:sz w:val="20"/>
        </w:rPr>
        <w:t xml:space="preserve"> </w:t>
      </w:r>
    </w:p>
    <w:p>
      <w:pPr>
        <w:pStyle w:val="TextBody"/>
        <w:bidi w:val="0"/>
        <w:jc w:val="left"/>
        <w:rPr/>
      </w:pPr>
      <w:r>
        <w:rPr/>
        <w:t> </w:t>
      </w:r>
    </w:p>
    <w:tbl>
      <w:tblPr>
        <w:tblW w:w="5805" w:type="dxa"/>
        <w:jc w:val="left"/>
        <w:tblInd w:w="0" w:type="dxa"/>
        <w:tblLayout w:type="fixed"/>
        <w:tblCellMar>
          <w:top w:w="28" w:type="dxa"/>
          <w:left w:w="28" w:type="dxa"/>
          <w:bottom w:w="28" w:type="dxa"/>
          <w:right w:w="28" w:type="dxa"/>
        </w:tblCellMar>
      </w:tblPr>
      <w:tblGrid>
        <w:gridCol w:w="2416"/>
        <w:gridCol w:w="146"/>
        <w:gridCol w:w="223"/>
        <w:gridCol w:w="1037"/>
        <w:gridCol w:w="146"/>
        <w:gridCol w:w="146"/>
        <w:gridCol w:w="265"/>
        <w:gridCol w:w="1235"/>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Long-term prepaid expenses consist primarily of a credit toward future use of shared assets at the manufacturing facility in Ogden. </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The fair value of financial instruments traded in active markets (such as publicly traded derivatives and equity securities) is based on quoted market prices at the end of the reporting period. The quoted market price used for financial assets held by the Group is the current bid price. These instruments are included in Level 1.</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The fair value of financial instruments that are not traded in an active market (for example, over-the-counter derivatives) is determined using valuation techniques, which maximize the use of observable market data and rely as little as possible on entity-specific estimates. If all significant inputs required to fair value an instrument are observable, the instrument is included in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valuation techniques used in Level 2 to value financial instruments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foreign currency forwards, the present value of future cash flows based on the forward exchange rates at the balance sheet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interest rate caps – option pricing models (e.g. Black-Scholes model)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If one or more of the significant inputs is not based on observable market data, the instrument is included in Level 3. This is the case for unlisted equity securities.</w:t>
      </w:r>
    </w:p>
    <w:p>
      <w:pPr>
        <w:pStyle w:val="TextBody"/>
        <w:bidi w:val="0"/>
        <w:spacing w:before="240" w:after="283"/>
        <w:jc w:val="both"/>
        <w:rPr/>
      </w:pPr>
      <w:r>
        <w:rPr/>
        <w:t> </w:t>
      </w:r>
    </w:p>
    <w:tbl>
      <w:tblPr>
        <w:tblW w:w="7414" w:type="dxa"/>
        <w:jc w:val="left"/>
        <w:tblInd w:w="0" w:type="dxa"/>
        <w:tblLayout w:type="fixed"/>
        <w:tblCellMar>
          <w:top w:w="28" w:type="dxa"/>
          <w:left w:w="28" w:type="dxa"/>
          <w:bottom w:w="28" w:type="dxa"/>
          <w:right w:w="28" w:type="dxa"/>
        </w:tblCellMar>
      </w:tblPr>
      <w:tblGrid>
        <w:gridCol w:w="4306"/>
        <w:gridCol w:w="146"/>
        <w:gridCol w:w="187"/>
        <w:gridCol w:w="443"/>
        <w:gridCol w:w="146"/>
        <w:gridCol w:w="146"/>
        <w:gridCol w:w="162"/>
        <w:gridCol w:w="468"/>
        <w:gridCol w:w="146"/>
        <w:gridCol w:w="146"/>
        <w:gridCol w:w="146"/>
        <w:gridCol w:w="78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311,172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(part of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the levels during the three months ended March 31, 2025 and the year ended December 31, 2024.</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carrying amount of the promissory note, is a reasonable approximation of fair value since the transaction was closed on March 1, 2023, and there have been no significant changes to credit risk or market rates during the period March 1, 2023 until March 31, 2025. See Note 12 </w:t>
      </w:r>
      <w:r>
        <w:rPr>
          <w:rFonts w:ascii="Times New Roman" w:hAnsi="Times New Roman"/>
          <w:i/>
          <w:color w:val="000000"/>
          <w:sz w:val="20"/>
        </w:rPr>
        <w:t>Other non-current receivables.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19 </w:t>
      </w:r>
      <w:r>
        <w:rPr>
          <w:rFonts w:ascii="Times New Roman" w:hAnsi="Times New Roman"/>
          <w:i/>
          <w:color w:val="000000"/>
          <w:sz w:val="20"/>
        </w:rPr>
        <w:t>Liabilities to credit institution.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 of current liabilities to credit institutions and other financial instruments in the Group is a reasonable approximation of fair value since they are short-term, and the discount effect is not significant.</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Notes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41"/>
        <w:gridCol w:w="146"/>
        <w:gridCol w:w="220"/>
        <w:gridCol w:w="1185"/>
        <w:gridCol w:w="213"/>
      </w:tblGrid>
      <w:tr>
        <w:trPr/>
        <w:tc>
          <w:tcPr>
            <w:tcW w:w="8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311,172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37"/>
        <w:gridCol w:w="146"/>
        <w:gridCol w:w="167"/>
        <w:gridCol w:w="966"/>
        <w:gridCol w:w="166"/>
        <w:gridCol w:w="146"/>
        <w:gridCol w:w="187"/>
        <w:gridCol w:w="1076"/>
        <w:gridCol w:w="214"/>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(235,670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(222,447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the instrument in its entirety has been determined by using a combination of a Monte Carlo simulation and a discounted cash flow analysis.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lists the key inputs and assumptions used in the valuation model as of March 31, 2025:</w:t>
      </w:r>
    </w:p>
    <w:tbl>
      <w:tblPr>
        <w:tblW w:w="7635" w:type="dxa"/>
        <w:jc w:val="left"/>
        <w:tblInd w:w="0" w:type="dxa"/>
        <w:tblLayout w:type="fixed"/>
        <w:tblCellMar>
          <w:top w:w="28" w:type="dxa"/>
          <w:left w:w="28" w:type="dxa"/>
          <w:bottom w:w="28" w:type="dxa"/>
          <w:right w:w="28" w:type="dxa"/>
        </w:tblCellMar>
      </w:tblPr>
      <w:tblGrid>
        <w:gridCol w:w="4246"/>
        <w:gridCol w:w="146"/>
        <w:gridCol w:w="256"/>
        <w:gridCol w:w="1004"/>
        <w:gridCol w:w="146"/>
        <w:gridCol w:w="146"/>
        <w:gridCol w:w="305"/>
        <w:gridCol w:w="1195"/>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Conversion price per ADS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at valuation date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 ADS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8"/>
        </w:rPr>
        <w:t xml:space="preserve">(1) 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 see Note 21 </w:t>
      </w:r>
      <w:r>
        <w:rPr>
          <w:rFonts w:ascii="Times New Roman" w:hAnsi="Times New Roman"/>
          <w:i/>
          <w:color w:val="000000"/>
          <w:sz w:val="18"/>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interest rate has been assessed based on the observed range of yields on corporate bonds with comparable terms and comparable credit ratings to that of the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shows the impact of the key inputs and assumptions on the fair value of the Convertible Notes: </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tbl>
      <w:tblPr>
        <w:tblW w:w="7530" w:type="dxa"/>
        <w:jc w:val="left"/>
        <w:tblInd w:w="0" w:type="dxa"/>
        <w:tblLayout w:type="fixed"/>
        <w:tblCellMar>
          <w:top w:w="28" w:type="dxa"/>
          <w:left w:w="28" w:type="dxa"/>
          <w:bottom w:w="28" w:type="dxa"/>
          <w:right w:w="28" w:type="dxa"/>
        </w:tblCellMar>
      </w:tblPr>
      <w:tblGrid>
        <w:gridCol w:w="4141"/>
        <w:gridCol w:w="146"/>
        <w:gridCol w:w="198"/>
        <w:gridCol w:w="1062"/>
        <w:gridCol w:w="146"/>
        <w:gridCol w:w="146"/>
        <w:gridCol w:w="236"/>
        <w:gridCol w:w="1264"/>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decrease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increase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 percentage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 percentage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 percentage 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 percentage 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further information on the Convertible Notes, see Note 21 </w:t>
      </w:r>
      <w:r>
        <w:rPr>
          <w:rFonts w:ascii="Times New Roman" w:hAnsi="Times New Roman"/>
          <w:i/>
          <w:color w:val="000000"/>
          <w:sz w:val="20"/>
        </w:rPr>
        <w:t>Convertible Notes</w:t>
      </w:r>
      <w:r>
        <w:rPr>
          <w:rFonts w:ascii="Times New Roman" w:hAnsi="Times New Roman"/>
          <w:color w:val="000000"/>
          <w:sz w:val="20"/>
        </w:rPr>
        <w:t>.</w:t>
      </w:r>
    </w:p>
    <w:p>
      <w:pPr>
        <w:pStyle w:val="Heading1"/>
        <w:bidi w:val="0"/>
        <w:spacing w:before="320" w:after="120"/>
        <w:jc w:val="both"/>
        <w:rPr>
          <w:rFonts w:ascii="Times New Roman" w:hAnsi="Times New Roman"/>
          <w:b/>
          <w:color w:val="000000"/>
          <w:sz w:val="20"/>
        </w:rPr>
      </w:pPr>
      <w:r>
        <w:rPr>
          <w:rFonts w:ascii="Times New Roman" w:hAnsi="Times New Roman"/>
          <w:b/>
          <w:color w:val="000000"/>
          <w:sz w:val="20"/>
        </w:rPr>
        <w:t>Note 14. Inventories</w:t>
      </w:r>
    </w:p>
    <w:tbl>
      <w:tblPr>
        <w:tblW w:w="6090" w:type="dxa"/>
        <w:jc w:val="left"/>
        <w:tblInd w:w="0" w:type="dxa"/>
        <w:tblLayout w:type="fixed"/>
        <w:tblCellMar>
          <w:top w:w="28" w:type="dxa"/>
          <w:left w:w="28" w:type="dxa"/>
          <w:bottom w:w="28" w:type="dxa"/>
          <w:right w:w="28" w:type="dxa"/>
        </w:tblCellMar>
      </w:tblPr>
      <w:tblGrid>
        <w:gridCol w:w="2701"/>
        <w:gridCol w:w="146"/>
        <w:gridCol w:w="223"/>
        <w:gridCol w:w="1037"/>
        <w:gridCol w:w="146"/>
        <w:gridCol w:w="146"/>
        <w:gridCol w:w="265"/>
        <w:gridCol w:w="1235"/>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65,602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Inventories recognized as an expense for the three months ended March 31, 2025 amounted to $127.6 million (2024: $137.8 million). The expenses were included in cost of goods sold.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Write-downs of inventories to net realizable value for the three months ended March 31, 2025 amounted to $3.6 million (2024: $0.3 million). The write-downs were recognized as an expense for each period and included in cost of goods sold.</w:t>
      </w:r>
    </w:p>
    <w:p>
      <w:pPr>
        <w:pStyle w:val="Heading1"/>
        <w:bidi w:val="0"/>
        <w:spacing w:before="320" w:after="200"/>
        <w:jc w:val="both"/>
        <w:rPr>
          <w:rFonts w:ascii="Times New Roman" w:hAnsi="Times New Roman"/>
          <w:b/>
          <w:color w:val="000000"/>
          <w:sz w:val="20"/>
        </w:rPr>
      </w:pPr>
      <w:r>
        <w:rPr>
          <w:rFonts w:ascii="Times New Roman" w:hAnsi="Times New Roman"/>
          <w:b/>
          <w:color w:val="000000"/>
          <w:sz w:val="20"/>
        </w:rPr>
        <w:t>Note 15. Trade receivables</w:t>
      </w:r>
    </w:p>
    <w:tbl>
      <w:tblPr>
        <w:tblW w:w="6925" w:type="dxa"/>
        <w:jc w:val="left"/>
        <w:tblInd w:w="0" w:type="dxa"/>
        <w:tblLayout w:type="fixed"/>
        <w:tblCellMar>
          <w:top w:w="28" w:type="dxa"/>
          <w:left w:w="28" w:type="dxa"/>
          <w:bottom w:w="28" w:type="dxa"/>
          <w:right w:w="28" w:type="dxa"/>
        </w:tblCellMar>
      </w:tblPr>
      <w:tblGrid>
        <w:gridCol w:w="3496"/>
        <w:gridCol w:w="146"/>
        <w:gridCol w:w="223"/>
        <w:gridCol w:w="1037"/>
        <w:gridCol w:w="166"/>
        <w:gridCol w:w="146"/>
        <w:gridCol w:w="236"/>
        <w:gridCol w:w="1264"/>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receivables—net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Carrying amounts, by currency, for the Group’s trade receivables are as follows:</w:t>
      </w:r>
    </w:p>
    <w:tbl>
      <w:tblPr>
        <w:tblW w:w="3975" w:type="dxa"/>
        <w:jc w:val="left"/>
        <w:tblInd w:w="0" w:type="dxa"/>
        <w:tblLayout w:type="fixed"/>
        <w:tblCellMar>
          <w:top w:w="28" w:type="dxa"/>
          <w:left w:w="28" w:type="dxa"/>
          <w:bottom w:w="28" w:type="dxa"/>
          <w:right w:w="28" w:type="dxa"/>
        </w:tblCellMar>
      </w:tblPr>
      <w:tblGrid>
        <w:gridCol w:w="586"/>
        <w:gridCol w:w="146"/>
        <w:gridCol w:w="223"/>
        <w:gridCol w:w="1037"/>
        <w:gridCol w:w="146"/>
        <w:gridCol w:w="146"/>
        <w:gridCol w:w="236"/>
        <w:gridCol w:w="1264"/>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maximum exposure to credit risk on the date of the statement of financial position is the carrying amounts according to the above.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200"/>
        <w:jc w:val="both"/>
        <w:rPr>
          <w:rFonts w:ascii="Times New Roman" w:hAnsi="Times New Roman"/>
          <w:b/>
          <w:color w:val="000000"/>
          <w:sz w:val="20"/>
        </w:rPr>
      </w:pPr>
      <w:r>
        <w:rPr>
          <w:rFonts w:ascii="Times New Roman" w:hAnsi="Times New Roman"/>
          <w:b/>
          <w:color w:val="000000"/>
          <w:sz w:val="20"/>
        </w:rPr>
        <w:t>Note 16. Other current receivables</w:t>
      </w:r>
    </w:p>
    <w:tbl>
      <w:tblPr>
        <w:tblW w:w="5955" w:type="dxa"/>
        <w:jc w:val="left"/>
        <w:tblInd w:w="0" w:type="dxa"/>
        <w:tblLayout w:type="fixed"/>
        <w:tblCellMar>
          <w:top w:w="28" w:type="dxa"/>
          <w:left w:w="28" w:type="dxa"/>
          <w:bottom w:w="28" w:type="dxa"/>
          <w:right w:w="28" w:type="dxa"/>
        </w:tblCellMar>
      </w:tblPr>
      <w:tblGrid>
        <w:gridCol w:w="2566"/>
        <w:gridCol w:w="146"/>
        <w:gridCol w:w="223"/>
        <w:gridCol w:w="1037"/>
        <w:gridCol w:w="146"/>
        <w:gridCol w:w="146"/>
        <w:gridCol w:w="265"/>
        <w:gridCol w:w="1235"/>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payments to vendors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pPr>
      <w:r>
        <w:rPr/>
        <w:t> </w:t>
      </w:r>
    </w:p>
    <w:p>
      <w:pPr>
        <w:pStyle w:val="TextBody"/>
        <w:bidi w:val="0"/>
        <w:spacing w:before="320" w:after="240"/>
        <w:jc w:val="both"/>
        <w:rPr>
          <w:rFonts w:ascii="Times New Roman" w:hAnsi="Times New Roman"/>
          <w:b/>
          <w:color w:val="000000"/>
          <w:sz w:val="20"/>
        </w:rPr>
      </w:pPr>
      <w:r>
        <w:rPr>
          <w:rFonts w:ascii="Times New Roman" w:hAnsi="Times New Roman"/>
          <w:b/>
          <w:color w:val="000000"/>
          <w:sz w:val="20"/>
        </w:rPr>
        <w:t>Note 17. Cash and cash equivalents</w:t>
      </w:r>
    </w:p>
    <w:tbl>
      <w:tblPr>
        <w:tblW w:w="5610" w:type="dxa"/>
        <w:jc w:val="left"/>
        <w:tblInd w:w="0" w:type="dxa"/>
        <w:tblLayout w:type="fixed"/>
        <w:tblCellMar>
          <w:top w:w="28" w:type="dxa"/>
          <w:left w:w="28" w:type="dxa"/>
          <w:bottom w:w="28" w:type="dxa"/>
          <w:right w:w="28" w:type="dxa"/>
        </w:tblCellMar>
      </w:tblPr>
      <w:tblGrid>
        <w:gridCol w:w="2221"/>
        <w:gridCol w:w="146"/>
        <w:gridCol w:w="223"/>
        <w:gridCol w:w="1037"/>
        <w:gridCol w:w="146"/>
        <w:gridCol w:w="146"/>
        <w:gridCol w:w="265"/>
        <w:gridCol w:w="1235"/>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bank and on hand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98,923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2024, short-term deposits were time deposits and structured deposits, with maturities of one to three months. </w:t>
      </w:r>
    </w:p>
    <w:p>
      <w:pPr>
        <w:pStyle w:val="Heading1"/>
        <w:bidi w:val="0"/>
        <w:spacing w:before="320" w:after="120"/>
        <w:jc w:val="both"/>
        <w:rPr>
          <w:rFonts w:ascii="Times New Roman" w:hAnsi="Times New Roman"/>
          <w:sz w:val="20"/>
        </w:rPr>
      </w:pPr>
      <w:r>
        <w:rPr>
          <w:rFonts w:ascii="Times New Roman" w:hAnsi="Times New Roman"/>
          <w:b/>
          <w:color w:val="000000"/>
          <w:sz w:val="20"/>
        </w:rPr>
        <w:t>Note 18. Equity</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 capital and Treasury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2021, the shareholders resolved to issue 69,496,515 warrants to secure the future delivery of ordinary shares under the 2021 Plan. During May 2024, the Company exercised 3,667,255 warrants (May 2023: 2,882,164 warrants, May 2022: 650,000 warrants). As of March 31, 2025 and December 31, 2024, there were 62,297,096 warrants outstanding.</w:t>
      </w:r>
    </w:p>
    <w:p>
      <w:pPr>
        <w:pStyle w:val="TextBody"/>
        <w:bidi w:val="0"/>
        <w:spacing w:before="240" w:after="283"/>
        <w:jc w:val="both"/>
        <w:rPr>
          <w:rFonts w:ascii="Times New Roman" w:hAnsi="Times New Roman"/>
          <w:sz w:val="20"/>
        </w:rPr>
      </w:pPr>
      <w:r>
        <w:rPr>
          <w:rFonts w:ascii="Times New Roman" w:hAnsi="Times New Roman"/>
          <w:color w:val="000000"/>
          <w:sz w:val="20"/>
        </w:rPr>
        <w:t>Upon exercise of the warrants in May 2024, 3,667,255 ordinary shares were allotted and issued, and 2,909,687 ordinary shares were converted to American Depositary Shares to be delivered to participants under the 2021 Incentive Award Plan related to the vesting of the May 2021, May 2022, May 2023 and July 2023 grants. In November 2024, an additional 589,896 ordinary shares were converted to American Depositary Shares to be delivered to participants under the 2021 Incentive Award Plan related to the vesting of the November 2021, November 2022 and May 2023 grants</w:t>
      </w:r>
      <w:r>
        <w:rPr>
          <w:rFonts w:ascii="Roboto;sans-serif" w:hAnsi="Roboto;sans-serif"/>
          <w:color w:val="2B333D"/>
          <w:sz w:val="18"/>
        </w:rPr>
        <w:t xml:space="preserve">. </w:t>
      </w:r>
      <w:r>
        <w:rPr>
          <w:rFonts w:ascii="Times New Roman" w:hAnsi="Times New Roman"/>
          <w:color w:val="000000"/>
          <w:sz w:val="20"/>
        </w:rPr>
        <w:t xml:space="preserve">The remaining balance is held as treasury shares to enable the Company’s timely delivery of ordinary shares upon the exercise of outstanding stock options and to meet future vesting of the RSUs.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2025, 4,480 treasury shares were sold to cover fees in connection with the ADS Ratio Change.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both March 31, 2025 and December 31, 2024, 598,559,840 ordinary shares were outstanding, and the par value per share was $0.00018 (SEK 0.0015). The Company had 412,100 and 416,580 treasury shares as of March 31, 2025 and December 31, 2024, respectively.</w:t>
      </w:r>
    </w:p>
    <w:p>
      <w:pPr>
        <w:pStyle w:val="TextBody"/>
        <w:bidi w:val="0"/>
        <w:spacing w:before="240" w:after="283"/>
        <w:jc w:val="both"/>
        <w:rPr>
          <w:rFonts w:ascii="Times New Roman" w:hAnsi="Times New Roman"/>
          <w:sz w:val="20"/>
        </w:rPr>
      </w:pPr>
      <w:r>
        <w:rPr>
          <w:rFonts w:ascii="Times New Roman" w:hAnsi="Times New Roman"/>
          <w:b/>
          <w:i/>
          <w:color w:val="000000"/>
          <w:sz w:val="20"/>
        </w:rPr>
        <w:t>Other contributed capital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2025 and December 31, 2024 other contributed capital of $1,628.0 million consists of share premium, shareholders contribution and proceeds from warrant issues. </w:t>
      </w:r>
    </w:p>
    <w:p>
      <w:pPr>
        <w:pStyle w:val="TextBody"/>
        <w:bidi w:val="0"/>
        <w:spacing w:before="240" w:after="283"/>
        <w:jc w:val="both"/>
        <w:rPr>
          <w:rFonts w:ascii="Times New Roman" w:hAnsi="Times New Roman"/>
          <w:sz w:val="20"/>
        </w:rPr>
      </w:pPr>
      <w:r>
        <w:rPr>
          <w:rFonts w:ascii="Times New Roman" w:hAnsi="Times New Roman"/>
          <w:b/>
          <w:i/>
          <w:color w:val="000000"/>
          <w:sz w:val="20"/>
        </w:rPr>
        <w:t>Other reserves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other reserves of $(249.5) million consists of fair value reserve of $(72.7) million related to fair value gains and losses on the Convertible Notes attributable to changes in the Group’s credit risk, and foreign currency translation reserve of $(176.8) million 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other reserves of $(274.2) million consists of fair value reserve of $(72.7) million related to fair value gains and losses on the Convertible Notes attributable to changes in the Group’s credit risk, and foreign currency translation reserve of $(201.5) million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sz w:val="20"/>
        </w:rPr>
      </w:pPr>
      <w:r>
        <w:rPr>
          <w:rFonts w:ascii="Times New Roman" w:hAnsi="Times New Roman"/>
          <w:b/>
          <w:i/>
          <w:color w:val="000000"/>
          <w:sz w:val="20"/>
        </w:rPr>
        <w:t>Accumulated deficit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and December 31, 2024, accumulated deficit of $(1,258.1) million and $(1,249.3) million, respectively, consists of accumulated losses and share-based compensation.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March 31, 2025 and December 31, 2024, non-controlling interests amounted to $1.3 million and $1.4 million, respectively. </w:t>
      </w:r>
    </w:p>
    <w:p>
      <w:pPr>
        <w:pStyle w:val="TextBody"/>
        <w:bidi w:val="0"/>
        <w:spacing w:before="240" w:after="283"/>
        <w:jc w:val="both"/>
        <w:rPr/>
      </w:pPr>
      <w:r>
        <w:rPr/>
        <w:t> </w:t>
      </w:r>
    </w:p>
    <w:p>
      <w:pPr>
        <w:pStyle w:val="TextBody"/>
        <w:bidi w:val="0"/>
        <w:spacing w:before="320" w:after="283"/>
        <w:jc w:val="both"/>
        <w:rPr>
          <w:rFonts w:ascii="Times New Roman" w:hAnsi="Times New Roman"/>
          <w:b/>
          <w:color w:val="000000"/>
          <w:sz w:val="20"/>
        </w:rPr>
      </w:pPr>
      <w:r>
        <w:rPr>
          <w:rFonts w:ascii="Times New Roman" w:hAnsi="Times New Roman"/>
          <w:b/>
          <w:color w:val="000000"/>
          <w:sz w:val="20"/>
        </w:rPr>
        <w:t>Note 19. Liabilities to credit institutions</w:t>
      </w:r>
    </w:p>
    <w:p>
      <w:pPr>
        <w:pStyle w:val="TextBody"/>
        <w:bidi w:val="0"/>
        <w:jc w:val="both"/>
        <w:rPr/>
      </w:pPr>
      <w:r>
        <w:rPr/>
        <w:t> </w:t>
      </w:r>
    </w:p>
    <w:tbl>
      <w:tblPr>
        <w:tblW w:w="7005" w:type="dxa"/>
        <w:jc w:val="left"/>
        <w:tblInd w:w="0" w:type="dxa"/>
        <w:tblLayout w:type="fixed"/>
        <w:tblCellMar>
          <w:top w:w="28" w:type="dxa"/>
          <w:left w:w="28" w:type="dxa"/>
          <w:bottom w:w="28" w:type="dxa"/>
          <w:right w:w="28" w:type="dxa"/>
        </w:tblCellMar>
      </w:tblPr>
      <w:tblGrid>
        <w:gridCol w:w="3616"/>
        <w:gridCol w:w="146"/>
        <w:gridCol w:w="198"/>
        <w:gridCol w:w="1062"/>
        <w:gridCol w:w="146"/>
        <w:gridCol w:w="146"/>
        <w:gridCol w:w="236"/>
        <w:gridCol w:w="1264"/>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and December 31, 2024, the Liabilities to credit institutions balance amounted to $120.9 million and $122.0 million, respectively, and was related to outstanding amounts under the TLB Credit Agreement (as defined below) and the EIF Facility (as defined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European Investment Fund guaranteed three-year term loan facility with Svensk Exportkredit (the “EIF Facility”) was entered into in October 2019. In October 2022, the EIF Facility was amended to extend the term for another three years, with a maturity date in October 2025. The loan facility and interest margin remain unchanged. As of March 31, 2025 and December 31, 2024, the Group had €0.9 million (equivalent of $1.0 million) and €1.3 million (equivalent of $1.3 million), respectively, outstanding on the EIF Facility, including accrued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 Agreement, contains ongoing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March 31, 2025 and December 31, 2024, the Group had $119.9 million and $120.7 million, respectively, outstanding on the TLB Credit Agreement, including accrued interest and net after original issue discount and transaction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March 31, 2025 and December 31, 2024, the Group had no utilized loan amounts under the amended SRCF Agreement.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21 </w:t>
      </w:r>
      <w:r>
        <w:rPr>
          <w:rFonts w:ascii="Times New Roman" w:hAnsi="Times New Roman"/>
          <w:i/>
          <w:color w:val="000000"/>
          <w:sz w:val="20"/>
        </w:rPr>
        <w:t xml:space="preserve">Convertible Notes </w:t>
      </w:r>
      <w:r>
        <w:rPr>
          <w:rFonts w:ascii="Times New Roman" w:hAnsi="Times New Roman"/>
          <w:color w:val="000000"/>
          <w:sz w:val="20"/>
        </w:rPr>
        <w:t xml:space="preserve">for more information on the Company’s Convertible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 (ii) 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was increased from $50 million to $100 million, and the original 24 months’ non-call/make-whole period applying under the Term Loan B Credit Agreement was reset to apply for the 18 months following the amendment effective date (for the avoidance of doubt, the subsequent 12 months’ prepayment fee period still applies after the end of such 18-month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2024, the EIF Facility was amended and restated to, where and to the extent applicable, implement equivalent amendments as those made to the Sustainable Revolving Credit Facility Agreement on February 14, 2024.</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 less than $0, $0 may be drawn; and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(ii) equal to or greater than $75 million, the full amount of the existing facility may be drawn,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with interim steps in between, and increases requiring improved performance for two consecutive four quarter periods and reductions requiring decreased performance for one four quarter period.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On February 11, 2025, the EIF Facility was amended and restated to, where and to the extent applicable, implement</w:t>
        <w:br/>
        <w:t>equivalent amendments as those made to the Sustainable Revolving Credit Facility Agreement on February 11,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March 31, 2025, the Group had no utilized loan amounts under the amended CMB Credit Facility. </w:t>
      </w:r>
    </w:p>
    <w:p>
      <w:pPr>
        <w:pStyle w:val="TextBody"/>
        <w:bidi w:val="0"/>
        <w:spacing w:before="240" w:after="283"/>
        <w:jc w:val="both"/>
        <w:rPr>
          <w:rFonts w:ascii="Times New Roman" w:hAnsi="Times New Roman"/>
          <w:sz w:val="20"/>
        </w:rPr>
      </w:pPr>
      <w:r>
        <w:rPr>
          <w:rFonts w:ascii="Times New Roman" w:hAnsi="Times New Roman"/>
          <w:color w:val="000000"/>
          <w:sz w:val="20"/>
        </w:rPr>
        <w:t>For more information on the Group’s credit facilities, see Item 2. “</w:t>
      </w:r>
      <w:r>
        <w:rPr>
          <w:rFonts w:ascii="Times New Roman" w:hAnsi="Times New Roman"/>
          <w:i/>
          <w:color w:val="000000"/>
          <w:sz w:val="20"/>
        </w:rPr>
        <w:t>Management’s Discussion and Analysis of Financial Condition and Results of Operations - Liquidity and Capital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Currency risk (transaction risk)</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TLB Credit Agreement is denominated in USD and the borrower within the Group is Oatly AB with a functional currency of SEK. The Group is therefore exposed to currency risk SEK/USD and if the rate would increase/decrease by 10% the impact on loss before tax for the three months ended March 31, 2025, would be $11.7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is exposed to interest rate risk that arises from the term loan that carries an interest of Term SOFR with a floor of 2.5%. To manage the risk the Group has entered into interest rate caps for the full amount of the term loan of $130 million. The cap is 4.6% and has a maturity of 3 years (April 2026). The effect from increase in basis points is limited due to the cap that economically hedges the TLB Credit Agreement. If variable interest increased by 300 basis points the impact on loss before tax for the three months ended March 31, 2025, would be $0.0 million. If variable interest decreased by 300 basis points the impact on loss before tax for the three months ended March 31, 2025, would be $0.6 million, taking into account the floor of 2.5% in the term loan.</w:t>
      </w:r>
    </w:p>
    <w:p>
      <w:pPr>
        <w:pStyle w:val="TextBody"/>
        <w:bidi w:val="0"/>
        <w:spacing w:before="240" w:after="283"/>
        <w:jc w:val="both"/>
        <w:rPr/>
      </w:pPr>
      <w:r>
        <w:rPr/>
        <w:t> </w:t>
      </w:r>
    </w:p>
    <w:p>
      <w:pPr>
        <w:pStyle w:val="Heading1"/>
        <w:bidi w:val="0"/>
        <w:spacing w:before="120" w:after="283"/>
        <w:jc w:val="both"/>
        <w:rPr>
          <w:rFonts w:ascii="Times New Roman" w:hAnsi="Times New Roman"/>
          <w:b/>
          <w:color w:val="000000"/>
          <w:sz w:val="20"/>
        </w:rPr>
      </w:pPr>
      <w:r>
        <w:rPr>
          <w:rFonts w:ascii="Times New Roman" w:hAnsi="Times New Roman"/>
          <w:b/>
          <w:color w:val="000000"/>
          <w:sz w:val="20"/>
        </w:rPr>
        <w:t>Note 20. Provisions</w:t>
      </w:r>
    </w:p>
    <w:p>
      <w:pPr>
        <w:pStyle w:val="Heading1"/>
        <w:bidi w:val="0"/>
        <w:jc w:val="both"/>
        <w:rPr/>
      </w:pPr>
      <w:r>
        <w:rPr/>
        <w:t> </w:t>
      </w:r>
    </w:p>
    <w:tbl>
      <w:tblPr>
        <w:tblW w:w="5959" w:type="dxa"/>
        <w:jc w:val="left"/>
        <w:tblInd w:w="0" w:type="dxa"/>
        <w:tblLayout w:type="fixed"/>
        <w:tblCellMar>
          <w:top w:w="28" w:type="dxa"/>
          <w:left w:w="28" w:type="dxa"/>
          <w:bottom w:w="28" w:type="dxa"/>
          <w:right w:w="28" w:type="dxa"/>
        </w:tblCellMar>
      </w:tblPr>
      <w:tblGrid>
        <w:gridCol w:w="4411"/>
        <w:gridCol w:w="146"/>
        <w:gridCol w:w="197"/>
        <w:gridCol w:w="914"/>
        <w:gridCol w:w="2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Additional provisions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Unwinding of discount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Reversal of non-utilized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used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restructuring provisions recorded in 2024 was principally related to decommissioning and other exit costs for the closure of the production facility in Singapore. The costs relating to the closure of the facility are expected to be paid throughout the coming 2 years. The Group also recorded provisions related to organizational restructuring. The organizational restructuring plan was drawn up and announced to the employees during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2025, the Group had $2.9 million in cash outflows relating to organizational restructuring and $2.4 million in cash outflows relating to the closure of the production facility in Singapore. </w:t>
      </w:r>
    </w:p>
    <w:p>
      <w:pPr>
        <w:pStyle w:val="TextBody"/>
        <w:bidi w:val="0"/>
        <w:spacing w:before="320" w:after="283"/>
        <w:jc w:val="both"/>
        <w:rPr>
          <w:rFonts w:ascii="Times New Roman" w:hAnsi="Times New Roman"/>
          <w:b/>
          <w:color w:val="000000"/>
          <w:sz w:val="20"/>
        </w:rPr>
      </w:pPr>
      <w:r>
        <w:rPr>
          <w:rFonts w:ascii="Times New Roman" w:hAnsi="Times New Roman"/>
          <w:b/>
          <w:color w:val="000000"/>
          <w:sz w:val="20"/>
        </w:rPr>
        <w:t>Note 21.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anti-dilution adjustments and conversion rate resets. On March 23, 2024, the conversion price of the Original Convertible Notes was reset to $1.81 in accordance with the terms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an intercreditor agreement (the “Intercreditor Agreement”) which includes customary ranking, enforcement and turnover provisions intended to govern the relationship between the creditor groups and which affects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details on the fair value on Convertible Notes, see Note 13 </w:t>
      </w:r>
      <w:r>
        <w:rPr>
          <w:rFonts w:ascii="Times New Roman" w:hAnsi="Times New Roman"/>
          <w:i/>
          <w:color w:val="000000"/>
          <w:sz w:val="20"/>
        </w:rPr>
        <w:t>Fair value of financial instruments.</w:t>
      </w:r>
    </w:p>
    <w:p>
      <w:pPr>
        <w:pStyle w:val="Heading1"/>
        <w:bidi w:val="0"/>
        <w:spacing w:before="320" w:after="283"/>
        <w:jc w:val="both"/>
        <w:rPr>
          <w:rFonts w:ascii="Times New Roman" w:hAnsi="Times New Roman"/>
          <w:b/>
          <w:color w:val="000000"/>
          <w:sz w:val="20"/>
        </w:rPr>
      </w:pPr>
      <w:r>
        <w:rPr>
          <w:rFonts w:ascii="Times New Roman" w:hAnsi="Times New Roman"/>
          <w:b/>
          <w:color w:val="000000"/>
          <w:sz w:val="20"/>
        </w:rPr>
        <w:t>Note 22. Accrued expenses</w:t>
      </w:r>
    </w:p>
    <w:p>
      <w:pPr>
        <w:pStyle w:val="Heading1"/>
        <w:bidi w:val="0"/>
        <w:jc w:val="both"/>
        <w:rPr/>
      </w:pPr>
      <w:r>
        <w:rPr/>
        <w:t> </w:t>
      </w:r>
    </w:p>
    <w:tbl>
      <w:tblPr>
        <w:tblW w:w="6615" w:type="dxa"/>
        <w:jc w:val="left"/>
        <w:tblInd w:w="0" w:type="dxa"/>
        <w:tblLayout w:type="fixed"/>
        <w:tblCellMar>
          <w:top w:w="28" w:type="dxa"/>
          <w:left w:w="28" w:type="dxa"/>
          <w:bottom w:w="28" w:type="dxa"/>
          <w:right w:w="28" w:type="dxa"/>
        </w:tblCellMar>
      </w:tblPr>
      <w:tblGrid>
        <w:gridCol w:w="3226"/>
        <w:gridCol w:w="146"/>
        <w:gridCol w:w="198"/>
        <w:gridCol w:w="1062"/>
        <w:gridCol w:w="146"/>
        <w:gridCol w:w="146"/>
        <w:gridCol w:w="236"/>
        <w:gridCol w:w="1264"/>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variable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logistic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and sales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103,719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23. Related party disclosures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Share-based compensation to related parties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Information about share-based compensation to related parties is found in Note 6 </w:t>
      </w:r>
      <w:r>
        <w:rPr>
          <w:rFonts w:ascii="Times New Roman" w:hAnsi="Times New Roman"/>
          <w:i/>
          <w:color w:val="000000"/>
          <w:sz w:val="20"/>
        </w:rPr>
        <w:t>Share-based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Transactions with related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April 18, 2023 the Company issued Convertible Notes to related parties, Nativus Company Limited and Verlinvest, with a fair value of $174.0 million. As of March 31, 2025, the fair value of the outstanding Convertible Notes to related parties amounted to $152.6 million. The Convertible Notes were issued with the terms and conditions described in Note 21 </w:t>
      </w:r>
      <w:r>
        <w:rPr>
          <w:rFonts w:ascii="Times New Roman" w:hAnsi="Times New Roman"/>
          <w:i/>
          <w:color w:val="000000"/>
          <w:sz w:val="20"/>
        </w:rPr>
        <w:t>Convertible Notes.</w:t>
      </w:r>
    </w:p>
    <w:p>
      <w:pPr>
        <w:pStyle w:val="TextBody"/>
        <w:bidi w:val="0"/>
        <w:spacing w:before="320" w:after="283"/>
        <w:jc w:val="both"/>
        <w:rPr>
          <w:rFonts w:ascii="Times New Roman" w:hAnsi="Times New Roman"/>
          <w:b/>
          <w:color w:val="000000"/>
          <w:sz w:val="20"/>
        </w:rPr>
      </w:pPr>
      <w:r>
        <w:rPr>
          <w:rFonts w:ascii="Times New Roman" w:hAnsi="Times New Roman"/>
          <w:b/>
          <w:color w:val="000000"/>
          <w:sz w:val="20"/>
        </w:rPr>
        <w:t>Note 24. 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calculates loss per share by dividing loss for the period attributable to the shareholders of the parent by the weighted average number of ordinary shares outstanding during the period (net of treasury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Diluted loss per share is calculated by dividing the loss for the period attributable to the shareholders of the parent (after adjusting for fair value change and interest on the Convertible Notes) by the weighted average number of ordinary shares outstanding during the period (net</w:t>
        <w:br/>
        <w:t>of treasury shares) plus the weighted average number of ordinary shares that would be issued on conversion of all the potential dilutive ordinary shares into ordinary shares.</w:t>
      </w:r>
    </w:p>
    <w:p>
      <w:pPr>
        <w:pStyle w:val="TextBody"/>
        <w:bidi w:val="0"/>
        <w:jc w:val="left"/>
        <w:rPr>
          <w:rFonts w:ascii="Times New Roman" w:hAnsi="Times New Roman"/>
          <w:color w:val="000000"/>
          <w:sz w:val="20"/>
        </w:rPr>
      </w:pPr>
      <w:r>
        <w:rPr>
          <w:rFonts w:ascii="Times New Roman" w:hAnsi="Times New Roman"/>
          <w:color w:val="000000"/>
          <w:sz w:val="20"/>
        </w:rPr>
        <w:br/>
        <w:t>The following table reflects the loss and share data used in the basic and diluted loss per share calculations:</w:t>
      </w:r>
    </w:p>
    <w:tbl>
      <w:tblPr>
        <w:tblW w:w="10205" w:type="dxa"/>
        <w:jc w:val="left"/>
        <w:tblInd w:w="0" w:type="dxa"/>
        <w:tblLayout w:type="fixed"/>
        <w:tblCellMar>
          <w:top w:w="28" w:type="dxa"/>
          <w:left w:w="28" w:type="dxa"/>
          <w:bottom w:w="28" w:type="dxa"/>
          <w:right w:w="28" w:type="dxa"/>
        </w:tblCellMar>
      </w:tblPr>
      <w:tblGrid>
        <w:gridCol w:w="6962"/>
        <w:gridCol w:w="146"/>
        <w:gridCol w:w="146"/>
        <w:gridCol w:w="1141"/>
        <w:gridCol w:w="166"/>
        <w:gridCol w:w="146"/>
        <w:gridCol w:w="146"/>
        <w:gridCol w:w="1141"/>
        <w:gridCol w:w="211"/>
      </w:tblGrid>
      <w:tr>
        <w:trPr/>
        <w:tc>
          <w:tcPr>
            <w:tcW w:w="6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the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Shares used in computation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598,559,840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595,060,257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loss per share, U.S.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number of ADSs (1 ADS representing 20 ordinary shares)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29,753,013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loss per ADS, U.S.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the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gains on dilutive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dilutive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used in the computation of 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Shares used in computation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598,559,840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595,060,257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999,176,184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595,060,257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loss per share, U.S.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weighted average number of ADSs (1 ADS representing 20 ordinary shares)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49,958,809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29,753,013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loss per ADS, U.S.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sz w:val="20"/>
        </w:rPr>
      </w:pPr>
      <w:r>
        <w:rPr>
          <w:rFonts w:ascii="Times New Roman" w:hAnsi="Times New Roman"/>
          <w:color w:val="000000"/>
          <w:sz w:val="18"/>
        </w:rPr>
        <w:t xml:space="preserve">(1) 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 average number of shares by 20, even though the actual number of outstanding ADSs is lower since not all of the ordinary shares in the Company are represented by ADSs. For further details on the ADS Ratio Change, see Note 2 </w:t>
      </w:r>
      <w:r>
        <w:rPr>
          <w:rFonts w:ascii="Times New Roman" w:hAnsi="Times New Roman"/>
          <w:i/>
          <w:color w:val="000000"/>
          <w:sz w:val="18"/>
        </w:rPr>
        <w:t>Summary of accounting policies</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dilutive securities that were not included in the diluted loss per share calculations because they would be anti-dilutive were as follows:</w:t>
      </w:r>
    </w:p>
    <w:tbl>
      <w:tblPr>
        <w:tblW w:w="7299" w:type="dxa"/>
        <w:jc w:val="left"/>
        <w:tblInd w:w="0" w:type="dxa"/>
        <w:tblLayout w:type="fixed"/>
        <w:tblCellMar>
          <w:top w:w="28" w:type="dxa"/>
          <w:left w:w="28" w:type="dxa"/>
          <w:bottom w:w="28" w:type="dxa"/>
          <w:right w:w="28" w:type="dxa"/>
        </w:tblCellMar>
      </w:tblPr>
      <w:tblGrid>
        <w:gridCol w:w="4201"/>
        <w:gridCol w:w="146"/>
        <w:gridCol w:w="146"/>
        <w:gridCol w:w="1036"/>
        <w:gridCol w:w="146"/>
        <w:gridCol w:w="146"/>
        <w:gridCol w:w="146"/>
        <w:gridCol w:w="114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representing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representing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11,410,060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19,183,484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8"/>
        </w:rPr>
        <w:t xml:space="preserve">(1) The number of potential dilutive shares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21 </w:t>
      </w:r>
      <w:r>
        <w:rPr>
          <w:rFonts w:ascii="Times New Roman" w:hAnsi="Times New Roman"/>
          <w:i/>
          <w:color w:val="000000"/>
          <w:sz w:val="18"/>
        </w:rPr>
        <w:t>Convertible Notes</w:t>
      </w:r>
      <w:r>
        <w:rPr>
          <w:rFonts w:ascii="Times New Roman" w:hAnsi="Times New Roman"/>
          <w:color w:val="000000"/>
          <w:sz w:val="18"/>
        </w:rPr>
        <w:t>.</w:t>
      </w:r>
      <w:r>
        <w:rPr>
          <w:rFonts w:ascii="Times New Roman" w:hAnsi="Times New Roman"/>
          <w:color w:val="000000"/>
          <w:sz w:val="20"/>
        </w:rPr>
        <w:t xml:space="preserve"> </w:t>
      </w:r>
    </w:p>
    <w:p>
      <w:pPr>
        <w:pStyle w:val="Heading1"/>
        <w:bidi w:val="0"/>
        <w:spacing w:before="120" w:after="283"/>
        <w:jc w:val="left"/>
        <w:rPr/>
      </w:pPr>
      <w:r>
        <w:rPr/>
        <w:t> </w:t>
      </w:r>
    </w:p>
    <w:p>
      <w:pPr>
        <w:pStyle w:val="Heading1"/>
        <w:bidi w:val="0"/>
        <w:spacing w:before="120" w:after="283"/>
        <w:jc w:val="left"/>
        <w:rPr>
          <w:rFonts w:ascii="Times New Roman" w:hAnsi="Times New Roman"/>
          <w:b/>
          <w:color w:val="000000"/>
          <w:sz w:val="20"/>
        </w:rPr>
      </w:pPr>
      <w:r>
        <w:rPr>
          <w:rFonts w:ascii="Times New Roman" w:hAnsi="Times New Roman"/>
          <w:b/>
          <w:color w:val="000000"/>
          <w:sz w:val="20"/>
        </w:rPr>
        <w:t>Note 25. Commitments and Contingencies</w:t>
      </w:r>
    </w:p>
    <w:p>
      <w:pPr>
        <w:pStyle w:val="Heading2"/>
        <w:bidi w:val="0"/>
        <w:spacing w:before="240" w:after="283"/>
        <w:jc w:val="left"/>
        <w:rPr>
          <w:rFonts w:ascii="Times New Roman" w:hAnsi="Times New Roman"/>
          <w:b/>
          <w:i/>
          <w:color w:val="000000"/>
          <w:sz w:val="20"/>
        </w:rPr>
      </w:pPr>
      <w:r>
        <w:rPr>
          <w:rFonts w:ascii="Times New Roman" w:hAnsi="Times New Roman"/>
          <w:b/>
          <w:i/>
          <w:color w:val="000000"/>
          <w:sz w:val="20"/>
        </w:rPr>
        <w:t>Commitments</w:t>
      </w:r>
    </w:p>
    <w:p>
      <w:pPr>
        <w:pStyle w:val="Heading2"/>
        <w:bidi w:val="0"/>
        <w:spacing w:before="320" w:after="120"/>
        <w:jc w:val="left"/>
        <w:rPr>
          <w:rFonts w:ascii="Times New Roman" w:hAnsi="Times New Roman"/>
          <w:sz w:val="20"/>
        </w:rPr>
      </w:pPr>
      <w:r>
        <w:rPr>
          <w:rFonts w:ascii="Times New Roman" w:hAnsi="Times New Roman"/>
          <w:i/>
          <w:color w:val="000000"/>
          <w:sz w:val="20"/>
        </w:rPr>
        <w:t>Minimum purchase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three months ended March 31, 2025, volume adjustments related to co-packer arrangements in Europe &amp; International and North America resulted in volume shortfall expenses of $2.3 million. The shortfall expenses are presented in cost of goods sold in the consolidated statement of operations.</w:t>
      </w:r>
    </w:p>
    <w:p>
      <w:pPr>
        <w:pStyle w:val="Heading2"/>
        <w:bidi w:val="0"/>
        <w:spacing w:before="32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future cash outflows relating to leases that have not yet commenced are disclosed in Note 11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12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0"/>
        </w:rPr>
        <w:t>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These statements relate to events that involve known and unknown risks, uncertainties and other factors, including those listed under Item 3.D. “</w:t>
      </w:r>
      <w:r>
        <w:rPr>
          <w:rFonts w:ascii="Times New Roman" w:hAnsi="Times New Roman"/>
          <w:i/>
          <w:color w:val="000000"/>
          <w:sz w:val="20"/>
        </w:rPr>
        <w:t>Risk Factors”</w:t>
      </w:r>
      <w:r>
        <w:rPr>
          <w:rFonts w:ascii="Times New Roman" w:hAnsi="Times New Roman"/>
          <w:color w:val="000000"/>
          <w:sz w:val="20"/>
        </w:rPr>
        <w:t xml:space="preserve"> of our Annual Report on Form 20-F for the year ended December 31, 2024 (our “2024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2024 Annual Report, the risk factors set forth in this Report on Form 6-K and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losses, and we may be unable to achieve or sustain profitability, including due to elevated inflation and increased costs for transportation, energy, and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failure to obtain necessary capital when needed on acceptable terms, or at all, may force us to delay, limit, reduce or terminate our product manufacturing and development and other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our cash and cash equivalents at financial institutions, often in balances that exceed federally insured limits. If financial institutions where we hold deposits were to fail, we could be exposed to a potential loss of deposits, and our ability to raise capital may be impacted by these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components of all our products are manufactured in our production facilities, and damage or disruption at these facilities has in the past harmed, and may in the future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brand or reputation may be harmed due to real or perceived quality, food safety, nutrition or sustainability issues with our products, which could have an adverse effect on our business, reputation,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compete successfully in our highly competitive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Consolidation of customers, the loss of a significant customer or the decrease of sales from a significant customer, could negatively impact our sales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oatmilk varieties contribute a significant portion of our revenue and a reduction in such sales would have an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pursue an asset-light business model, which means we will rely heavily on our co-manufacturing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partnerships with our co-manufacturers may not be successful, which could adversely affect our operations and manufacturing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our logistics providers to deliver our products on time, or at all, could result in lost sales;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successfully ramp up operations at any of our facilities, or these facilities may not operate in accordance with our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maintain our brand, our business could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develop or introduce new products or successfully improve existing products may adversely affect our ability to continue to grow;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Consumer preferences for our products are difficult to predict and may change, and, if we are unable to respond quickly to new trends, our business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manage our future growth effectively, including maintenance of our workforce, our business, financial condition and results of operations could be materially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recently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information technology systems and any inadequacy, failure or interruption of, or cybersecurity incidents affecting, those systems may harm our reputation and ability to effectively operate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cybersecurity incident or other technology disruptions could negatively impact our business and our relationships with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generally are not obligated to continue purchasing products from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difficulties as we expand our operations into countries in which we have no prior operating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international nature of our business subjects us to additional global economic and geopolitical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in China could expose us to substantial business, regulatory, political, financial and economic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reset in Asia may not be 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comply with trade compliance and economic sanctions laws and regulations of the U.S., the EU and other applicable international jurisdictions, it could materially adversely affect our reputation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Packaging costs are volatile and may rise significantly, which may negatively impact the profitability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our results of operations may impact, and may have a disproportionate effect on, our overall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legal proceedings could expose us to significant liabilities or costs and have a negative impact on our reputation or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retain our senior management or to attract, train and retain qualified employees may adversely affect our operations or our ability to grow successfully;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maintain our company culture or focus on our mission as we grow, our success and our business and competitive position may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insurance may not provide adequate levels of coverage against claims or we may be unable to find insurance with sufficient coverage at a reasonable cost;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in the worldwide economy may adversely affect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affected by macroeconomic conditions, including rising inflation, interest rates and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conflicts, other effects of ongoing wars and conflicts, and increasing geopolitical tensions and changes to international trade policies, treaties and tariffs, including as a result of the emergence of a trade war, could negatively impact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claims, government investigations or other regulatory enforcement actions could subject us to civil and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are subject to U.S., EU, China and other laws and regulations, and there is no assurance that we will be in compliance with all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existing laws or regulations, or the adoption of new laws or regulations may increase our costs and otherwise adversely affect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stringent environmental regulation and potentially subject to environmental litigation, proceedings and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protect, enforce or defend our intellectual property and other proprietary rights adequately, which may impact our commercial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identified material weaknesses in our internal control environment. If we are unable to remediate any material weakness, or if other control deficiencies are identified, we may not be able to report our financial results accurately, prevent fraud or file our periodic reports as a public company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largest shareholder has significant influence over us, including significant influence over decisions that require the approval of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and the market price of our ADSs have been, and may be, volatile, and you may lose all or part of your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may not be able to exercise your right to vote the ordinary shares underlying your ADSs;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be subject to securities litigation, which is expensive and could divert management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pay dividends on our ADSs in the future and, consequently, your ability to achieve a return on your investment will depend on the appreciation in the price of our ADSs;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tax rates or exposure to additional tax liabilities or assessments could affect our profitability, and audits by tax authorities could result in additional tax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substantial indebtedness that may decrease our business flexibility, access to capital, and/or increase our future borrowing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Transactions relating to the Convertible Notes may dilute the ownership interests of holders of our ADSs or ordinary shares and may adversely impact the value of such securities;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Covenants in our debt agreements may restrict our operating activities and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pStyle w:val="TextBody"/>
        <w:bidi w:val="0"/>
        <w:spacing w:before="3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 </w:t>
      </w:r>
    </w:p>
    <w:p>
      <w:pPr>
        <w:pStyle w:val="Heading2"/>
        <w:bidi w:val="0"/>
        <w:spacing w:before="320" w:after="283"/>
        <w:jc w:val="left"/>
        <w:rPr>
          <w:rFonts w:ascii="Times New Roman" w:hAnsi="Times New Roman"/>
          <w:b/>
          <w:i/>
          <w:color w:val="000000"/>
          <w:sz w:val="20"/>
        </w:rPr>
      </w:pPr>
      <w:r>
        <w:rPr>
          <w:rFonts w:ascii="Times New Roman" w:hAnsi="Times New Roman"/>
          <w:b/>
          <w:i/>
          <w:color w:val="000000"/>
          <w:sz w:val="20"/>
        </w:rPr>
        <w:t>Recent Developments, Trends and Other Factors Affecting our Business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Strategic actions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continue to execute on our strategic priorities focused on achieving profitable growth. These actions are aimed at setting clear priorities for our teams, reducing complexity to increase organizational agility, and executing a more asset-light supply chain strategy.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executing these actions, we simplified our organizational structure. We reviewed the organizational structure to adjust the fixed cost base globally, including employee-related costs, professional services, and other related costs. </w:t>
      </w:r>
    </w:p>
    <w:p>
      <w:pPr>
        <w:pStyle w:val="TextBody"/>
        <w:bidi w:val="0"/>
        <w:spacing w:before="120" w:after="120"/>
        <w:jc w:val="both"/>
        <w:rPr>
          <w:rFonts w:ascii="Times New Roman" w:hAnsi="Times New Roman"/>
          <w:sz w:val="20"/>
        </w:rPr>
      </w:pPr>
      <w:r>
        <w:rPr>
          <w:rFonts w:ascii="Times New Roman" w:hAnsi="Times New Roman"/>
          <w:color w:val="000000"/>
          <w:sz w:val="20"/>
        </w:rPr>
        <w:t>During the fourth quarter 2023, we decided to discontinue the construction of our production facilities in Peterborough, United Kingdom and Dallas-Fort Worth, Texas. During 2024, we completed substantially all of the activities relating to the exit of these two facilities. Also, in 2024, we decided to close our production facility in Singapore and discontinued the construction of our second production facility in China, which we historically referred to as “Asia III.” For a further discussion on risks related to these discontinuations see Part I, Item 3.D. “</w:t>
      </w:r>
      <w:r>
        <w:rPr>
          <w:rFonts w:ascii="Times New Roman" w:hAnsi="Times New Roman"/>
          <w:i/>
          <w:color w:val="000000"/>
          <w:sz w:val="20"/>
        </w:rPr>
        <w:t>Risk Factors”</w:t>
      </w:r>
      <w:r>
        <w:rPr>
          <w:rFonts w:ascii="Times New Roman" w:hAnsi="Times New Roman"/>
          <w:color w:val="000000"/>
          <w:sz w:val="20"/>
        </w:rPr>
        <w:t xml:space="preserve"> of our 2024 Annual Report.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Impact of the Current Macroeconomic Environment on our Results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business continues to be exposed to the effects of the current global macroeconomic environment, including consumer spending, inflationary pressures, geopolitical tensions, tariffs and the current trade war, and foreign exchange impacts. We continue to maintain a global focus on the controllable aspects of the business, and will continue to actively monitor and respond accordingly to the macroeconomic environment.</w:t>
      </w:r>
    </w:p>
    <w:p>
      <w:pPr>
        <w:pStyle w:val="TextBody"/>
        <w:bidi w:val="0"/>
        <w:spacing w:before="120" w:after="283"/>
        <w:jc w:val="both"/>
        <w:rPr>
          <w:rFonts w:ascii="Times New Roman" w:hAnsi="Times New Roman"/>
          <w:sz w:val="20"/>
        </w:rPr>
      </w:pPr>
      <w:r>
        <w:rPr>
          <w:rFonts w:ascii="Times New Roman" w:hAnsi="Times New Roman"/>
          <w:color w:val="000000"/>
          <w:sz w:val="20"/>
        </w:rPr>
        <w:t>For further information refer to Part I, Item 3.D. “</w:t>
      </w:r>
      <w:r>
        <w:rPr>
          <w:rFonts w:ascii="Times New Roman" w:hAnsi="Times New Roman"/>
          <w:i/>
          <w:color w:val="000000"/>
          <w:sz w:val="20"/>
        </w:rPr>
        <w:t>Risk Factors”</w:t>
      </w:r>
      <w:r>
        <w:rPr>
          <w:rFonts w:ascii="Times New Roman" w:hAnsi="Times New Roman"/>
          <w:color w:val="000000"/>
          <w:sz w:val="20"/>
        </w:rPr>
        <w:t xml:space="preserve"> of our 2024 Annual Report.</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primarily from sales of our oatmilk and other oat-based products across our three segments: Europe &amp; International, North America and Greater China. Our customers include retailers, e-commerce channels, coffee shops and other specialty providers within the foodservice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three months ended March 31, 2025, on a consolidated level, oatmilk accounted for 92% of our revenue (2024: 89%).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factors and trends in our business have driven revenue growth over prior periods and are expected to be key drivers of our revenue growth going forward: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expand household penetration to reach new consumers and increase the repeat purchase rates of existing consumers by continuing to invest in advertising and marketing to increase awareness of our brand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presence across channels: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Grow within food retail channels by increasing our distribution points with existing and new customers, capturing greater shelf space and continuing to drive velocity increases.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footprint across the foodservice channel, including independent coffee shops, branded foodservice restaurant chains, and other foodservice customers such as universities and offices.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Scale e-commerce capabilities by strategically partnering with leading third-party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Extend product offering through new product development within existing and new product categories to capture the market-specific consumer needs in each of the regions in which we operate.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new international markets through our proven foodservice-led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Optimize global production capacity to meet consumer demand.</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Gross profit and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consists of our revenue less costs of goods sold. We have scaled our production capacity significantly over the past couple of years. Our gross profit and gross margin have benefited, and we expect will continue to benefit, from the reduction in cost of goods sold driven by an increased focus on our asset-light supply chain strategy, improvements in our manufacturing operational performance, leveraging the cost of our fixed production costs, as well as a higher focus on procurement efficiencies through scale of purchasing and diversification of suppliers. Additionally, our gross margin has benefited, and we expect will continue to benefit, from an improved mix of products sold driven by the reduction or elimination of low-margin products and the growth or addition of higher-margin products. </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consist primarily of personnel-related expenses for our research and development staff, including salaries, 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include primarily personnel-related expenses for our sales, general and administrative staff,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pStyle w:val="TextBody"/>
        <w:bidi w:val="0"/>
        <w:spacing w:before="240" w:after="283"/>
        <w:jc w:val="both"/>
        <w:rPr>
          <w:rFonts w:ascii="Times New Roman" w:hAnsi="Times New Roman"/>
          <w:sz w:val="20"/>
        </w:rPr>
      </w:pPr>
      <w:r>
        <w:rPr>
          <w:rFonts w:ascii="Times New Roman" w:hAnsi="Times New Roman"/>
          <w:i/>
          <w:color w:val="000000"/>
          <w:sz w:val="20"/>
        </w:rPr>
        <w:t>Other operating income and (expenses), net,</w:t>
      </w:r>
      <w:r>
        <w:rPr>
          <w:rFonts w:ascii="Times New Roman" w:hAnsi="Times New Roman"/>
          <w:color w:val="000000"/>
          <w:sz w:val="20"/>
        </w:rPr>
        <w:t xml:space="preserve"> consists primarily of impacts related to closure of production facility, discontinued construction of certain production facilities and net foreign exchange gains (losses) on operating related activities.</w:t>
      </w:r>
    </w:p>
    <w:p>
      <w:pPr>
        <w:pStyle w:val="TextBody"/>
        <w:bidi w:val="0"/>
        <w:spacing w:before="32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Finance income and (expenses), net,</w:t>
      </w:r>
      <w:r>
        <w:rPr>
          <w:rFonts w:ascii="Times New Roman" w:hAnsi="Times New Roman"/>
          <w:color w:val="000000"/>
          <w:sz w:val="20"/>
        </w:rPr>
        <w:t xml:space="preserve"> primarily consists of fair value changes on Convertible Notes, transaction costs relating to amendments in our financing arrangements, interest expenses related to Convertible Notes and loans from credit institutions, interest expenses on lease liabilities, interest income and foreign exchange gains and losses attributable to our external and internal financing arrangements.</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represents both current and deferred income tax expenses. Current tax expenses primarily represent income taxes based on income in multiple foreign jurisdictions.</w:t>
      </w:r>
    </w:p>
    <w:p>
      <w:pPr>
        <w:pStyle w:val="Heading2"/>
        <w:bidi w:val="0"/>
        <w:spacing w:before="32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interim condensed consolidated statements of operations in U.S. dollars and as a percentage of revenue for the periods presented.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827" w:type="dxa"/>
        <w:jc w:val="left"/>
        <w:tblInd w:w="0" w:type="dxa"/>
        <w:tblLayout w:type="fixed"/>
        <w:tblCellMar>
          <w:top w:w="28" w:type="dxa"/>
          <w:left w:w="28" w:type="dxa"/>
          <w:bottom w:w="28" w:type="dxa"/>
          <w:right w:w="28" w:type="dxa"/>
        </w:tblCellMar>
      </w:tblPr>
      <w:tblGrid>
        <w:gridCol w:w="3736"/>
        <w:gridCol w:w="146"/>
        <w:gridCol w:w="146"/>
        <w:gridCol w:w="841"/>
        <w:gridCol w:w="166"/>
        <w:gridCol w:w="146"/>
        <w:gridCol w:w="146"/>
        <w:gridCol w:w="571"/>
        <w:gridCol w:w="361"/>
        <w:gridCol w:w="146"/>
        <w:gridCol w:w="146"/>
        <w:gridCol w:w="841"/>
        <w:gridCol w:w="166"/>
        <w:gridCol w:w="146"/>
        <w:gridCol w:w="146"/>
        <w:gridCol w:w="571"/>
        <w:gridCol w:w="40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revenue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revenue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 the three months ended March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decreased $1.6 million, or 0.8%, to $197.5 million for the three months ended March 31, 2025, net of sales discounts, rebates and trade promotions, compared to $199.2 million for the three months ended March 31, 2024. Excluding a foreign currency exchange headwind of $3.0 million, revenue for the first quarter was $200.6 million, or an increase of 0.7% compared to the prior year period (refer to Non-IFRS Financial Measures section below for tables reconciling revenue as reported to revenue on a constant currency basis by segment). The growth in constant currency revenue was primarily driven by very strong growth in Greater China, partially offset by decline in North America. Sold volume for the three months ended March 31, 2025 amounted to 144.6 million liters compared to 132.4 million liters for the three months ended March 31, 2024. Produced finished goods volume for the first quarter of 2025 amounted to 143.1 million liters compared to 141.0 million liters for the same period last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continued to experience revenue growth in the foodservice channel of 5.8% for the three months ended March 31, 2025 compared to the prior year period. In the three months ended March 31, 2025 and 2024, the retail channel accounted for 63.5% and 64.8% of our revenue, respectively, the foodservice channel accounted for 34.2% and 32.1% of our revenue, respectively, and the other channel, comprised primarily of e-commerce sales, accounted for 2.3% and 3.1% of our revenue,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Europe &amp; International, North America and Greater China accounted for 54.5%, 30.3% and 15.2% of our total revenue in the three months ended March 31, 2025, respectively, as compared to 55.5%, 33.6% and 10.9% of our total revenue in the three months ended March 31,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sold volume growth in Europe &amp; International was driven by continued expansion in core markets, as well as incremental contributions from new markets. The revenue growth was offset by a price/mix decline and a foreign currency exchange headwind. In North America, our sold volume and revenue decreased primarily due to lower volumes in the foodservice channel. Finally, Greater China revenue growth was primarily driven by sales to a new foodservice customer.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strategic actions and restructuring activities we have undertaken to simplify our organizational structure, our number of employees has decreased by 25 employees, to 1,468 employees as of March 31, 2025 from 1,493 employees as of March 31, 2024. The average number of full-time consultants increased by 9 consultants to 84 consultants for the three months ended March 31, 2025 from 75 consultants for the three months ended March 31, 2024.</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goods sold decreased by $10.1 million, or 6.9%, to $135.2 million for the three months ended March 31, 2025, from $145.3 million for the three months ended March 31, 2024.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decrease for the three months ended March 31, 2025 was primarily driven by an increase in supply chain efficiencies across all segments.</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Gross profit and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increased by $8.4 million, or 15.6%, to $62.3 million for the three months ended March 31, 2025, from $53.9 million for the three months ended March 31, 2024. Gross profit margin increased by 4.5 percentage points, to 31.6% for the three months ended March 31, 2025, from 27.1% for the three months ended March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for the three months ended March 31, 2025 in gross profit margin was primarily driven by improvements in supply chain efficiency across all segments.</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decreased by $0.2 million, or 5.4%, to $4.4 million for the three months ended March 31, 2025, from $4.6 million for the three months ended March 31, 2024 and decreased as a share of revenues 2.2% and 2.3%, respectively.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general and administrative expenses decreased by $1.2 million, or 1.6%, to $77.5 million for the three months ended March 31, 2025 compared to $78.7 million for the three months ended March 31, 2024 and decreased as a share of revenue to 39.2% from 39.5%, respectively. The decrease was primarily due to the continued cost savings initiatives and was primarily driven by personnel-related costs. Customer distribution expense increased as a share of revenue to 6.7% from 6.4%.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operating income and (expenses),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and (expenses), net for the three months ended March 31, 2025 was income of $1.0 million comprised primarily of $0.8 in reversal of other exit costs related to the closure of the production facility in Singapore. Other operating income and (expenses), net for the three months ended March 31, 2024 was income of $1.1 million primarily driven by $0.9 million in reversal of previously recognized non-cash impairment charges related to the Company’s discontinued construction of its production facility in Dallas-Fort Worth, Texas.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Finance income and (expenses),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income and (expenses), net for the three months ended March 31, 2025 was income of $9.4 million comprised primarily of fair value gains on Convertible Notes of $22.1 million, offset by net interest expenses of $13.6 million. The finance income and (expenses), net for the three months ended March 31, 2024 was an expense of $17.4 million comprised primarily of net interest expenses of $12.3 million and other financial expenses of $5.1 million.</w:t>
      </w:r>
    </w:p>
    <w:p>
      <w:pPr>
        <w:pStyle w:val="TextBody"/>
        <w:bidi w:val="0"/>
        <w:spacing w:before="320" w:after="283"/>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expense increased to $3.4 million for the three months ended March 31, 2025 compared to $0.1 million for the three months ended March 31, 2024. The effective tax rates for the three months ended March 31, 2025 was 36.5%. The main drivers of the effective tax rate relate to non-recognition of deferred tax assets on tax losses and tax effect relating to foreign exchange effects recognized in other comprehensive income. The effective tax rate for the three months ended March 31, 2024 was 0.1%, with non-recognition of deferred tax assets on tax losses being the main driver of the effective tax rate.</w:t>
      </w:r>
    </w:p>
    <w:p>
      <w:pPr>
        <w:pStyle w:val="Heading2"/>
        <w:bidi w:val="0"/>
        <w:spacing w:before="3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both"/>
        <w:rPr>
          <w:rFonts w:ascii="Times New Roman" w:hAnsi="Times New Roman"/>
          <w:sz w:val="20"/>
        </w:rPr>
      </w:pPr>
      <w:r>
        <w:rPr>
          <w:rFonts w:ascii="Times New Roman" w:hAnsi="Times New Roman"/>
          <w:color w:val="000000"/>
          <w:sz w:val="20"/>
        </w:rPr>
        <w:t>Since our inception, we have financed our operations primarily through cash generated by the issuance of equity and Convertible Notes,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2025 to be in the range of $30 million to $35 million, related primarily to investments in our production facilities. The amount and allocation of our future capital expenditures depend on several factors, and our strategic investment priorities may change. Our recent decisions to discontinue construction at the production facility in China (Asia III), and close the production facility in Singapore, have impacted our projected capital expenditures. We believe that our sources of liquidity and capital will be sufficient to meet our existing business needs for at least the next 12 months. See the risk factor entitled “</w:t>
      </w:r>
      <w:r>
        <w:rPr>
          <w:rFonts w:ascii="Times New Roman" w:hAnsi="Times New Roman"/>
          <w:i/>
          <w:color w:val="000000"/>
          <w:sz w:val="20"/>
        </w:rPr>
        <w:t xml:space="preserve">A failure to obtain necessary capital when needed on acceptable terms, or at all, may force us to delay, limit, reduce or terminate our product manufacturing and development and other operations” </w:t>
      </w:r>
      <w:r>
        <w:rPr>
          <w:rFonts w:ascii="Times New Roman" w:hAnsi="Times New Roman"/>
          <w:color w:val="000000"/>
          <w:sz w:val="20"/>
        </w:rPr>
        <w:t>under Part I, Item 3.D. “</w:t>
      </w:r>
      <w:r>
        <w:rPr>
          <w:rFonts w:ascii="Times New Roman" w:hAnsi="Times New Roman"/>
          <w:i/>
          <w:color w:val="000000"/>
          <w:sz w:val="20"/>
        </w:rPr>
        <w:t>Risk Factors”</w:t>
      </w:r>
      <w:r>
        <w:rPr>
          <w:rFonts w:ascii="Times New Roman" w:hAnsi="Times New Roman"/>
          <w:color w:val="000000"/>
          <w:sz w:val="20"/>
        </w:rPr>
        <w:t xml:space="preserve"> of our 2024 Annual Report.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sources of liquidity are cash and cash equivalents on hand and availability under our credit facilities. As of March 31, 2025, we had cash and cash equivalents of $74.4 million. Our cash and cash equivalents consist of cash in bank accounts.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above, we had access to $211.4 million in undrawn bank facilities as of March 31, 2025.</w:t>
      </w:r>
    </w:p>
    <w:p>
      <w:pPr>
        <w:pStyle w:val="TextBody"/>
        <w:bidi w:val="0"/>
        <w:spacing w:before="240" w:after="283"/>
        <w:jc w:val="both"/>
        <w:rPr>
          <w:rFonts w:ascii="Times New Roman" w:hAnsi="Times New Roman"/>
          <w:sz w:val="20"/>
        </w:rPr>
      </w:pPr>
      <w:r>
        <w:rPr>
          <w:rFonts w:ascii="Times New Roman" w:hAnsi="Times New Roman"/>
          <w:b/>
          <w:i/>
          <w:color w:val="000000"/>
          <w:sz w:val="20"/>
        </w:rPr>
        <w:t>Sustainable Revolving Credit Facility and Term Loan B Credit Facility</w:t>
      </w:r>
      <w:r>
        <w:rPr>
          <w:rFonts w:ascii="Times New Roman" w:hAnsi="Times New Roman"/>
          <w:color w:val="000000"/>
          <w:sz w:val="20"/>
        </w:rPr>
        <w:t xml:space="preserve">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April 18, 2023, the Company’s existing Sustainable Revolving Credit Facility Agreement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(as defined below), including in relation to incurrence of indebtedness, and (vi) the debt under the SRCF Agreement ranks pari passu with, and shares in the same security and guarantees from the Group as, the EIF Facility (as defined below) and the TLB Credit Agreement by way of the Intercreditor Agreement (as defined below).</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On April 18, 2023, we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(as defined below) and the SRCF Agreement by way of the Intercreditor Agreement. As of March 31, 2025, we had $130.7 million, including accrued interest, outstanding under the TLB Credit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an intercreditor agreement (the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of the Convertible Notes (as defined below). The Intercreditor Agreement includes customary ranking, enforcement and turnover provisions intended to govern the relationship between the creditor groups.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February 14, 2024, the SRCF Agreement and the TLB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SRCF Agreement, the tangible solvency ratio financial covenant, (ii) revise certain financial definitions to permit additional adjustments for the purpose of the calculation of the financial covenants and (iii) provide certain flexibility for disposals of assets relating to our production facilities in Dallas Fort Worth, Texas, United States of America and Peterborough, United Kingdom. In addition, the existing draw-stop level for the SRCF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TLB Credit Agreement has been reset to apply for the 18 months following the amendment effective date (for the avoidance of doubt, the subsequent 12 months’ prepayment fee period still applies after the end of such 18-month period).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Under the amended SRCF Agreement and TLB Credit Agreement, the total net leverage ratio financial covenant, tested in respect of the LTM period ending on each quarter date, will start to apply in respect of the LTM period ending on December 31, 2026, and the applicable financial covenant level will be 4.50:1, stepping down to 3.50:1 for each LTM period ending in 2027 and to 3.00:1 for each LTM period in 2028. The reset quarterly tangible solvency ratio financial covenant level applying under the amended SRCF Agreement is 30%.</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of certain of the Group’s manufacturing facilities and (iii) provide certain flexibility for disposals of assets relating to the relevant manufacturing facilities.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 less than $0, $0 may be drawn; and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(ii) equal to or greater than $75 million, the full amount of the existing facility may be drawn,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with interim steps in between, and increases requiring improved performance for two consecutive four quarter periods and reductions requiring decreased performance for one four quarter period.</w:t>
      </w:r>
    </w:p>
    <w:p>
      <w:pPr>
        <w:pStyle w:val="TextBody"/>
        <w:bidi w:val="0"/>
        <w:jc w:val="left"/>
        <w:rPr>
          <w:rFonts w:ascii="Times New Roman" w:hAnsi="Times New Roman"/>
          <w:sz w:val="20"/>
        </w:rPr>
      </w:pPr>
      <w:r>
        <w:rPr>
          <w:rFonts w:ascii="Times New Roman" w:hAnsi="Times New Roman"/>
          <w:b/>
          <w:i/>
          <w:color w:val="000000"/>
          <w:sz w:val="20"/>
        </w:rPr>
        <w:t>Convertible Notes</w:t>
      </w:r>
      <w:r>
        <w:rPr>
          <w:rFonts w:ascii="Times New Roman" w:hAnsi="Times New Roman"/>
          <w:color w:val="000000"/>
          <w:sz w:val="20"/>
        </w:rPr>
        <w:t xml:space="preserve">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Swedish Terms, will interpret the definition of “Daily VWAP” therein to assume the trading price of 1/20 of an ADS. The conversion price of the Swedish Notes was reset again on March 23, 2025, to $1.36.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April 18, 2023, we, Oatly AB, Oatly Inc. and other parties entered into the Intercreditor Agreement which includes customary ranking, enforcement and turnover provisions intended to govern the relationship between the creditor groups and which affect the Convertible Notes.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 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terms of the Convertible Notes contain covenants limiting our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applicable terms of the Convertible Notes).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Other Credit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2019, we entered into a European Investment Fund guaranteed three-year term loan facility of €7.5 million (equivalent of $8.0 million) with Svensk Exportkredit (the “EIF Facility”). The EIF Facility bears interest at EURIBOR + 2.75%. On October 6, 2022, the termination date of the EIF Facility was extended to October 11, 2025, and the amortization schedule thereunder revised, with amortizations in an amount of €0.3 million to be made on a quarterly basis effective January 11, 2023. The loan facility and interest margin remained unchanged.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14, 2024, the EIF Facility was amended and restated to, where and to the extent applicable, implement equivalent amendments as those made to the SRCF Agreement on February 14,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11, 2025, the EIF Facility was amended and restated to, where and to the extent applicable, implement equivalent amendments as those made to the SRCF Agreement on February 11,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March 31, 2025, the Group had no utilized loan amounts under the amended CMB Credit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2025, we had €0.9 million (equivalent of $1.0 million) outstanding under the EIF Facility, including accrued interest. </w:t>
      </w:r>
    </w:p>
    <w:p>
      <w:pPr>
        <w:pStyle w:val="Heading2"/>
        <w:bidi w:val="0"/>
        <w:spacing w:before="3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summary consolidated cash flow information for the periods presented.</w:t>
      </w:r>
    </w:p>
    <w:tbl>
      <w:tblPr>
        <w:tblW w:w="6791" w:type="dxa"/>
        <w:jc w:val="left"/>
        <w:tblInd w:w="0" w:type="dxa"/>
        <w:tblLayout w:type="fixed"/>
        <w:tblCellMar>
          <w:top w:w="28" w:type="dxa"/>
          <w:left w:w="28" w:type="dxa"/>
          <w:bottom w:w="28" w:type="dxa"/>
          <w:right w:w="28" w:type="dxa"/>
        </w:tblCellMar>
      </w:tblPr>
      <w:tblGrid>
        <w:gridCol w:w="4081"/>
        <w:gridCol w:w="146"/>
        <w:gridCol w:w="165"/>
        <w:gridCol w:w="835"/>
        <w:gridCol w:w="188"/>
        <w:gridCol w:w="165"/>
        <w:gridCol w:w="165"/>
        <w:gridCol w:w="835"/>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flows used in operating activities decreased by $25.5 million, to $13.6 million for the three months ended March 31, 2025 from $39.1 million for the three months ended March 31, 2024, which was driven by improved operating results and lower negative impact from changes in working capital.</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Net cash (used in)/from 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flows (used in)/from investing activities decreased by $14.5 million, to an outflow of $6.6 million for the three months ended March 31, 2025 compared to an inflow of $7.8 million for the three months ended March 31, 2024. During the three months ended March 31, 2025 our investments in property, plant and equipment amounted to $6.7 million. For the three months ended March 31, 2024 our investments in property plant and equipment amounted to $5.7 million which was offset by proceeds from sale of property, plant and equipment of $14.0 million related to sold assets due to the discontinued construction of our production facilities in Peterborough, United Kingdom and Dallas-Forth Worth, Texas.</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Net cash used in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flows used in financing activities decreased by $3.7 million, to an outflow of $5.1 million for the three months ended March 31, 2025 from an outflow of $8.7 million for the three months ended March 31, 2024, which was primarily driven by lower payment of loan transaction costs in 2025.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2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information regarding our contractual commitments and contingencies, see Note 25 </w:t>
      </w:r>
      <w:r>
        <w:rPr>
          <w:rFonts w:ascii="Times New Roman" w:hAnsi="Times New Roman"/>
          <w:i/>
          <w:color w:val="000000"/>
          <w:sz w:val="20"/>
        </w:rPr>
        <w:t>Commitments and Contingencies</w:t>
      </w:r>
      <w:r>
        <w:rPr>
          <w:rFonts w:ascii="Times New Roman" w:hAnsi="Times New Roman"/>
          <w:color w:val="000000"/>
          <w:sz w:val="20"/>
        </w:rPr>
        <w:t xml:space="preserve"> to our interim condensed consolidated financial statements, which are included elsewhere in this Report.</w:t>
      </w:r>
    </w:p>
    <w:p>
      <w:pPr>
        <w:pStyle w:val="Heading2"/>
        <w:bidi w:val="0"/>
        <w:spacing w:before="320" w:after="283"/>
        <w:jc w:val="left"/>
        <w:rPr>
          <w:rFonts w:ascii="Times New Roman" w:hAnsi="Times New Roman"/>
          <w:b/>
          <w:i/>
          <w:color w:val="000000"/>
          <w:sz w:val="20"/>
        </w:rPr>
      </w:pPr>
      <w:r>
        <w:rPr>
          <w:rFonts w:ascii="Times New Roman" w:hAnsi="Times New Roman"/>
          <w:b/>
          <w:i/>
          <w:color w:val="000000"/>
          <w:sz w:val="20"/>
        </w:rPr>
        <w:t>Non-IFRS Financial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EBITDA, Adjusted EBITDA, Constant Currency Revenue as non-IFRS financial measures in assessing our operating performance and Free Cash Flow as a non-IFRS liquidity measure, and each in our financial communications: </w:t>
      </w:r>
    </w:p>
    <w:p>
      <w:pPr>
        <w:pStyle w:val="TextBody"/>
        <w:bidi w:val="0"/>
        <w:spacing w:before="240" w:after="283"/>
        <w:jc w:val="both"/>
        <w:rPr/>
      </w:pPr>
      <w:r>
        <w:rPr>
          <w:color w:val="000000"/>
        </w:rPr>
        <w:t>“</w:t>
      </w:r>
      <w:r>
        <w:rPr>
          <w:rFonts w:ascii="Times New Roman" w:hAnsi="Times New Roman"/>
          <w:color w:val="000000"/>
          <w:sz w:val="20"/>
        </w:rPr>
        <w:t>EBITDA” is defined as loss for the period adjusted to exclude, when applicable, income tax expense, finance expenses, finance income and depreciation and amortization expense.</w:t>
      </w:r>
    </w:p>
    <w:p>
      <w:pPr>
        <w:pStyle w:val="TextBody"/>
        <w:bidi w:val="0"/>
        <w:spacing w:before="240" w:after="283"/>
        <w:jc w:val="both"/>
        <w:rPr>
          <w:color w:val="000000"/>
        </w:rPr>
      </w:pPr>
      <w:r>
        <w:rPr>
          <w:color w:val="000000"/>
        </w:rPr>
        <w:t>“</w:t>
      </w:r>
      <w:r>
        <w:rPr>
          <w:rFonts w:ascii="Times New Roman" w:hAnsi="Times New Roman"/>
          <w:color w:val="000000"/>
          <w:sz w:val="20"/>
        </w:rPr>
        <w:t>Adjusted EBITDA” is defined as loss for the period adjusted to exclude, when applicable, income tax expense, finance expenses, finance income, depreciation and amortization expense, share-based compensation expense, restructuring costs, impacts related to closure of production facility, discontinued construction of production facilities and non-controlling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excludes depreciation and amortization expense and, although these are non-cash expenses, the assets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the cash required to service our debt, which reduces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income tax payments that reduce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recurring share-based compensation expense and, therefore, does not include all of our compensation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restructuring costs that reduce cash available to us in future periods;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closure of production facility,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discontinued construction of production facilities,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may calculate Adjusted EBITDA differently, which reduces its usefulness as a comparative measure.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pStyle w:val="TextBody"/>
        <w:bidi w:val="0"/>
        <w:spacing w:before="240" w:after="283"/>
        <w:jc w:val="both"/>
        <w:rPr/>
      </w:pPr>
      <w:r>
        <w:rPr/>
        <w:t> </w:t>
      </w:r>
    </w:p>
    <w:tbl>
      <w:tblPr>
        <w:tblW w:w="7061" w:type="dxa"/>
        <w:jc w:val="left"/>
        <w:tblInd w:w="0" w:type="dxa"/>
        <w:tblLayout w:type="fixed"/>
        <w:tblCellMar>
          <w:top w:w="28" w:type="dxa"/>
          <w:left w:w="28" w:type="dxa"/>
          <w:bottom w:w="28" w:type="dxa"/>
          <w:right w:w="28" w:type="dxa"/>
        </w:tblCellMar>
      </w:tblPr>
      <w:tblGrid>
        <w:gridCol w:w="4351"/>
        <w:gridCol w:w="146"/>
        <w:gridCol w:w="165"/>
        <w:gridCol w:w="835"/>
        <w:gridCol w:w="188"/>
        <w:gridCol w:w="165"/>
        <w:gridCol w:w="165"/>
        <w:gridCol w:w="835"/>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Discontinued construction of production facilities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(3,731</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Relates primarily to severance costs as the Group adjusts its organizational structure.</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Relates to reversal of previously recognized exit costs related to closure of the Group’s production facility in Singapore.</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Relates to reversal of previously recognized non-cash impairments related to discontinued construction of the Group’s production facility in Dallas-Fort Worth, Texas.</w:t>
      </w:r>
    </w:p>
    <w:p>
      <w:pPr>
        <w:pStyle w:val="TextBody"/>
        <w:bidi w:val="0"/>
        <w:spacing w:before="240" w:after="283"/>
        <w:jc w:val="both"/>
        <w:rPr>
          <w:color w:val="000000"/>
        </w:rPr>
      </w:pPr>
      <w:r>
        <w:rPr>
          <w:color w:val="000000"/>
        </w:rPr>
        <w:t>“</w:t>
      </w:r>
      <w:r>
        <w:rPr>
          <w:rFonts w:ascii="Times New Roman" w:hAnsi="Times New Roman"/>
          <w:color w:val="000000"/>
          <w:sz w:val="20"/>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reconciles revenue as reported to revenue on a constant currency basis by segment for the three months ended March 31, 2025.</w:t>
      </w:r>
    </w:p>
    <w:p>
      <w:pPr>
        <w:pStyle w:val="TextBody"/>
        <w:bidi w:val="0"/>
        <w:jc w:val="both"/>
        <w:rPr/>
      </w:pPr>
      <w:r>
        <w:rPr/>
        <w:t> </w:t>
      </w:r>
    </w:p>
    <w:tbl>
      <w:tblPr>
        <w:tblW w:w="12093" w:type="dxa"/>
        <w:jc w:val="left"/>
        <w:tblInd w:w="0" w:type="dxa"/>
        <w:tblLayout w:type="fixed"/>
        <w:tblCellMar>
          <w:top w:w="28" w:type="dxa"/>
          <w:left w:w="28" w:type="dxa"/>
          <w:bottom w:w="28" w:type="dxa"/>
          <w:right w:w="28" w:type="dxa"/>
        </w:tblCellMar>
      </w:tblPr>
      <w:tblGrid>
        <w:gridCol w:w="1366"/>
        <w:gridCol w:w="146"/>
        <w:gridCol w:w="146"/>
        <w:gridCol w:w="781"/>
        <w:gridCol w:w="146"/>
        <w:gridCol w:w="146"/>
        <w:gridCol w:w="146"/>
        <w:gridCol w:w="781"/>
        <w:gridCol w:w="146"/>
        <w:gridCol w:w="146"/>
        <w:gridCol w:w="146"/>
        <w:gridCol w:w="781"/>
        <w:gridCol w:w="146"/>
        <w:gridCol w:w="146"/>
        <w:gridCol w:w="146"/>
        <w:gridCol w:w="635"/>
        <w:gridCol w:w="166"/>
        <w:gridCol w:w="146"/>
        <w:gridCol w:w="146"/>
        <w:gridCol w:w="781"/>
        <w:gridCol w:w="146"/>
        <w:gridCol w:w="146"/>
        <w:gridCol w:w="159"/>
        <w:gridCol w:w="577"/>
        <w:gridCol w:w="301"/>
        <w:gridCol w:w="146"/>
        <w:gridCol w:w="163"/>
        <w:gridCol w:w="588"/>
        <w:gridCol w:w="301"/>
        <w:gridCol w:w="146"/>
        <w:gridCol w:w="146"/>
        <w:gridCol w:w="526"/>
        <w:gridCol w:w="301"/>
        <w:gridCol w:w="146"/>
        <w:gridCol w:w="166"/>
        <w:gridCol w:w="600"/>
        <w:gridCol w:w="34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240" w:after="283"/>
        <w:jc w:val="both"/>
        <w:rPr>
          <w:color w:val="000000"/>
        </w:rPr>
      </w:pPr>
      <w:r>
        <w:rPr>
          <w:color w:val="000000"/>
        </w:rPr>
        <w:t>“</w:t>
      </w:r>
      <w:r>
        <w:rPr>
          <w:rFonts w:ascii="Times New Roman" w:hAnsi="Times New Roman"/>
          <w:color w:val="000000"/>
          <w:sz w:val="20"/>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 </w:t>
      </w:r>
    </w:p>
    <w:p>
      <w:pPr>
        <w:pStyle w:val="TextBody"/>
        <w:bidi w:val="0"/>
        <w:spacing w:before="240" w:after="283"/>
        <w:jc w:val="both"/>
        <w:rPr/>
      </w:pPr>
      <w:r>
        <w:rPr/>
        <w:t> </w:t>
      </w:r>
    </w:p>
    <w:tbl>
      <w:tblPr>
        <w:tblW w:w="6251" w:type="dxa"/>
        <w:jc w:val="left"/>
        <w:tblInd w:w="0" w:type="dxa"/>
        <w:tblLayout w:type="fixed"/>
        <w:tblCellMar>
          <w:top w:w="28" w:type="dxa"/>
          <w:left w:w="28" w:type="dxa"/>
          <w:bottom w:w="28" w:type="dxa"/>
          <w:right w:w="28" w:type="dxa"/>
        </w:tblCellMar>
      </w:tblPr>
      <w:tblGrid>
        <w:gridCol w:w="3541"/>
        <w:gridCol w:w="146"/>
        <w:gridCol w:w="165"/>
        <w:gridCol w:w="835"/>
        <w:gridCol w:w="188"/>
        <w:gridCol w:w="165"/>
        <w:gridCol w:w="165"/>
        <w:gridCol w:w="835"/>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(20,509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Free cash flow was an outflow of $20.5 million for the three months ended March 31, 2025 compared to an outflow of $45.3 million during the prior year period. The improvement in free cash flow was driven by decreased net cash flows used in operating activities.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pPr>
      <w:r>
        <w:rPr/>
        <w:t> </w:t>
      </w:r>
    </w:p>
    <w:p>
      <w:pPr>
        <w:pStyle w:val="Heading2"/>
        <w:bidi w:val="0"/>
        <w:spacing w:before="120" w:after="240"/>
        <w:jc w:val="left"/>
        <w:rPr>
          <w:rFonts w:ascii="Times New Roman" w:hAnsi="Times New Roman"/>
          <w:b/>
          <w:i/>
          <w:color w:val="000000"/>
          <w:sz w:val="20"/>
        </w:rPr>
      </w:pPr>
      <w:r>
        <w:rPr>
          <w:rFonts w:ascii="Times New Roman" w:hAnsi="Times New Roman"/>
          <w:b/>
          <w:i/>
          <w:color w:val="000000"/>
          <w:sz w:val="20"/>
        </w:rPr>
        <w:t>Segment Information</w:t>
      </w:r>
    </w:p>
    <w:tbl>
      <w:tblPr>
        <w:tblW w:w="10205" w:type="dxa"/>
        <w:jc w:val="left"/>
        <w:tblInd w:w="0" w:type="dxa"/>
        <w:tblLayout w:type="fixed"/>
        <w:tblCellMar>
          <w:top w:w="28" w:type="dxa"/>
          <w:left w:w="28" w:type="dxa"/>
          <w:bottom w:w="28" w:type="dxa"/>
          <w:right w:w="28" w:type="dxa"/>
        </w:tblCellMar>
      </w:tblPr>
      <w:tblGrid>
        <w:gridCol w:w="2185"/>
        <w:gridCol w:w="146"/>
        <w:gridCol w:w="218"/>
        <w:gridCol w:w="1172"/>
        <w:gridCol w:w="166"/>
        <w:gridCol w:w="146"/>
        <w:gridCol w:w="163"/>
        <w:gridCol w:w="755"/>
        <w:gridCol w:w="166"/>
        <w:gridCol w:w="146"/>
        <w:gridCol w:w="161"/>
        <w:gridCol w:w="749"/>
        <w:gridCol w:w="166"/>
        <w:gridCol w:w="146"/>
        <w:gridCol w:w="149"/>
        <w:gridCol w:w="752"/>
        <w:gridCol w:w="166"/>
        <w:gridCol w:w="146"/>
        <w:gridCol w:w="197"/>
        <w:gridCol w:w="854"/>
        <w:gridCol w:w="166"/>
        <w:gridCol w:w="146"/>
        <w:gridCol w:w="146"/>
        <w:gridCol w:w="781"/>
        <w:gridCol w:w="217"/>
      </w:tblGrid>
      <w:tr>
        <w:trPr/>
        <w:tc>
          <w:tcPr>
            <w:tcW w:w="2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Adjusted EBITDA and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2024</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199,155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Discontinued construction of production facilities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(45,790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rFonts w:ascii="Times New Roman" w:hAnsi="Times New Roman"/>
          <w:color w:val="000000"/>
          <w:sz w:val="20"/>
        </w:rPr>
      </w:pPr>
      <w:r>
        <w:rPr>
          <w:rFonts w:ascii="Times New Roman" w:hAnsi="Times New Roman"/>
          <w:color w:val="000000"/>
          <w:sz w:val="20"/>
        </w:rPr>
        <w:t>* Corporate consists of general costs not allocated to the segments.</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 Eliminations in 2025 and 2024 refer to intersegment revenue for sales of products from Europe &amp; International to Greater China.</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(1) Relates primarily to severance costs as the Group adjusts its organizational structure.</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(2) Relates to reversal of previously recognized exit costs related to closure of the Group’s production facility in Singapore.</w:t>
      </w:r>
    </w:p>
    <w:p>
      <w:pPr>
        <w:pStyle w:val="TextBody"/>
        <w:bidi w:val="0"/>
        <w:jc w:val="left"/>
        <w:rPr>
          <w:rFonts w:ascii="Times New Roman" w:hAnsi="Times New Roman"/>
          <w:color w:val="000000"/>
          <w:sz w:val="20"/>
        </w:rPr>
      </w:pPr>
      <w:r>
        <w:rPr>
          <w:rFonts w:ascii="Times New Roman" w:hAnsi="Times New Roman"/>
          <w:color w:val="000000"/>
          <w:sz w:val="20"/>
        </w:rPr>
        <w:t>(3) Relates to reversal of previously recognized non-cash impairments related to discontinued construction of the Group’s production facility in Dallas-Fort Worth, Texas.</w:t>
      </w:r>
    </w:p>
    <w:p>
      <w:pPr>
        <w:pStyle w:val="Heading2"/>
        <w:bidi w:val="0"/>
        <w:spacing w:before="320" w:after="283"/>
        <w:jc w:val="left"/>
        <w:rPr>
          <w:rFonts w:ascii="Times New Roman" w:hAnsi="Times New Roman"/>
          <w:sz w:val="20"/>
        </w:rPr>
      </w:pPr>
      <w:r>
        <w:rPr>
          <w:rFonts w:ascii="Times New Roman" w:hAnsi="Times New Roman"/>
          <w:b/>
          <w:i/>
          <w:color w:val="000000"/>
          <w:sz w:val="20"/>
        </w:rPr>
        <w:t>Off-Balance Sheet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noBreakHyphen/>
        <w:t>balance sheet arrangements or other contractually narrow or limited purposes.</w:t>
      </w:r>
    </w:p>
    <w:p>
      <w:pPr>
        <w:pStyle w:val="Heading2"/>
        <w:bidi w:val="0"/>
        <w:spacing w:before="320" w:after="283"/>
        <w:jc w:val="left"/>
        <w:rPr>
          <w:rFonts w:ascii="Times New Roman" w:hAnsi="Times New Roman"/>
          <w:sz w:val="20"/>
        </w:rPr>
      </w:pPr>
      <w:r>
        <w:rPr>
          <w:rFonts w:ascii="Times New Roman" w:hAnsi="Times New Roman"/>
          <w:b/>
          <w:i/>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prepare our interim condensed consolidated financial statements in accordance with IAS 34 </w:t>
      </w:r>
      <w:r>
        <w:rPr>
          <w:rFonts w:ascii="Times New Roman" w:hAnsi="Times New Roman"/>
          <w:i/>
          <w:color w:val="000000"/>
          <w:sz w:val="20"/>
        </w:rPr>
        <w:t>Interim Financial Reporting</w:t>
      </w:r>
      <w:r>
        <w:rPr>
          <w:rFonts w:ascii="Times New Roman" w:hAnsi="Times New Roman"/>
          <w:color w:val="000000"/>
          <w:sz w:val="20"/>
        </w:rPr>
        <w:t xml:space="preserve">.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critical accounting policies are described under the heading “Critical Accounting Estimates” in our 2024 Annual Report and the notes to the audited financial statements in our 2024 Annual Report. Our critical accounting policies and estimates are the same as those discussed in our 2024 Annual Report.</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accounting policies</w:t>
      </w:r>
      <w:r>
        <w:rPr>
          <w:rFonts w:ascii="Times New Roman" w:hAnsi="Times New Roman"/>
          <w:color w:val="000000"/>
          <w:sz w:val="20"/>
        </w:rPr>
        <w:t xml:space="preserve"> to our interim condensed consolidated financial statements appearing elsewhere in this Report.</w:t>
      </w:r>
    </w:p>
    <w:p>
      <w:pPr>
        <w:pStyle w:val="Heading2"/>
        <w:bidi w:val="0"/>
        <w:spacing w:before="320" w:after="283"/>
        <w:jc w:val="left"/>
        <w:rPr>
          <w:rFonts w:ascii="Times New Roman" w:hAnsi="Times New Roman"/>
          <w:b/>
          <w:i/>
          <w:color w:val="000000"/>
          <w:sz w:val="20"/>
        </w:rPr>
      </w:pPr>
      <w:bookmarkStart w:id="10" w:name="item_3_qualitative_quantitative_disclosu"/>
      <w:bookmarkEnd w:id="10"/>
      <w:r>
        <w:rPr>
          <w:rFonts w:ascii="Times New Roman" w:hAnsi="Times New Roman"/>
          <w:b/>
          <w:i/>
          <w:color w:val="000000"/>
          <w:sz w:val="20"/>
        </w:rPr>
        <w:t>Item 3. Qualitative and Quantitative Disclosures about Market Risk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hAnsi="Times New Roman"/>
          <w:i/>
          <w:color w:val="000000"/>
          <w:sz w:val="20"/>
        </w:rPr>
        <w:t>Financial risk management</w:t>
      </w:r>
      <w:r>
        <w:rPr>
          <w:rFonts w:ascii="Times New Roman" w:hAnsi="Times New Roman"/>
          <w:color w:val="000000"/>
          <w:sz w:val="20"/>
        </w:rPr>
        <w:t xml:space="preserve"> to our audited consolidated financial statements for the year ended December 31, 2024 included in our 2024 Annual Report.</w:t>
      </w:r>
    </w:p>
    <w:p>
      <w:pPr>
        <w:pStyle w:val="Heading1"/>
        <w:bidi w:val="0"/>
        <w:spacing w:before="240" w:after="120"/>
        <w:jc w:val="left"/>
        <w:rPr>
          <w:rFonts w:ascii="Times New Roman" w:hAnsi="Times New Roman"/>
          <w:b/>
          <w:color w:val="000000"/>
          <w:sz w:val="20"/>
        </w:rPr>
      </w:pPr>
      <w:r>
        <w:rPr>
          <w:rFonts w:ascii="Times New Roman" w:hAnsi="Times New Roman"/>
          <w:b/>
          <w:color w:val="000000"/>
          <w:sz w:val="20"/>
        </w:rPr>
        <w:t>Part II – OTHER INFORMATION</w:t>
      </w:r>
    </w:p>
    <w:p>
      <w:pPr>
        <w:pStyle w:val="Heading2"/>
        <w:bidi w:val="0"/>
        <w:spacing w:before="120" w:after="120"/>
        <w:jc w:val="left"/>
        <w:rPr>
          <w:rFonts w:ascii="Times New Roman" w:hAnsi="Times New Roman"/>
          <w:sz w:val="20"/>
        </w:rPr>
      </w:pPr>
      <w:bookmarkStart w:id="11" w:name="item_1_legal_proceedings"/>
      <w:bookmarkEnd w:id="11"/>
      <w:r>
        <w:rPr>
          <w:rFonts w:ascii="Times New Roman" w:hAnsi="Times New Roman"/>
          <w:b/>
          <w:i/>
          <w:color w:val="000000"/>
          <w:sz w:val="20"/>
        </w:rPr>
        <w:t>Item 1. 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pStyle w:val="Heading2"/>
        <w:bidi w:val="0"/>
        <w:spacing w:before="320" w:after="283"/>
        <w:jc w:val="left"/>
        <w:rPr>
          <w:rFonts w:ascii="Times New Roman" w:hAnsi="Times New Roman"/>
          <w:b/>
          <w:i/>
          <w:color w:val="000000"/>
          <w:sz w:val="20"/>
        </w:rPr>
      </w:pPr>
      <w:bookmarkStart w:id="12" w:name="item_1a_risk_factors"/>
      <w:bookmarkEnd w:id="12"/>
      <w:r>
        <w:rPr>
          <w:rFonts w:ascii="Times New Roman" w:hAnsi="Times New Roman"/>
          <w:b/>
          <w:i/>
          <w:color w:val="000000"/>
          <w:sz w:val="20"/>
        </w:rPr>
        <w:t>Item 1A. Risk Factors</w:t>
      </w:r>
    </w:p>
    <w:p>
      <w:pPr>
        <w:pStyle w:val="TextBody"/>
        <w:bidi w:val="0"/>
        <w:spacing w:before="240" w:after="283"/>
        <w:jc w:val="both"/>
        <w:rPr>
          <w:rFonts w:ascii="Times New Roman" w:hAnsi="Times New Roman"/>
          <w:sz w:val="20"/>
        </w:rPr>
      </w:pPr>
      <w:r>
        <w:rPr>
          <w:rFonts w:ascii="Times New Roman" w:hAnsi="Times New Roman"/>
          <w:color w:val="000000"/>
          <w:sz w:val="20"/>
        </w:rPr>
        <w:t>There have been no material changes to our risk factors since those reported in Part I, Item 3.D. “</w:t>
      </w:r>
      <w:r>
        <w:rPr>
          <w:rFonts w:ascii="Times New Roman" w:hAnsi="Times New Roman"/>
          <w:i/>
          <w:color w:val="000000"/>
          <w:sz w:val="20"/>
        </w:rPr>
        <w:t>Risk Factors”</w:t>
      </w:r>
      <w:r>
        <w:rPr>
          <w:rFonts w:ascii="Times New Roman" w:hAnsi="Times New Roman"/>
          <w:color w:val="000000"/>
          <w:sz w:val="20"/>
        </w:rPr>
        <w:t xml:space="preserve"> of our 2024 Annual Report.</w:t>
      </w:r>
    </w:p>
    <w:p>
      <w:pPr>
        <w:pStyle w:val="TextBody"/>
        <w:bidi w:val="0"/>
        <w:jc w:val="left"/>
        <w:rPr/>
      </w:pPr>
      <w:r>
        <w:rPr/>
        <w:t> </w:t>
      </w:r>
    </w:p>
    <w:p>
      <w:pPr>
        <w:pStyle w:val="Heading2"/>
        <w:bidi w:val="0"/>
        <w:spacing w:before="320" w:after="283"/>
        <w:jc w:val="left"/>
        <w:rPr>
          <w:rFonts w:ascii="Times New Roman" w:hAnsi="Times New Roman"/>
          <w:b/>
          <w:i/>
          <w:color w:val="000000"/>
          <w:sz w:val="20"/>
        </w:rPr>
      </w:pPr>
      <w:bookmarkStart w:id="13" w:name="item_2_unregistered_sales_equity_securit"/>
      <w:bookmarkEnd w:id="13"/>
      <w:r>
        <w:rPr>
          <w:rFonts w:ascii="Times New Roman" w:hAnsi="Times New Roman"/>
          <w:b/>
          <w:i/>
          <w:color w:val="000000"/>
          <w:sz w:val="20"/>
        </w:rPr>
        <w:t>Item 2. Unregistered Sales of Equity Securities and Use of Proceeds</w:t>
      </w:r>
    </w:p>
    <w:p>
      <w:pPr>
        <w:pStyle w:val="Heading2"/>
        <w:bidi w:val="0"/>
        <w:spacing w:before="24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Item 2 in Part II of the Company’s Report on Form 6-K filed on November 15, 2021 is incorporated by reference herein.</w:t>
      </w:r>
    </w:p>
    <w:p>
      <w:pPr>
        <w:pStyle w:val="Heading2"/>
        <w:bidi w:val="0"/>
        <w:spacing w:before="320" w:after="283"/>
        <w:jc w:val="left"/>
        <w:rPr>
          <w:rFonts w:ascii="Times New Roman" w:hAnsi="Times New Roman"/>
          <w:b/>
          <w:i/>
          <w:color w:val="000000"/>
          <w:sz w:val="20"/>
        </w:rPr>
      </w:pPr>
      <w:bookmarkStart w:id="14" w:name="item_3_defaults_upon_senior_securities"/>
      <w:bookmarkEnd w:id="14"/>
      <w:r>
        <w:rPr>
          <w:rFonts w:ascii="Times New Roman" w:hAnsi="Times New Roman"/>
          <w:b/>
          <w:i/>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signatures"/>
      <w:bookmarkEnd w:id="15"/>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574" w:type="dxa"/>
        <w:jc w:val="left"/>
        <w:tblInd w:w="0" w:type="dxa"/>
        <w:tblLayout w:type="fixed"/>
        <w:tblCellMar>
          <w:top w:w="28" w:type="dxa"/>
          <w:left w:w="28" w:type="dxa"/>
          <w:bottom w:w="28" w:type="dxa"/>
          <w:right w:w="28" w:type="dxa"/>
        </w:tblCellMar>
      </w:tblPr>
      <w:tblGrid>
        <w:gridCol w:w="1786"/>
        <w:gridCol w:w="146"/>
        <w:gridCol w:w="631"/>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Oatly Group AB</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19459</Words>
  <Characters>106219</Characters>
  <CharactersWithSpaces>127307</CharactersWithSpaces>
  <Paragraphs>6691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