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83"/>
        </w:trPr>
        <w:tc>
          <w:tcPr>
            <w:tcW w:w="1940" w:type="dxa"/>
            <w:vAlign w:val="bottom"/>
          </w:tcPr>
          <w:p>
            <w:pPr>
              <w:spacing w:after="0"/>
              <w:rPr>
                <w:sz w:val="20"/>
                <w:szCs w:val="20"/>
                <w:color w:val="auto"/>
              </w:rPr>
            </w:pPr>
            <w:r>
              <w:rPr>
                <w:rFonts w:ascii="Times New Roman" w:cs="Times New Roman" w:eastAsia="Times New Roman" w:hAnsi="Times New Roman"/>
                <w:sz w:val="22"/>
                <w:szCs w:val="22"/>
                <w:color w:val="auto"/>
              </w:rPr>
              <w:t>SEC Form 3</w:t>
            </w:r>
          </w:p>
        </w:tc>
        <w:tc>
          <w:tcPr>
            <w:tcW w:w="6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940" w:type="dxa"/>
            <w:vAlign w:val="bottom"/>
          </w:tcPr>
          <w:p>
            <w:pPr>
              <w:ind w:left="640"/>
              <w:spacing w:after="0" w:line="273" w:lineRule="exact"/>
              <w:rPr>
                <w:sz w:val="20"/>
                <w:szCs w:val="20"/>
                <w:color w:val="auto"/>
              </w:rPr>
            </w:pPr>
            <w:r>
              <w:rPr>
                <w:rFonts w:ascii="Arial" w:cs="Arial" w:eastAsia="Arial" w:hAnsi="Arial"/>
                <w:sz w:val="24"/>
                <w:szCs w:val="24"/>
                <w:b w:val="1"/>
                <w:bCs w:val="1"/>
                <w:color w:val="auto"/>
              </w:rPr>
              <w:t>FORM 3</w:t>
            </w:r>
          </w:p>
        </w:tc>
        <w:tc>
          <w:tcPr>
            <w:tcW w:w="6900" w:type="dxa"/>
            <w:vAlign w:val="bottom"/>
          </w:tcPr>
          <w:p>
            <w:pPr>
              <w:jc w:val="center"/>
              <w:ind w:left="10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6900" w:type="dxa"/>
            <w:vAlign w:val="bottom"/>
            <w:vMerge w:val="restart"/>
          </w:tcPr>
          <w:p>
            <w:pPr>
              <w:jc w:val="center"/>
              <w:ind w:left="102"/>
              <w:spacing w:after="0" w:line="151"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1940" w:type="dxa"/>
            <w:vAlign w:val="bottom"/>
          </w:tcPr>
          <w:p>
            <w:pPr>
              <w:spacing w:after="0"/>
              <w:rPr>
                <w:sz w:val="8"/>
                <w:szCs w:val="8"/>
                <w:color w:val="auto"/>
              </w:rPr>
            </w:pPr>
          </w:p>
        </w:tc>
        <w:tc>
          <w:tcPr>
            <w:tcW w:w="69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0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1940" w:type="dxa"/>
            <w:vAlign w:val="bottom"/>
          </w:tcPr>
          <w:p>
            <w:pPr>
              <w:spacing w:after="0"/>
              <w:rPr>
                <w:sz w:val="10"/>
                <w:szCs w:val="10"/>
                <w:color w:val="auto"/>
              </w:rPr>
            </w:pPr>
          </w:p>
        </w:tc>
        <w:tc>
          <w:tcPr>
            <w:tcW w:w="6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1940" w:type="dxa"/>
            <w:vAlign w:val="bottom"/>
          </w:tcPr>
          <w:p>
            <w:pPr>
              <w:spacing w:after="0" w:line="20" w:lineRule="exact"/>
              <w:rPr>
                <w:sz w:val="1"/>
                <w:szCs w:val="1"/>
                <w:color w:val="auto"/>
              </w:rPr>
            </w:pPr>
          </w:p>
        </w:tc>
        <w:tc>
          <w:tcPr>
            <w:tcW w:w="6900" w:type="dxa"/>
            <w:vAlign w:val="bottom"/>
            <w:vMerge w:val="restart"/>
          </w:tcPr>
          <w:p>
            <w:pPr>
              <w:jc w:val="center"/>
              <w:ind w:left="102"/>
              <w:spacing w:after="0" w:line="197"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940" w:type="dxa"/>
            <w:vAlign w:val="bottom"/>
          </w:tcPr>
          <w:p>
            <w:pPr>
              <w:spacing w:after="0"/>
              <w:rPr>
                <w:sz w:val="13"/>
                <w:szCs w:val="13"/>
                <w:color w:val="auto"/>
              </w:rPr>
            </w:pPr>
          </w:p>
        </w:tc>
        <w:tc>
          <w:tcPr>
            <w:tcW w:w="69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1940" w:type="dxa"/>
            <w:vAlign w:val="bottom"/>
          </w:tcPr>
          <w:p>
            <w:pPr>
              <w:spacing w:after="0"/>
              <w:rPr>
                <w:sz w:val="3"/>
                <w:szCs w:val="3"/>
                <w:color w:val="auto"/>
              </w:rPr>
            </w:pPr>
          </w:p>
        </w:tc>
        <w:tc>
          <w:tcPr>
            <w:tcW w:w="69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1940" w:type="dxa"/>
            <w:vAlign w:val="bottom"/>
          </w:tcPr>
          <w:p>
            <w:pPr>
              <w:spacing w:after="0"/>
              <w:rPr>
                <w:sz w:val="16"/>
                <w:szCs w:val="16"/>
                <w:color w:val="auto"/>
              </w:rPr>
            </w:pPr>
          </w:p>
        </w:tc>
        <w:tc>
          <w:tcPr>
            <w:tcW w:w="6900" w:type="dxa"/>
            <w:vAlign w:val="bottom"/>
            <w:vMerge w:val="restart"/>
          </w:tcPr>
          <w:p>
            <w:pPr>
              <w:jc w:val="center"/>
              <w:ind w:left="10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04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1940" w:type="dxa"/>
            <w:vAlign w:val="bottom"/>
          </w:tcPr>
          <w:p>
            <w:pPr>
              <w:spacing w:after="0"/>
              <w:rPr>
                <w:sz w:val="16"/>
                <w:szCs w:val="16"/>
                <w:color w:val="auto"/>
              </w:rPr>
            </w:pPr>
          </w:p>
        </w:tc>
        <w:tc>
          <w:tcPr>
            <w:tcW w:w="69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1940" w:type="dxa"/>
            <w:vAlign w:val="bottom"/>
          </w:tcPr>
          <w:p>
            <w:pPr>
              <w:spacing w:after="0"/>
              <w:rPr>
                <w:sz w:val="3"/>
                <w:szCs w:val="3"/>
                <w:color w:val="auto"/>
              </w:rPr>
            </w:pPr>
          </w:p>
        </w:tc>
        <w:tc>
          <w:tcPr>
            <w:tcW w:w="69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194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6885305</wp:posOffset>
            </wp:positionH>
            <wp:positionV relativeFrom="paragraph">
              <wp:posOffset>-656590</wp:posOffset>
            </wp:positionV>
            <wp:extent cx="59690" cy="6699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9925"/>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-656590</wp:posOffset>
            </wp:positionV>
            <wp:extent cx="59690" cy="6699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92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6986905" cy="39274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86905" cy="3927475"/>
                    </a:xfrm>
                    <a:prstGeom prst="rect">
                      <a:avLst/>
                    </a:prstGeom>
                    <a:noFill/>
                  </pic:spPr>
                </pic:pic>
              </a:graphicData>
            </a:graphic>
          </wp:anchor>
        </w:drawing>
      </w:r>
    </w:p>
    <w:p>
      <w:pPr>
        <w:sectPr>
          <w:pgSz w:w="11900" w:h="16838" w:orient="portrait"/>
          <w:cols w:equalWidth="0" w:num="1">
            <w:col w:w="10980"/>
          </w:cols>
          <w:pgMar w:left="460" w:top="220" w:right="459" w:bottom="1440" w:gutter="0" w:footer="0" w:header="0"/>
        </w:sectPr>
      </w:pPr>
    </w:p>
    <w:p>
      <w:pPr>
        <w:spacing w:after="0" w:line="33"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14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4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120" w:type="dxa"/>
            <w:vAlign w:val="bottom"/>
            <w:gridSpan w:val="3"/>
            <w:vMerge w:val="restart"/>
          </w:tcPr>
          <w:p>
            <w:pPr>
              <w:ind w:left="40"/>
              <w:spacing w:after="0"/>
              <w:rPr>
                <w:rFonts w:ascii="Times New Roman" w:cs="Times New Roman" w:eastAsia="Times New Roman" w:hAnsi="Times New Roman"/>
                <w:sz w:val="22"/>
                <w:szCs w:val="22"/>
                <w:color w:val="0000EE"/>
              </w:rPr>
            </w:pPr>
            <w:hyperlink r:id="rId11">
              <w:r>
                <w:rPr>
                  <w:rFonts w:ascii="Times New Roman" w:cs="Times New Roman" w:eastAsia="Times New Roman" w:hAnsi="Times New Roman"/>
                  <w:sz w:val="22"/>
                  <w:szCs w:val="22"/>
                  <w:color w:val="0000EE"/>
                </w:rPr>
                <w:t>Shiburi Rholane Hoshana</w:t>
              </w:r>
            </w:hyperlink>
          </w:p>
        </w:tc>
        <w:tc>
          <w:tcPr>
            <w:tcW w:w="1380" w:type="dxa"/>
            <w:vAlign w:val="bottom"/>
          </w:tcPr>
          <w:p>
            <w:pPr>
              <w:ind w:left="140"/>
              <w:spacing w:after="0" w:line="123" w:lineRule="exact"/>
              <w:rPr>
                <w:sz w:val="20"/>
                <w:szCs w:val="20"/>
                <w:color w:val="auto"/>
              </w:rPr>
            </w:pPr>
            <w:r>
              <w:rPr>
                <w:rFonts w:ascii="Arial" w:cs="Arial" w:eastAsia="Arial" w:hAnsi="Arial"/>
                <w:sz w:val="14"/>
                <w:szCs w:val="14"/>
                <w:color w:val="auto"/>
                <w:w w:val="95"/>
              </w:rPr>
              <w:t>Requiring Statement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20" w:type="dxa"/>
            <w:vAlign w:val="bottom"/>
            <w:gridSpan w:val="3"/>
            <w:vMerge w:val="continue"/>
          </w:tcPr>
          <w:p>
            <w:pPr>
              <w:spacing w:after="0"/>
              <w:rPr>
                <w:sz w:val="12"/>
                <w:szCs w:val="12"/>
                <w:color w:val="auto"/>
              </w:rPr>
            </w:pPr>
          </w:p>
        </w:tc>
        <w:tc>
          <w:tcPr>
            <w:tcW w:w="1380" w:type="dxa"/>
            <w:vAlign w:val="bottom"/>
          </w:tcPr>
          <w:p>
            <w:pPr>
              <w:ind w:left="140"/>
              <w:spacing w:after="0" w:line="148"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220" w:type="dxa"/>
            <w:vAlign w:val="bottom"/>
            <w:tcBorders>
              <w:top w:val="single" w:sz="8" w:color="0000EE"/>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380" w:type="dxa"/>
            <w:vAlign w:val="bottom"/>
          </w:tcPr>
          <w:p>
            <w:pPr>
              <w:ind w:left="140"/>
              <w:spacing w:after="0" w:line="170" w:lineRule="exact"/>
              <w:rPr>
                <w:sz w:val="20"/>
                <w:szCs w:val="20"/>
                <w:color w:val="auto"/>
              </w:rPr>
            </w:pPr>
            <w:r>
              <w:rPr>
                <w:rFonts w:ascii="Times New Roman" w:cs="Times New Roman" w:eastAsia="Times New Roman" w:hAnsi="Times New Roman"/>
                <w:sz w:val="18"/>
                <w:szCs w:val="18"/>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2" w:lineRule="exact"/>
        <w:rPr>
          <w:sz w:val="24"/>
          <w:szCs w:val="24"/>
          <w:color w:val="auto"/>
        </w:rPr>
      </w:pPr>
    </w:p>
    <w:p>
      <w:pPr>
        <w:spacing w:after="0"/>
        <w:rPr>
          <w:rFonts w:ascii="Times New Roman" w:cs="Times New Roman" w:eastAsia="Times New Roman" w:hAnsi="Times New Roman"/>
          <w:sz w:val="22"/>
          <w:szCs w:val="22"/>
          <w:color w:val="0000EE"/>
        </w:rPr>
      </w:pPr>
      <w:hyperlink r:id="rId12">
        <w:r>
          <w:rPr>
            <w:rFonts w:ascii="Times New Roman" w:cs="Times New Roman" w:eastAsia="Times New Roman" w:hAnsi="Times New Roman"/>
            <w:sz w:val="22"/>
            <w:szCs w:val="22"/>
            <w:u w:val="single" w:color="auto"/>
            <w:color w:val="0000EE"/>
          </w:rPr>
          <w:t>Oatly Group AB</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OTLY</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238" w:lineRule="exact"/>
        <w:rPr>
          <w:sz w:val="24"/>
          <w:szCs w:val="24"/>
          <w:color w:val="auto"/>
        </w:rPr>
      </w:pPr>
    </w:p>
    <w:p>
      <w:pPr>
        <w:sectPr>
          <w:pgSz w:w="11900" w:h="16838" w:orient="portrait"/>
          <w:cols w:equalWidth="0" w:num="2">
            <w:col w:w="4600" w:space="400"/>
            <w:col w:w="5980"/>
          </w:cols>
          <w:pgMar w:left="460" w:top="220" w:right="459" w:bottom="1440" w:gutter="0" w:footer="0" w:header="0"/>
          <w:type w:val="continuous"/>
        </w:sectPr>
      </w:pPr>
    </w:p>
    <w:p>
      <w:pPr>
        <w:spacing w:after="0" w:line="149" w:lineRule="exact"/>
        <w:rPr>
          <w:sz w:val="24"/>
          <w:szCs w:val="24"/>
          <w:color w:val="auto"/>
        </w:rPr>
      </w:pPr>
    </w:p>
    <w:tbl>
      <w:tblPr>
        <w:tblLayout w:type="fixed"/>
        <w:tblInd w:w="8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880" w:type="dxa"/>
            <w:vAlign w:val="bottom"/>
          </w:tcPr>
          <w:p>
            <w:pPr>
              <w:ind w:left="40"/>
              <w:spacing w:after="0"/>
              <w:rPr>
                <w:sz w:val="20"/>
                <w:szCs w:val="20"/>
                <w:color w:val="auto"/>
              </w:rPr>
            </w:pPr>
            <w:r>
              <w:rPr>
                <w:rFonts w:ascii="Arial" w:cs="Arial" w:eastAsia="Arial" w:hAnsi="Arial"/>
                <w:sz w:val="14"/>
                <w:szCs w:val="14"/>
                <w:color w:val="auto"/>
              </w:rPr>
              <w:t>(Last)</w:t>
            </w:r>
          </w:p>
        </w:tc>
        <w:tc>
          <w:tcPr>
            <w:tcW w:w="980" w:type="dxa"/>
            <w:vAlign w:val="bottom"/>
          </w:tcPr>
          <w:p>
            <w:pPr>
              <w:ind w:left="180"/>
              <w:spacing w:after="0"/>
              <w:rPr>
                <w:sz w:val="20"/>
                <w:szCs w:val="20"/>
                <w:color w:val="auto"/>
              </w:rPr>
            </w:pPr>
            <w:r>
              <w:rPr>
                <w:rFonts w:ascii="Arial" w:cs="Arial" w:eastAsia="Arial" w:hAnsi="Arial"/>
                <w:sz w:val="14"/>
                <w:szCs w:val="14"/>
                <w:color w:val="auto"/>
              </w:rPr>
              <w:t>(First)</w:t>
            </w:r>
          </w:p>
        </w:tc>
        <w:tc>
          <w:tcPr>
            <w:tcW w:w="1260" w:type="dxa"/>
            <w:vAlign w:val="bottom"/>
          </w:tcPr>
          <w:p>
            <w:pPr>
              <w:ind w:left="240"/>
              <w:spacing w:after="0"/>
              <w:rPr>
                <w:sz w:val="20"/>
                <w:szCs w:val="20"/>
                <w:color w:val="auto"/>
              </w:rPr>
            </w:pPr>
            <w:r>
              <w:rPr>
                <w:rFonts w:ascii="Arial" w:cs="Arial" w:eastAsia="Arial" w:hAnsi="Arial"/>
                <w:sz w:val="14"/>
                <w:szCs w:val="14"/>
                <w:color w:val="auto"/>
              </w:rPr>
              <w:t>(Middle)</w:t>
            </w:r>
          </w:p>
        </w:tc>
      </w:tr>
      <w:tr>
        <w:trPr>
          <w:trHeight w:val="281"/>
        </w:trPr>
        <w:tc>
          <w:tcPr>
            <w:tcW w:w="20" w:type="dxa"/>
            <w:vAlign w:val="bottom"/>
          </w:tcPr>
          <w:p>
            <w:pPr>
              <w:spacing w:after="0"/>
              <w:rPr>
                <w:sz w:val="24"/>
                <w:szCs w:val="24"/>
                <w:color w:val="auto"/>
              </w:rPr>
            </w:pPr>
          </w:p>
        </w:tc>
        <w:tc>
          <w:tcPr>
            <w:tcW w:w="1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ANGFARJEKAJEN 8</w:t>
            </w:r>
          </w:p>
        </w:tc>
        <w:tc>
          <w:tcPr>
            <w:tcW w:w="126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r>
      <w:tr>
        <w:trPr>
          <w:trHeight w:val="272"/>
        </w:trPr>
        <w:tc>
          <w:tcPr>
            <w:tcW w:w="9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40"/>
        </w:trPr>
        <w:tc>
          <w:tcPr>
            <w:tcW w:w="20" w:type="dxa"/>
            <w:vAlign w:val="bottom"/>
          </w:tcPr>
          <w:p>
            <w:pPr>
              <w:spacing w:after="0"/>
              <w:rPr>
                <w:sz w:val="20"/>
                <w:szCs w:val="20"/>
                <w:color w:val="auto"/>
              </w:rPr>
            </w:pPr>
          </w:p>
        </w:tc>
        <w:tc>
          <w:tcPr>
            <w:tcW w:w="8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MALMO</w:t>
            </w:r>
          </w:p>
        </w:tc>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V7</w:t>
            </w:r>
          </w:p>
        </w:tc>
        <w:tc>
          <w:tcPr>
            <w:tcW w:w="1260" w:type="dxa"/>
            <w:vAlign w:val="bottom"/>
          </w:tcPr>
          <w:p>
            <w:pPr>
              <w:ind w:left="240"/>
              <w:spacing w:after="0"/>
              <w:rPr>
                <w:sz w:val="20"/>
                <w:szCs w:val="20"/>
                <w:color w:val="auto"/>
              </w:rPr>
            </w:pPr>
            <w:r>
              <w:rPr>
                <w:rFonts w:ascii="Times New Roman" w:cs="Times New Roman" w:eastAsia="Times New Roman" w:hAnsi="Times New Roman"/>
                <w:sz w:val="18"/>
                <w:szCs w:val="18"/>
                <w:color w:val="0000FF"/>
              </w:rPr>
              <w:t>211 19</w:t>
            </w:r>
          </w:p>
        </w:tc>
      </w:tr>
      <w:tr>
        <w:trPr>
          <w:trHeight w:val="158"/>
        </w:trPr>
        <w:tc>
          <w:tcPr>
            <w:tcW w:w="2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r>
      <w:tr>
        <w:trPr>
          <w:trHeight w:val="313"/>
        </w:trPr>
        <w:tc>
          <w:tcPr>
            <w:tcW w:w="20" w:type="dxa"/>
            <w:vAlign w:val="bottom"/>
          </w:tcPr>
          <w:p>
            <w:pPr>
              <w:spacing w:after="0"/>
              <w:rPr>
                <w:sz w:val="24"/>
                <w:szCs w:val="24"/>
                <w:color w:val="auto"/>
              </w:rPr>
            </w:pPr>
          </w:p>
        </w:tc>
        <w:tc>
          <w:tcPr>
            <w:tcW w:w="880" w:type="dxa"/>
            <w:vAlign w:val="bottom"/>
          </w:tcPr>
          <w:p>
            <w:pPr>
              <w:ind w:left="40"/>
              <w:spacing w:after="0"/>
              <w:rPr>
                <w:sz w:val="20"/>
                <w:szCs w:val="20"/>
                <w:color w:val="auto"/>
              </w:rPr>
            </w:pPr>
            <w:r>
              <w:rPr>
                <w:rFonts w:ascii="Arial" w:cs="Arial" w:eastAsia="Arial" w:hAnsi="Arial"/>
                <w:sz w:val="14"/>
                <w:szCs w:val="14"/>
                <w:color w:val="auto"/>
              </w:rPr>
              <w:t>(City)</w:t>
            </w:r>
          </w:p>
        </w:tc>
        <w:tc>
          <w:tcPr>
            <w:tcW w:w="980" w:type="dxa"/>
            <w:vAlign w:val="bottom"/>
          </w:tcPr>
          <w:p>
            <w:pPr>
              <w:ind w:left="180"/>
              <w:spacing w:after="0"/>
              <w:rPr>
                <w:sz w:val="20"/>
                <w:szCs w:val="20"/>
                <w:color w:val="auto"/>
              </w:rPr>
            </w:pPr>
            <w:r>
              <w:rPr>
                <w:rFonts w:ascii="Arial" w:cs="Arial" w:eastAsia="Arial" w:hAnsi="Arial"/>
                <w:sz w:val="14"/>
                <w:szCs w:val="14"/>
                <w:color w:val="auto"/>
              </w:rPr>
              <w:t>(State)</w:t>
            </w:r>
          </w:p>
        </w:tc>
        <w:tc>
          <w:tcPr>
            <w:tcW w:w="1260" w:type="dxa"/>
            <w:vAlign w:val="bottom"/>
          </w:tcPr>
          <w:p>
            <w:pPr>
              <w:ind w:left="2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3" w:right="60" w:firstLine="3"/>
        <w:spacing w:after="0" w:line="245" w:lineRule="auto"/>
        <w:tabs>
          <w:tab w:leader="none" w:pos="148"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37" w:lineRule="exact"/>
        <w:rPr>
          <w:sz w:val="24"/>
          <w:szCs w:val="24"/>
          <w:color w:val="auto"/>
        </w:rPr>
      </w:pPr>
    </w:p>
    <w:p>
      <w:pPr>
        <w:ind w:left="537"/>
        <w:spacing w:after="0"/>
        <w:tabs>
          <w:tab w:leader="none" w:pos="2057"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4"/>
          <w:szCs w:val="14"/>
          <w:color w:val="auto"/>
        </w:rPr>
        <w:t>10% Owner</w:t>
      </w:r>
    </w:p>
    <w:p>
      <w:pPr>
        <w:spacing w:after="0" w:line="69"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37"/>
        <w:spacing w:after="0"/>
        <w:tabs>
          <w:tab w:leader="none" w:pos="2057"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2" w:right="360" w:hanging="2"/>
        <w:spacing w:after="0" w:line="245" w:lineRule="auto"/>
        <w:tabs>
          <w:tab w:leader="none" w:pos="152"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12" w:lineRule="exact"/>
        <w:rPr>
          <w:rFonts w:ascii="Arial" w:cs="Arial" w:eastAsia="Arial" w:hAnsi="Arial"/>
          <w:sz w:val="14"/>
          <w:szCs w:val="14"/>
          <w:color w:val="auto"/>
        </w:rPr>
      </w:pPr>
    </w:p>
    <w:p>
      <w:pPr>
        <w:ind w:left="2" w:right="260" w:hanging="2"/>
        <w:spacing w:after="0" w:line="245" w:lineRule="auto"/>
        <w:tabs>
          <w:tab w:leader="none" w:pos="152"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10" w:lineRule="exact"/>
        <w:rPr>
          <w:sz w:val="24"/>
          <w:szCs w:val="24"/>
          <w:color w:val="auto"/>
        </w:rPr>
      </w:pPr>
    </w:p>
    <w:p>
      <w:pPr>
        <w:ind w:left="462" w:right="540"/>
        <w:spacing w:after="0" w:line="245" w:lineRule="auto"/>
        <w:rPr>
          <w:sz w:val="20"/>
          <w:szCs w:val="20"/>
          <w:color w:val="auto"/>
        </w:rPr>
      </w:pPr>
      <w:r>
        <w:rPr>
          <w:rFonts w:ascii="Arial" w:cs="Arial" w:eastAsia="Arial" w:hAnsi="Arial"/>
          <w:sz w:val="14"/>
          <w:szCs w:val="14"/>
          <w:color w:val="auto"/>
        </w:rPr>
        <w:t>Form filed by One Reporting Person</w:t>
      </w:r>
    </w:p>
    <w:p>
      <w:pPr>
        <w:spacing w:after="0" w:line="23" w:lineRule="exact"/>
        <w:rPr>
          <w:sz w:val="24"/>
          <w:szCs w:val="24"/>
          <w:color w:val="auto"/>
        </w:rPr>
      </w:pPr>
    </w:p>
    <w:p>
      <w:pPr>
        <w:ind w:left="462" w:right="520"/>
        <w:spacing w:after="0" w:line="245" w:lineRule="auto"/>
        <w:rPr>
          <w:sz w:val="20"/>
          <w:szCs w:val="20"/>
          <w:color w:val="auto"/>
        </w:rPr>
      </w:pPr>
      <w:r>
        <w:rPr>
          <w:rFonts w:ascii="Arial" w:cs="Arial" w:eastAsia="Arial" w:hAnsi="Arial"/>
          <w:sz w:val="14"/>
          <w:szCs w:val="14"/>
          <w:color w:val="auto"/>
        </w:rPr>
        <w:t>Form filed by More than One Reporting Person</w:t>
      </w:r>
    </w:p>
    <w:p>
      <w:pPr>
        <w:spacing w:after="0" w:line="453" w:lineRule="exact"/>
        <w:rPr>
          <w:sz w:val="24"/>
          <w:szCs w:val="24"/>
          <w:color w:val="auto"/>
        </w:rPr>
      </w:pPr>
    </w:p>
    <w:p>
      <w:pPr>
        <w:sectPr>
          <w:pgSz w:w="11900" w:h="16838" w:orient="portrait"/>
          <w:cols w:equalWidth="0" w:num="3">
            <w:col w:w="4283" w:space="720"/>
            <w:col w:w="2917" w:space="358"/>
            <w:col w:w="2702"/>
          </w:cols>
          <w:pgMar w:left="460" w:top="220" w:right="45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19"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3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500" w:type="dxa"/>
            <w:vAlign w:val="bottom"/>
          </w:tcPr>
          <w:p>
            <w:pPr>
              <w:ind w:left="1540"/>
              <w:spacing w:after="0"/>
              <w:rPr>
                <w:sz w:val="20"/>
                <w:szCs w:val="20"/>
                <w:color w:val="auto"/>
              </w:rPr>
            </w:pPr>
            <w:r>
              <w:rPr>
                <w:rFonts w:ascii="Arial" w:cs="Arial" w:eastAsia="Arial" w:hAnsi="Arial"/>
                <w:sz w:val="14"/>
                <w:szCs w:val="14"/>
                <w:b w:val="1"/>
                <w:bCs w:val="1"/>
                <w:color w:val="auto"/>
              </w:rPr>
              <w:t>2. Amount of Securities</w:t>
            </w:r>
          </w:p>
        </w:tc>
        <w:tc>
          <w:tcPr>
            <w:tcW w:w="1240" w:type="dxa"/>
            <w:vAlign w:val="bottom"/>
          </w:tcPr>
          <w:p>
            <w:pPr>
              <w:ind w:left="140"/>
              <w:spacing w:after="0"/>
              <w:rPr>
                <w:sz w:val="20"/>
                <w:szCs w:val="20"/>
                <w:color w:val="auto"/>
              </w:rPr>
            </w:pPr>
            <w:r>
              <w:rPr>
                <w:rFonts w:ascii="Arial" w:cs="Arial" w:eastAsia="Arial" w:hAnsi="Arial"/>
                <w:sz w:val="14"/>
                <w:szCs w:val="14"/>
                <w:b w:val="1"/>
                <w:bCs w:val="1"/>
                <w:color w:val="auto"/>
              </w:rPr>
              <w:t>3. Ownership</w:t>
            </w:r>
          </w:p>
        </w:tc>
        <w:tc>
          <w:tcPr>
            <w:tcW w:w="2860" w:type="dxa"/>
            <w:vAlign w:val="bottom"/>
          </w:tcPr>
          <w:p>
            <w:pPr>
              <w:ind w:left="80"/>
              <w:spacing w:after="0"/>
              <w:rPr>
                <w:sz w:val="20"/>
                <w:szCs w:val="20"/>
                <w:color w:val="auto"/>
              </w:rPr>
            </w:pPr>
            <w:r>
              <w:rPr>
                <w:rFonts w:ascii="Arial" w:cs="Arial" w:eastAsia="Arial" w:hAnsi="Arial"/>
                <w:sz w:val="14"/>
                <w:szCs w:val="14"/>
                <w:b w:val="1"/>
                <w:bCs w:val="1"/>
                <w:color w:val="auto"/>
                <w:w w:val="99"/>
              </w:rPr>
              <w:t>4. Nature of Indirect Beneficial Ownership</w:t>
            </w:r>
          </w:p>
        </w:tc>
      </w:tr>
      <w:tr>
        <w:trPr>
          <w:trHeight w:val="149"/>
        </w:trPr>
        <w:tc>
          <w:tcPr>
            <w:tcW w:w="3340" w:type="dxa"/>
            <w:vAlign w:val="bottom"/>
          </w:tcPr>
          <w:p>
            <w:pPr>
              <w:spacing w:after="0"/>
              <w:rPr>
                <w:sz w:val="12"/>
                <w:szCs w:val="12"/>
                <w:color w:val="auto"/>
              </w:rPr>
            </w:pPr>
          </w:p>
        </w:tc>
        <w:tc>
          <w:tcPr>
            <w:tcW w:w="3500" w:type="dxa"/>
            <w:vAlign w:val="bottom"/>
          </w:tcPr>
          <w:p>
            <w:pPr>
              <w:ind w:left="15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24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Form: Direct (D)</w:t>
            </w:r>
          </w:p>
        </w:tc>
        <w:tc>
          <w:tcPr>
            <w:tcW w:w="28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3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24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or Indirect (I)</w:t>
            </w:r>
          </w:p>
        </w:tc>
        <w:tc>
          <w:tcPr>
            <w:tcW w:w="2860" w:type="dxa"/>
            <w:vAlign w:val="bottom"/>
          </w:tcPr>
          <w:p>
            <w:pPr>
              <w:spacing w:after="0"/>
              <w:rPr>
                <w:sz w:val="12"/>
                <w:szCs w:val="12"/>
                <w:color w:val="auto"/>
              </w:rPr>
            </w:pPr>
          </w:p>
        </w:tc>
      </w:tr>
      <w:tr>
        <w:trPr>
          <w:trHeight w:val="186"/>
        </w:trPr>
        <w:tc>
          <w:tcPr>
            <w:tcW w:w="33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240" w:type="dxa"/>
            <w:vAlign w:val="bottom"/>
          </w:tcPr>
          <w:p>
            <w:pPr>
              <w:ind w:left="140"/>
              <w:spacing w:after="0"/>
              <w:rPr>
                <w:sz w:val="20"/>
                <w:szCs w:val="20"/>
                <w:color w:val="auto"/>
              </w:rPr>
            </w:pPr>
            <w:r>
              <w:rPr>
                <w:rFonts w:ascii="Arial" w:cs="Arial" w:eastAsia="Arial" w:hAnsi="Arial"/>
                <w:sz w:val="14"/>
                <w:szCs w:val="14"/>
                <w:b w:val="1"/>
                <w:bCs w:val="1"/>
                <w:color w:val="auto"/>
              </w:rPr>
              <w:t>(Instr. 5)</w:t>
            </w:r>
          </w:p>
        </w:tc>
        <w:tc>
          <w:tcPr>
            <w:tcW w:w="2860" w:type="dxa"/>
            <w:vAlign w:val="bottom"/>
          </w:tcPr>
          <w:p>
            <w:pPr>
              <w:spacing w:after="0"/>
              <w:rPr>
                <w:sz w:val="16"/>
                <w:szCs w:val="16"/>
                <w:color w:val="auto"/>
              </w:rPr>
            </w:pPr>
          </w:p>
        </w:tc>
      </w:tr>
      <w:tr>
        <w:trPr>
          <w:trHeight w:val="38"/>
        </w:trPr>
        <w:tc>
          <w:tcPr>
            <w:tcW w:w="3340" w:type="dxa"/>
            <w:vAlign w:val="bottom"/>
            <w:tcBorders>
              <w:bottom w:val="single" w:sz="8" w:color="2C2C2C"/>
            </w:tcBorders>
          </w:tcPr>
          <w:p>
            <w:pPr>
              <w:spacing w:after="0"/>
              <w:rPr>
                <w:sz w:val="3"/>
                <w:szCs w:val="3"/>
                <w:color w:val="auto"/>
              </w:rPr>
            </w:pPr>
          </w:p>
        </w:tc>
        <w:tc>
          <w:tcPr>
            <w:tcW w:w="350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337"/>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ADSs</w:t>
            </w:r>
            <w:r>
              <w:rPr>
                <w:rFonts w:ascii="Times New Roman" w:cs="Times New Roman" w:eastAsia="Times New Roman" w:hAnsi="Times New Roman"/>
                <w:sz w:val="22"/>
                <w:szCs w:val="22"/>
                <w:color w:val="008000"/>
                <w:vertAlign w:val="superscript"/>
              </w:rPr>
              <w:t>(1)</w:t>
            </w:r>
          </w:p>
        </w:tc>
        <w:tc>
          <w:tcPr>
            <w:tcW w:w="6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ind w:left="680"/>
              <w:spacing w:after="0"/>
              <w:rPr>
                <w:sz w:val="20"/>
                <w:szCs w:val="20"/>
                <w:color w:val="auto"/>
              </w:rPr>
            </w:pPr>
            <w:r>
              <w:rPr>
                <w:rFonts w:ascii="Times New Roman" w:cs="Times New Roman" w:eastAsia="Times New Roman" w:hAnsi="Times New Roman"/>
                <w:sz w:val="18"/>
                <w:szCs w:val="18"/>
                <w:color w:val="0000FF"/>
              </w:rPr>
              <w:t>546</w:t>
            </w:r>
          </w:p>
        </w:tc>
        <w:tc>
          <w:tcPr>
            <w:tcW w:w="1100" w:type="dxa"/>
            <w:vAlign w:val="bottom"/>
            <w:tcBorders>
              <w:bottom w:val="single" w:sz="8" w:color="2C2C2C"/>
            </w:tcBorders>
          </w:tcPr>
          <w:p>
            <w:pPr>
              <w:ind w:left="900"/>
              <w:spacing w:after="0"/>
              <w:rPr>
                <w:sz w:val="20"/>
                <w:szCs w:val="20"/>
                <w:color w:val="auto"/>
              </w:rPr>
            </w:pPr>
            <w:r>
              <w:rPr>
                <w:rFonts w:ascii="Times New Roman" w:cs="Times New Roman" w:eastAsia="Times New Roman" w:hAnsi="Times New Roman"/>
                <w:sz w:val="18"/>
                <w:szCs w:val="18"/>
                <w:color w:val="0000FF"/>
              </w:rPr>
              <w:t>D</w:t>
            </w:r>
          </w:p>
        </w:tc>
        <w:tc>
          <w:tcPr>
            <w:tcW w:w="9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808080"/>
            </w:tcBorders>
          </w:tcPr>
          <w:p>
            <w:pPr>
              <w:spacing w:after="0"/>
              <w:rPr>
                <w:sz w:val="19"/>
                <w:szCs w:val="19"/>
                <w:color w:val="auto"/>
              </w:rPr>
            </w:pPr>
          </w:p>
        </w:tc>
        <w:tc>
          <w:tcPr>
            <w:tcW w:w="276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4260" w:type="dxa"/>
            <w:vAlign w:val="bottom"/>
            <w:tcBorders>
              <w:top w:val="single" w:sz="8" w:color="2C2C2C"/>
            </w:tcBorders>
            <w:gridSpan w:val="4"/>
          </w:tcPr>
          <w:p>
            <w:pPr>
              <w:ind w:left="20"/>
              <w:spacing w:after="0"/>
              <w:rPr>
                <w:sz w:val="20"/>
                <w:szCs w:val="20"/>
                <w:color w:val="auto"/>
              </w:rPr>
            </w:pPr>
            <w:r>
              <w:rPr>
                <w:rFonts w:ascii="Arial" w:cs="Arial" w:eastAsia="Arial" w:hAnsi="Arial"/>
                <w:sz w:val="18"/>
                <w:szCs w:val="18"/>
                <w:b w:val="1"/>
                <w:bCs w:val="1"/>
                <w:color w:val="auto"/>
                <w:w w:val="99"/>
              </w:rPr>
              <w:t>Table II - Derivative Securities Beneficially Owned</w:t>
            </w:r>
          </w:p>
        </w:tc>
        <w:tc>
          <w:tcPr>
            <w:tcW w:w="90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15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780" w:type="dxa"/>
            <w:vAlign w:val="bottom"/>
            <w:gridSpan w:val="6"/>
          </w:tcPr>
          <w:p>
            <w:pPr>
              <w:ind w:left="2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7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2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58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6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560" w:type="dxa"/>
            <w:vAlign w:val="bottom"/>
            <w:gridSpan w:val="2"/>
          </w:tcPr>
          <w:p>
            <w:pPr>
              <w:ind w:left="8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5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5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4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4)</w:t>
            </w:r>
          </w:p>
        </w:tc>
        <w:tc>
          <w:tcPr>
            <w:tcW w:w="110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5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90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5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10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Amount</w:t>
            </w:r>
          </w:p>
        </w:tc>
        <w:tc>
          <w:tcPr>
            <w:tcW w:w="90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1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900" w:type="dxa"/>
            <w:vAlign w:val="bottom"/>
          </w:tcPr>
          <w:p>
            <w:pPr>
              <w:ind w:left="80"/>
              <w:spacing w:after="0" w:line="137" w:lineRule="exact"/>
              <w:rPr>
                <w:sz w:val="20"/>
                <w:szCs w:val="20"/>
                <w:color w:val="auto"/>
              </w:rPr>
            </w:pPr>
            <w:r>
              <w:rPr>
                <w:rFonts w:ascii="Arial" w:cs="Arial" w:eastAsia="Arial" w:hAnsi="Arial"/>
                <w:sz w:val="14"/>
                <w:szCs w:val="14"/>
                <w:b w:val="1"/>
                <w:bCs w:val="1"/>
                <w:color w:val="auto"/>
              </w:rPr>
              <w:t>Derivative</w:t>
            </w:r>
          </w:p>
        </w:tc>
        <w:tc>
          <w:tcPr>
            <w:tcW w:w="860" w:type="dxa"/>
            <w:vAlign w:val="bottom"/>
          </w:tcPr>
          <w:p>
            <w:pPr>
              <w:ind w:left="80"/>
              <w:spacing w:after="0" w:line="137" w:lineRule="exact"/>
              <w:rPr>
                <w:sz w:val="20"/>
                <w:szCs w:val="20"/>
                <w:color w:val="auto"/>
              </w:rPr>
            </w:pPr>
            <w:r>
              <w:rPr>
                <w:rFonts w:ascii="Arial" w:cs="Arial" w:eastAsia="Arial" w:hAnsi="Arial"/>
                <w:sz w:val="14"/>
                <w:szCs w:val="14"/>
                <w:b w:val="1"/>
                <w:bCs w:val="1"/>
                <w:color w:val="auto"/>
              </w:rPr>
              <w:t>or Indirect</w:t>
            </w:r>
          </w:p>
        </w:tc>
        <w:tc>
          <w:tcPr>
            <w:tcW w:w="1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00" w:type="dxa"/>
            <w:vAlign w:val="bottom"/>
          </w:tcPr>
          <w:p>
            <w:pPr>
              <w:ind w:left="52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Date</w:t>
            </w:r>
          </w:p>
        </w:tc>
        <w:tc>
          <w:tcPr>
            <w:tcW w:w="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Expiration</w:t>
            </w:r>
          </w:p>
        </w:tc>
        <w:tc>
          <w:tcPr>
            <w:tcW w:w="1480" w:type="dxa"/>
            <w:vAlign w:val="bottom"/>
          </w:tcPr>
          <w:p>
            <w:pPr>
              <w:spacing w:after="0"/>
              <w:rPr>
                <w:sz w:val="12"/>
                <w:szCs w:val="12"/>
                <w:color w:val="auto"/>
              </w:rPr>
            </w:pPr>
          </w:p>
        </w:tc>
        <w:tc>
          <w:tcPr>
            <w:tcW w:w="1100" w:type="dxa"/>
            <w:vAlign w:val="bottom"/>
          </w:tcPr>
          <w:p>
            <w:pPr>
              <w:ind w:left="520"/>
              <w:spacing w:after="0" w:line="148" w:lineRule="exact"/>
              <w:rPr>
                <w:sz w:val="20"/>
                <w:szCs w:val="20"/>
                <w:color w:val="auto"/>
              </w:rPr>
            </w:pPr>
            <w:r>
              <w:rPr>
                <w:rFonts w:ascii="Arial" w:cs="Arial" w:eastAsia="Arial" w:hAnsi="Arial"/>
                <w:sz w:val="14"/>
                <w:szCs w:val="14"/>
                <w:b w:val="1"/>
                <w:bCs w:val="1"/>
                <w:color w:val="auto"/>
              </w:rPr>
              <w:t>Number</w:t>
            </w: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4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1100" w:type="dxa"/>
            <w:vAlign w:val="bottom"/>
          </w:tcPr>
          <w:p>
            <w:pPr>
              <w:ind w:left="520"/>
              <w:spacing w:after="0" w:line="149" w:lineRule="exact"/>
              <w:rPr>
                <w:sz w:val="20"/>
                <w:szCs w:val="20"/>
                <w:color w:val="auto"/>
              </w:rPr>
            </w:pPr>
            <w:r>
              <w:rPr>
                <w:rFonts w:ascii="Arial" w:cs="Arial" w:eastAsia="Arial" w:hAnsi="Arial"/>
                <w:sz w:val="14"/>
                <w:szCs w:val="14"/>
                <w:b w:val="1"/>
                <w:bCs w:val="1"/>
                <w:color w:val="auto"/>
              </w:rPr>
              <w:t>of</w:t>
            </w: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480" w:type="dxa"/>
            <w:vAlign w:val="bottom"/>
            <w:vMerge w:val="continue"/>
          </w:tcPr>
          <w:p>
            <w:pPr>
              <w:spacing w:after="0"/>
              <w:rPr>
                <w:sz w:val="16"/>
                <w:szCs w:val="16"/>
                <w:color w:val="auto"/>
              </w:rPr>
            </w:pPr>
          </w:p>
        </w:tc>
        <w:tc>
          <w:tcPr>
            <w:tcW w:w="1100" w:type="dxa"/>
            <w:vAlign w:val="bottom"/>
          </w:tcPr>
          <w:p>
            <w:pPr>
              <w:ind w:left="520"/>
              <w:spacing w:after="0"/>
              <w:rPr>
                <w:sz w:val="20"/>
                <w:szCs w:val="20"/>
                <w:color w:val="auto"/>
              </w:rPr>
            </w:pPr>
            <w:r>
              <w:rPr>
                <w:rFonts w:ascii="Arial" w:cs="Arial" w:eastAsia="Arial" w:hAnsi="Arial"/>
                <w:sz w:val="14"/>
                <w:szCs w:val="14"/>
                <w:b w:val="1"/>
                <w:bCs w:val="1"/>
                <w:color w:val="auto"/>
              </w:rPr>
              <w:t>Shares</w:t>
            </w:r>
          </w:p>
        </w:tc>
        <w:tc>
          <w:tcPr>
            <w:tcW w:w="9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8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4" w:lineRule="exact"/>
        <w:rPr>
          <w:sz w:val="24"/>
          <w:szCs w:val="24"/>
          <w:color w:val="auto"/>
        </w:rPr>
      </w:pPr>
    </w:p>
    <w:p>
      <w:pPr>
        <w:ind w:left="40" w:right="280" w:firstLine="9"/>
        <w:spacing w:after="0" w:line="242" w:lineRule="auto"/>
        <w:tabs>
          <w:tab w:leader="none" w:pos="175" w:val="left"/>
        </w:tabs>
        <w:numPr>
          <w:ilvl w:val="0"/>
          <w:numId w:val="3"/>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Includes RSUs, each RSU represents a right to receive one ADS in the Issuer. 18 RSUs vest on 5/30/2026, 71 RSUs will vest in two equal annual increments beginning 5/30/2026, and 370 RSUs will vest in three equal annual increments beginning 5/30/2026. There are no voting or dividend rights prior to vesting.</w:t>
      </w:r>
    </w:p>
    <w:p>
      <w:pPr>
        <w:spacing w:after="0" w:line="36" w:lineRule="exact"/>
        <w:rPr>
          <w:sz w:val="24"/>
          <w:szCs w:val="24"/>
          <w:color w:val="auto"/>
        </w:rPr>
      </w:pPr>
    </w:p>
    <w:tbl>
      <w:tblPr>
        <w:tblLayout w:type="fixed"/>
        <w:tblInd w:w="6600" w:type="dxa"/>
        <w:tblCellMar>
          <w:top w:w="0" w:type="dxa"/>
          <w:left w:w="0" w:type="dxa"/>
          <w:bottom w:w="0" w:type="dxa"/>
          <w:right w:w="0" w:type="dxa"/>
        </w:tblCellMar>
      </w:tblPr>
      <w:tr>
        <w:trPr>
          <w:trHeight w:val="207"/>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w w:val="96"/>
              </w:rPr>
              <w:t>Timothy Sjovall, pursuant to</w:t>
            </w:r>
          </w:p>
        </w:tc>
        <w:tc>
          <w:tcPr>
            <w:tcW w:w="18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w w:val="95"/>
              </w:rPr>
              <w:t>03/18/2026</w:t>
            </w:r>
          </w:p>
        </w:tc>
        <w:tc>
          <w:tcPr>
            <w:tcW w:w="0" w:type="dxa"/>
            <w:vAlign w:val="bottom"/>
          </w:tcPr>
          <w:p>
            <w:pPr>
              <w:spacing w:after="0"/>
              <w:rPr>
                <w:sz w:val="1"/>
                <w:szCs w:val="1"/>
                <w:color w:val="auto"/>
              </w:rPr>
            </w:pPr>
          </w:p>
        </w:tc>
      </w:tr>
      <w:tr>
        <w:trPr>
          <w:trHeight w:val="93"/>
        </w:trPr>
        <w:tc>
          <w:tcPr>
            <w:tcW w:w="1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6"/>
              </w:rPr>
              <w:t>power of attorney</w:t>
            </w:r>
          </w:p>
        </w:tc>
        <w:tc>
          <w:tcPr>
            <w:tcW w:w="940" w:type="dxa"/>
            <w:vAlign w:val="bottom"/>
            <w:gridSpan w:val="2"/>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bottom w:val="single" w:sz="8" w:color="auto"/>
            </w:tcBorders>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3000" w:type="dxa"/>
            <w:vAlign w:val="bottom"/>
            <w:gridSpan w:val="4"/>
          </w:tcPr>
          <w:p>
            <w:pPr>
              <w:spacing w:after="0"/>
              <w:rPr>
                <w:sz w:val="20"/>
                <w:szCs w:val="20"/>
                <w:color w:val="auto"/>
              </w:rPr>
            </w:pPr>
            <w:r>
              <w:rPr>
                <w:rFonts w:ascii="Arial" w:cs="Arial" w:eastAsia="Arial" w:hAnsi="Arial"/>
                <w:sz w:val="14"/>
                <w:szCs w:val="14"/>
                <w:color w:val="auto"/>
              </w:rPr>
              <w:t>** Signature of Reporting Person   Date</w:t>
            </w: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120" w:firstLine="9"/>
        <w:spacing w:after="0" w:line="351"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80"/>
          </w:cols>
          <w:pgMar w:left="460" w:top="220" w:right="459" w:bottom="1440" w:gutter="0" w:footer="0" w:header="0"/>
          <w:type w:val="continuous"/>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SECTION 16</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303" w:lineRule="exact"/>
        <w:rPr>
          <w:sz w:val="20"/>
          <w:szCs w:val="20"/>
          <w:color w:val="auto"/>
        </w:rPr>
      </w:pPr>
    </w:p>
    <w:p>
      <w:pPr>
        <w:jc w:val="both"/>
        <w:ind w:left="1300" w:right="1340" w:firstLine="410"/>
        <w:spacing w:after="0" w:line="255"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Pontus Mattsson, Timothy Sjövall, Brian Kearney, Martin Lind, Suzanne Lindstén and Johanna Ståhl, or any of them, the undersigned’s true and lawful attorney-in-fact to:</w:t>
      </w:r>
    </w:p>
    <w:p>
      <w:pPr>
        <w:spacing w:after="0" w:line="174" w:lineRule="exact"/>
        <w:rPr>
          <w:sz w:val="20"/>
          <w:szCs w:val="20"/>
          <w:color w:val="auto"/>
        </w:rPr>
      </w:pPr>
    </w:p>
    <w:p>
      <w:pPr>
        <w:jc w:val="both"/>
        <w:ind w:left="1300" w:right="1340" w:firstLine="657"/>
        <w:spacing w:after="0" w:line="255" w:lineRule="auto"/>
        <w:tabs>
          <w:tab w:leader="none" w:pos="2346"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Oatly Group AB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Forms 3, 4, and 5 in accordance with Section 16(a) of the Securities Exchange Act of 1934 (the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and the rules thereunder;</w:t>
      </w:r>
    </w:p>
    <w:p>
      <w:pPr>
        <w:spacing w:after="0" w:line="173" w:lineRule="exact"/>
        <w:rPr>
          <w:rFonts w:ascii="Times New Roman" w:cs="Times New Roman" w:eastAsia="Times New Roman" w:hAnsi="Times New Roman"/>
          <w:sz w:val="20"/>
          <w:szCs w:val="20"/>
          <w:color w:val="auto"/>
        </w:rPr>
      </w:pPr>
    </w:p>
    <w:p>
      <w:pPr>
        <w:jc w:val="both"/>
        <w:ind w:left="1300" w:right="1340" w:firstLine="404"/>
        <w:spacing w:after="0" w:line="255" w:lineRule="auto"/>
        <w:tabs>
          <w:tab w:leader="none" w:pos="2094"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and timely file such form with the U.S. Securities and Exchange Commission and any stock exchange or similar authority; and</w:t>
      </w:r>
    </w:p>
    <w:p>
      <w:pPr>
        <w:spacing w:after="0" w:line="173" w:lineRule="exact"/>
        <w:rPr>
          <w:rFonts w:ascii="Times New Roman" w:cs="Times New Roman" w:eastAsia="Times New Roman" w:hAnsi="Times New Roman"/>
          <w:sz w:val="20"/>
          <w:szCs w:val="20"/>
          <w:color w:val="auto"/>
        </w:rPr>
      </w:pPr>
    </w:p>
    <w:p>
      <w:pPr>
        <w:jc w:val="both"/>
        <w:ind w:left="1300" w:right="1320" w:firstLine="404"/>
        <w:spacing w:after="0" w:line="247" w:lineRule="auto"/>
        <w:tabs>
          <w:tab w:leader="none" w:pos="2094"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4" w:lineRule="exact"/>
        <w:rPr>
          <w:sz w:val="20"/>
          <w:szCs w:val="20"/>
          <w:color w:val="auto"/>
        </w:rPr>
      </w:pPr>
    </w:p>
    <w:p>
      <w:pPr>
        <w:jc w:val="both"/>
        <w:ind w:left="1300" w:right="1320" w:firstLine="397"/>
        <w:spacing w:after="0" w:line="243"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92" w:lineRule="exact"/>
        <w:rPr>
          <w:sz w:val="20"/>
          <w:szCs w:val="20"/>
          <w:color w:val="auto"/>
        </w:rPr>
      </w:pPr>
    </w:p>
    <w:p>
      <w:pPr>
        <w:jc w:val="both"/>
        <w:ind w:left="1300" w:right="1340" w:firstLine="397"/>
        <w:spacing w:after="0" w:line="250"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79" w:lineRule="exact"/>
        <w:rPr>
          <w:sz w:val="20"/>
          <w:szCs w:val="20"/>
          <w:color w:val="auto"/>
        </w:rPr>
      </w:pPr>
    </w:p>
    <w:p>
      <w:pPr>
        <w:jc w:val="both"/>
        <w:ind w:left="1300" w:right="1320"/>
        <w:spacing w:after="0" w:line="270" w:lineRule="auto"/>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23 day of February, 2026.</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80" w:type="dxa"/>
            <w:vAlign w:val="bottom"/>
          </w:tcPr>
          <w:p>
            <w:pPr>
              <w:ind w:left="1400"/>
              <w:spacing w:after="0"/>
              <w:rPr>
                <w:sz w:val="20"/>
                <w:szCs w:val="20"/>
                <w:color w:val="auto"/>
              </w:rPr>
            </w:pPr>
            <w:r>
              <w:rPr>
                <w:rFonts w:ascii="Times New Roman" w:cs="Times New Roman" w:eastAsia="Times New Roman" w:hAnsi="Times New Roman"/>
                <w:sz w:val="20"/>
                <w:szCs w:val="20"/>
                <w:color w:val="auto"/>
              </w:rPr>
              <w:t>By:</w:t>
            </w:r>
          </w:p>
        </w:tc>
        <w:tc>
          <w:tcPr>
            <w:tcW w:w="90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/s/ Rholane Shiburi</w:t>
            </w:r>
          </w:p>
        </w:tc>
      </w:tr>
      <w:tr>
        <w:trPr>
          <w:trHeight w:val="252"/>
        </w:trPr>
        <w:tc>
          <w:tcPr>
            <w:tcW w:w="2080" w:type="dxa"/>
            <w:vAlign w:val="bottom"/>
          </w:tcPr>
          <w:p>
            <w:pPr>
              <w:ind w:left="1400"/>
              <w:spacing w:after="0"/>
              <w:rPr>
                <w:sz w:val="20"/>
                <w:szCs w:val="20"/>
                <w:color w:val="auto"/>
              </w:rPr>
            </w:pPr>
            <w:r>
              <w:rPr>
                <w:rFonts w:ascii="Times New Roman" w:cs="Times New Roman" w:eastAsia="Times New Roman" w:hAnsi="Times New Roman"/>
                <w:sz w:val="20"/>
                <w:szCs w:val="20"/>
                <w:color w:val="auto"/>
              </w:rPr>
              <w:t>Name:</w:t>
            </w:r>
          </w:p>
        </w:tc>
        <w:tc>
          <w:tcPr>
            <w:tcW w:w="24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Rholane Shiburi</w:t>
            </w:r>
          </w:p>
        </w:tc>
        <w:tc>
          <w:tcPr>
            <w:tcW w:w="6560" w:type="dxa"/>
            <w:vAlign w:val="bottom"/>
          </w:tcPr>
          <w:p>
            <w:pPr>
              <w:spacing w:after="0"/>
              <w:rPr>
                <w:sz w:val="21"/>
                <w:szCs w:val="21"/>
                <w:color w:val="auto"/>
              </w:rPr>
            </w:pPr>
          </w:p>
        </w:tc>
      </w:tr>
      <w:tr>
        <w:trPr>
          <w:trHeight w:val="1603"/>
        </w:trPr>
        <w:tc>
          <w:tcPr>
            <w:tcW w:w="208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6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7014210</wp:posOffset>
            </wp:positionH>
            <wp:positionV relativeFrom="paragraph">
              <wp:posOffset>-29210</wp:posOffset>
            </wp:positionV>
            <wp:extent cx="215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15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sectPr>
      <w:pgSz w:w="11900" w:h="16838" w:orient="portrait"/>
      <w:cols w:equalWidth="0" w:num="1">
        <w:col w:w="11080"/>
      </w:cols>
      <w:pgMar w:left="460" w:top="141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lvl w:ilvl="1">
      <w:lvlJc w:val="left"/>
      <w:lvlText w:val="(%2)"/>
      <w:numFmt w:val="decimal"/>
      <w:start w:val="1"/>
    </w:lvl>
  </w:abstractNum>
  <w:abstractNum w:abstractNumId="5">
    <w:nsid w:val="507ED7AB"/>
    <w:multiLevelType w:val="hybridMultilevel"/>
    <w:lvl w:ilvl="0">
      <w:lvlJc w:val="left"/>
      <w:lvlText w:val="(%1)"/>
      <w:numFmt w:val="decimal"/>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1" Type="http://schemas.openxmlformats.org/officeDocument/2006/relationships/hyperlink" Target="http://www.sec.gov/cgi-bin/browse-edgar?action=getcompany&amp;CIK=0002119498" TargetMode="External"/><Relationship Id="rId12" Type="http://schemas.openxmlformats.org/officeDocument/2006/relationships/hyperlink" Target="http://www.sec.gov/cgi-bin/browse-edgar?action=getcompany&amp;CIK=00018435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2026-03-18T18:23:12Z</dcterms:created>
  <dcterms:modified xsi:type="dcterms:W3CDTF">2026-03-18T18:23:12Z</dcterms:modified>
</cp:coreProperties>
</file>