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month of July 2025</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183515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of Foreign Private Issuer on Form 6-K is hereby incorporated by reference into the registration statements on Form S-8, as amended (File Number 333-256316) and Form F-3, as amended (File Number 333-286101) of the Company (including any prospectuses forming a part of such registration statements), hereby amending them,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5"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2428875</wp:posOffset>
            </wp:positionV>
            <wp:extent cx="1671320" cy="1620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14"/>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0" w:type="dxa"/>
            <w:vAlign w:val="bottom"/>
          </w:tcPr>
          <w:p>
            <w:pPr>
              <w:spacing w:after="0"/>
              <w:rPr>
                <w:sz w:val="24"/>
                <w:szCs w:val="24"/>
                <w:color w:val="auto"/>
              </w:rPr>
            </w:pPr>
          </w:p>
        </w:tc>
      </w:tr>
      <w:tr>
        <w:trPr>
          <w:trHeight w:val="194"/>
        </w:trPr>
        <w:tc>
          <w:tcPr>
            <w:tcW w:w="9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2200" w:type="dxa"/>
            <w:vAlign w:val="bottom"/>
          </w:tcPr>
          <w:p>
            <w:pPr>
              <w:spacing w:after="0"/>
              <w:rPr>
                <w:sz w:val="16"/>
                <w:szCs w:val="16"/>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comprehensive loss</w:t>
            </w:r>
          </w:p>
        </w:tc>
        <w:tc>
          <w:tcPr>
            <w:tcW w:w="4340" w:type="dxa"/>
            <w:vAlign w:val="bottom"/>
            <w:gridSpan w:val="4"/>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changes in equity</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cash flows</w:t>
            </w:r>
          </w:p>
        </w:tc>
        <w:tc>
          <w:tcPr>
            <w:tcW w:w="480" w:type="dxa"/>
            <w:vAlign w:val="bottom"/>
            <w:tcBorders>
              <w:top w:val="single" w:sz="8" w:color="0000FF"/>
            </w:tcBorders>
          </w:tcPr>
          <w:p>
            <w:pPr>
              <w:spacing w:after="0"/>
              <w:rPr>
                <w:sz w:val="17"/>
                <w:szCs w:val="17"/>
                <w:color w:val="auto"/>
              </w:rPr>
            </w:pPr>
          </w:p>
        </w:tc>
        <w:tc>
          <w:tcPr>
            <w:tcW w:w="4520" w:type="dxa"/>
            <w:vAlign w:val="bottom"/>
            <w:gridSpan w:val="6"/>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6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interim condensed consolidated financial statements</w:t>
            </w:r>
          </w:p>
        </w:tc>
        <w:tc>
          <w:tcPr>
            <w:tcW w:w="4360" w:type="dxa"/>
            <w:vAlign w:val="bottom"/>
            <w:gridSpan w:val="5"/>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1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00" w:type="dxa"/>
            <w:vAlign w:val="bottom"/>
          </w:tcPr>
          <w:p>
            <w:pPr>
              <w:spacing w:after="0"/>
              <w:rPr>
                <w:sz w:val="18"/>
                <w:szCs w:val="18"/>
                <w:color w:val="auto"/>
              </w:rPr>
            </w:pPr>
          </w:p>
        </w:tc>
      </w:tr>
      <w:tr>
        <w:trPr>
          <w:trHeight w:val="194"/>
        </w:trPr>
        <w:tc>
          <w:tcPr>
            <w:tcW w:w="5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140" w:type="dxa"/>
            <w:vAlign w:val="bottom"/>
            <w:gridSpan w:val="11"/>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440" w:type="dxa"/>
            <w:vAlign w:val="bottom"/>
            <w:gridSpan w:val="1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54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28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160" w:type="dxa"/>
            <w:vAlign w:val="bottom"/>
            <w:gridSpan w:val="9"/>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215"/>
        </w:trPr>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0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(140,729)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(143,239)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(275,929)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(288,496)</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67,625</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129,955</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(8,996)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(84,111)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(84,261)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(161,609)</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(163,003)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(22,116)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(39,079)</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(40,707)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(67,492)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(6,988)</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(74,480)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(55,946)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(76,285)</w:t>
            </w: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(55,911)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(68,341)</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(76,183)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54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601,195,247</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599,884,824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1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-1456690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-1473835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-1456690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1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(55,946)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(76,285)</w:t>
            </w:r>
          </w:p>
        </w:tc>
      </w:tr>
      <w:tr>
        <w:trPr>
          <w:trHeight w:val="209"/>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52,027</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(20,460)</w:t>
            </w: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for the period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27,330</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52,027</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(20,460)</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(28,616)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(31,669)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(16,450)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(96,745)</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(28,583)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(96,627)</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-1285240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-1285240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-1285240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-582295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-582295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133,628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304,565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43,541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45,140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4,698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531,572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65,851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102,597</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5,933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17,968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11,203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67,931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271,483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1,628,045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(222,137)</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(1,310,599)</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95,416</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96,719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29,508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115,746</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154,571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13,473</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328,981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64,688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7,568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112,675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551,765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706,336</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-5365750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-4251325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-3959860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-3942715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-2545080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-1704975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-316865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5"/>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40" w:type="dxa"/>
            <w:vAlign w:val="bottom"/>
            <w:gridSpan w:val="4"/>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5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(1,249,303</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gridSpan w:val="2"/>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29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296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7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4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(55,946)</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187"/>
        </w:trPr>
        <w:tc>
          <w:tcPr>
            <w:tcW w:w="29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(55,911)</w:t>
            </w:r>
          </w:p>
        </w:tc>
        <w:tc>
          <w:tcPr>
            <w:tcW w:w="9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(28,583)</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(28,616)</w:t>
            </w:r>
          </w:p>
        </w:tc>
        <w:tc>
          <w:tcPr>
            <w:tcW w:w="0" w:type="dxa"/>
            <w:vAlign w:val="bottom"/>
          </w:tcPr>
          <w:p>
            <w:pPr>
              <w:spacing w:after="0"/>
              <w:rPr>
                <w:sz w:val="1"/>
                <w:szCs w:val="1"/>
                <w:color w:val="auto"/>
              </w:rPr>
            </w:pPr>
          </w:p>
        </w:tc>
      </w:tr>
      <w:tr>
        <w:trPr>
          <w:trHeight w:val="103"/>
        </w:trPr>
        <w:tc>
          <w:tcPr>
            <w:tcW w:w="2960" w:type="dxa"/>
            <w:vAlign w:val="bottom"/>
            <w:gridSpan w:val="2"/>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960" w:type="dxa"/>
            <w:vAlign w:val="bottom"/>
            <w:gridSpan w:val="3"/>
            <w:vMerge w:val="continue"/>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40" w:type="dxa"/>
            <w:vAlign w:val="bottom"/>
            <w:gridSpan w:val="2"/>
            <w:vMerge w:val="continue"/>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60" w:type="dxa"/>
            <w:vAlign w:val="bottom"/>
            <w:tcBorders>
              <w:bottom w:val="single" w:sz="8" w:color="CFF0FC"/>
            </w:tcBorders>
            <w:gridSpan w:val="2"/>
            <w:vMerge w:val="continue"/>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(222,137)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(1,310,599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95,416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96,719</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3"/>
                <w:szCs w:val="13"/>
                <w:color w:val="auto"/>
              </w:rPr>
            </w:pP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(1,060,952)</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1,787</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10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40" w:type="dxa"/>
            <w:vAlign w:val="bottom"/>
          </w:tcPr>
          <w:p>
            <w:pPr>
              <w:spacing w:after="0"/>
              <w:rPr>
                <w:sz w:val="17"/>
                <w:szCs w:val="17"/>
                <w:color w:val="auto"/>
              </w:rPr>
            </w:pPr>
          </w:p>
        </w:tc>
        <w:tc>
          <w:tcPr>
            <w:tcW w:w="8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187"/>
        </w:trPr>
        <w:tc>
          <w:tcPr>
            <w:tcW w:w="29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(19,223)</w:t>
            </w:r>
          </w:p>
        </w:tc>
        <w:tc>
          <w:tcPr>
            <w:tcW w:w="40" w:type="dxa"/>
            <w:vAlign w:val="bottom"/>
          </w:tcPr>
          <w:p>
            <w:pPr>
              <w:spacing w:after="0"/>
              <w:rPr>
                <w:sz w:val="16"/>
                <w:szCs w:val="16"/>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(65,022)</w:t>
            </w:r>
          </w:p>
        </w:tc>
        <w:tc>
          <w:tcPr>
            <w:tcW w:w="40" w:type="dxa"/>
            <w:vAlign w:val="bottom"/>
          </w:tcPr>
          <w:p>
            <w:pPr>
              <w:spacing w:after="0"/>
              <w:rPr>
                <w:sz w:val="16"/>
                <w:szCs w:val="16"/>
                <w:color w:val="auto"/>
              </w:rPr>
            </w:pP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(65,076)</w:t>
            </w:r>
          </w:p>
        </w:tc>
        <w:tc>
          <w:tcPr>
            <w:tcW w:w="0" w:type="dxa"/>
            <w:vAlign w:val="bottom"/>
          </w:tcPr>
          <w:p>
            <w:pPr>
              <w:spacing w:after="0"/>
              <w:rPr>
                <w:sz w:val="1"/>
                <w:szCs w:val="1"/>
                <w:color w:val="auto"/>
              </w:rPr>
            </w:pPr>
          </w:p>
        </w:tc>
      </w:tr>
      <w:tr>
        <w:trPr>
          <w:trHeight w:val="103"/>
        </w:trPr>
        <w:tc>
          <w:tcPr>
            <w:tcW w:w="296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(252,427)</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(1,104,136)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271,587</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273,320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100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187"/>
        </w:trPr>
        <w:tc>
          <w:tcPr>
            <w:tcW w:w="29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40" w:type="dxa"/>
            <w:vAlign w:val="bottom"/>
            <w:shd w:val="clear" w:color="auto" w:fill="CFF0FC"/>
          </w:tcPr>
          <w:p>
            <w:pPr>
              <w:spacing w:after="0"/>
              <w:rPr>
                <w:sz w:val="16"/>
                <w:szCs w:val="16"/>
                <w:color w:val="auto"/>
              </w:rPr>
            </w:pP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(30,384)</w:t>
            </w:r>
          </w:p>
        </w:tc>
        <w:tc>
          <w:tcPr>
            <w:tcW w:w="100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(31,605)</w:t>
            </w:r>
          </w:p>
        </w:tc>
        <w:tc>
          <w:tcPr>
            <w:tcW w:w="40" w:type="dxa"/>
            <w:vAlign w:val="bottom"/>
            <w:shd w:val="clear" w:color="auto" w:fill="CFF0FC"/>
          </w:tcPr>
          <w:p>
            <w:pPr>
              <w:spacing w:after="0"/>
              <w:rPr>
                <w:sz w:val="16"/>
                <w:szCs w:val="16"/>
                <w:color w:val="auto"/>
              </w:rPr>
            </w:pPr>
          </w:p>
        </w:tc>
        <w:tc>
          <w:tcPr>
            <w:tcW w:w="8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(31,669)</w:t>
            </w:r>
          </w:p>
        </w:tc>
        <w:tc>
          <w:tcPr>
            <w:tcW w:w="0" w:type="dxa"/>
            <w:vAlign w:val="bottom"/>
          </w:tcPr>
          <w:p>
            <w:pPr>
              <w:spacing w:after="0"/>
              <w:rPr>
                <w:sz w:val="1"/>
                <w:szCs w:val="1"/>
                <w:color w:val="auto"/>
              </w:rPr>
            </w:pPr>
          </w:p>
        </w:tc>
      </w:tr>
      <w:tr>
        <w:trPr>
          <w:trHeight w:val="103"/>
        </w:trPr>
        <w:tc>
          <w:tcPr>
            <w:tcW w:w="2960" w:type="dxa"/>
            <w:vAlign w:val="bottom"/>
            <w:gridSpan w:val="2"/>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60" w:type="dxa"/>
            <w:vAlign w:val="bottom"/>
            <w:gridSpan w:val="3"/>
            <w:vMerge w:val="continue"/>
            <w:shd w:val="clear" w:color="auto" w:fill="CFF0FC"/>
          </w:tcPr>
          <w:p>
            <w:pPr>
              <w:spacing w:after="0"/>
              <w:rPr>
                <w:sz w:val="8"/>
                <w:szCs w:val="8"/>
                <w:color w:val="auto"/>
              </w:rPr>
            </w:pPr>
          </w:p>
        </w:tc>
        <w:tc>
          <w:tcPr>
            <w:tcW w:w="1000" w:type="dxa"/>
            <w:vAlign w:val="bottom"/>
            <w:gridSpan w:val="4"/>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3"/>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60" w:type="dxa"/>
            <w:vAlign w:val="bottom"/>
            <w:tcBorders>
              <w:bottom w:val="single" w:sz="8" w:color="CFF0FC"/>
            </w:tcBorders>
            <w:gridSpan w:val="2"/>
            <w:vMerge w:val="continue"/>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(253,648)</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(1,130,341)</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-4954270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-4937125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-4954270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-4937125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-4954270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-4937125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-4954270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-4937125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-4954270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-4937125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-4954270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-4937125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-4954270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-4937125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-4653915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-4653915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-4653915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-4653915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-4653915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-4653915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-4653915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-4234180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-4234180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-4234180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-4234180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-4234180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-4234180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-4234180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-3394075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-3376930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-3394075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-3376930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-3394075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-3376930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-3394075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-3376930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-3394075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-3376930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-3394075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-3376930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-3394075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-3376930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-3093720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-3093720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-3093720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-3093720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-3093720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-3093720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-3093720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-1893570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-1876425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-1893570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-1876425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-1893570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-1876425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-1893570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-1876425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-1893570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-1876425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-1893570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-1876425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-1893570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-1876425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-1593850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-1593850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-1593850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-1593850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-1173480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-1173480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-1173480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-1173480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-1173480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-1173480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-471170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-453390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-471170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-453390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-471170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-453390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-471170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-453390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-471170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-453390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-170815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9,10,11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(35,507)</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(13,002)</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(1,674)</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(86,013)</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(9,778)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(19,647)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in)/from 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(8,151)</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(20,213)</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(33,376)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(105,368)</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67,931</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-2287905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for the three and six months ended June 30, 2025 and 2024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2024,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interim condensed consolidated financial statements, including references to price per ADS and a specific number of ADSs, restricted stock units (“RSUs”) or stock options, reflect an ADS to ordinary share ratio of 1:20 (unless the context clearly indicates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2024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118,648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(515)</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(328)</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(334)</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(2,276)</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23,275</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(9,822)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(1,814)</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(24,373)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(501)</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(232)</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(479)</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(2,967)</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(27,460)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-3356610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227,002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39,797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(46,833)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(7,294)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39,189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(3,179)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(51,945)</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0" w:type="dxa"/>
            <w:vAlign w:val="bottom"/>
          </w:tcPr>
          <w:p>
            <w:pPr>
              <w:spacing w:after="0"/>
              <w:rPr>
                <w:sz w:val="1"/>
                <w:szCs w:val="1"/>
                <w:color w:val="auto"/>
              </w:rPr>
            </w:pPr>
          </w:p>
        </w:tc>
      </w:tr>
      <w:tr>
        <w:trPr>
          <w:trHeight w:val="304"/>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(5,763)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178"/>
        </w:trPr>
        <w:tc>
          <w:tcPr>
            <w:tcW w:w="37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13"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ind w:right="50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Expenses related to a new product launch issue.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84,795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348,106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5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50,053</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43,846</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93,594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137,170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66,206</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118,193</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122,302</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71,917</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105,541</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262,567</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45,085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133,823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225,858</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174,876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251,371</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135,829</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215,948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-2622550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-2622550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-2622550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-1807845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-984885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-984885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-984885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7% and 10% in the six months ended June 30, 2025 and 2024, respectively, were derived from a single external customer in the foodservice channel. The revenues were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91% and 89% of the Group’s revenue in the six months ended June 30, 2025 and 2024, respectively.</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under the 2021 Plan, granted 1,330,234 RSUs, of which 352,857 were granted to members of key management, including the Executive Officers, and the Board of Directors. 382,555 RSUs vested during the period, of which 154,341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820,170</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1,330,234</w:t>
            </w:r>
          </w:p>
        </w:tc>
        <w:tc>
          <w:tcPr>
            <w:tcW w:w="2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(37,274)</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(382,555)</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1,730,575</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-590550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580,314</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(45,541)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(6,119)</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528,654</w:t>
            </w:r>
          </w:p>
        </w:tc>
        <w:tc>
          <w:tcPr>
            <w:tcW w:w="20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as of June 30, 2025</w:t>
            </w:r>
          </w:p>
        </w:tc>
        <w:tc>
          <w:tcPr>
            <w:tcW w:w="2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242,662</w:t>
            </w:r>
          </w:p>
        </w:tc>
        <w:tc>
          <w:tcPr>
            <w:tcW w:w="200" w:type="dxa"/>
            <w:vAlign w:val="bottom"/>
            <w:shd w:val="clear" w:color="auto" w:fill="CFF0FC"/>
          </w:tcPr>
          <w:p>
            <w:pPr>
              <w:spacing w:after="0"/>
              <w:rPr>
                <w:sz w:val="17"/>
                <w:szCs w:val="17"/>
                <w:color w:val="auto"/>
              </w:rPr>
            </w:pPr>
          </w:p>
        </w:tc>
        <w:tc>
          <w:tcPr>
            <w:tcW w:w="2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-590550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-307975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$3.5 million for the three months ended June 30, 2025 (2024: $4.2 million) and $7.0 million for the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(2024: $6.8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(7,763)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(5,565)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(3,009)</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Convertible Notes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(9,217)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(18,092)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liabilities to credit institutions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(5,978)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(12,155)</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(5,723)</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(31,916)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10,389</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(6,988)</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on the Convertible Notes is the nominal coupon rate of 9.25%. Fair value changes on Convertible Notes contains the fair value changes less the coupon rate and changes in credit risk.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Convertible Notes.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six months ended June 30, 2025 and six months ended June 30, 2024 mainly consists of $1.0 million and $5.0 million, respectively, in transaction costs relating to amendments in the Group’s financing arrangements.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Total tax expense for the three and six months ended June 30, 2025 was $1.9 million and $5.3 million respectively. Total tax expense for each of the three and six months ended June 30, 2024 was $1.8 million. The effective tax rate for the three and six months ended June 30, 2025 was 3.5% and 8.3% respectively. The main drivers of the effective tax rate relate to non-recognition of deferred tax assets on tax losses and tax effect relating to foreign exchange effects recognized in other comprehensive income. The effective tax rate for three and six months ended June 30, 2024 was 6.1% and 2.4% respectively, with non-recognition of deferred tax assets on tax losses being the main driver of the effective tax rate.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Although no material exposure arising from Pillar Two has been identified to date, material Pillar Two impacts to the Group’s tax expense remain possible.</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June 30, 2025 and December 31, 2024 is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124,584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17,018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(1,188)</w:t>
            </w:r>
          </w:p>
        </w:tc>
        <w:tc>
          <w:tcPr>
            <w:tcW w:w="12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(891)</w:t>
            </w:r>
          </w:p>
        </w:tc>
        <w:tc>
          <w:tcPr>
            <w:tcW w:w="12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(6,499)</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(19,488)</w:t>
            </w:r>
          </w:p>
        </w:tc>
        <w:tc>
          <w:tcPr>
            <w:tcW w:w="0" w:type="dxa"/>
            <w:vAlign w:val="bottom"/>
          </w:tcPr>
          <w:p>
            <w:pPr>
              <w:spacing w:after="0"/>
              <w:rPr>
                <w:sz w:val="1"/>
                <w:szCs w:val="1"/>
                <w:color w:val="auto"/>
              </w:rPr>
            </w:pPr>
          </w:p>
        </w:tc>
      </w:tr>
      <w:tr>
        <w:trPr>
          <w:trHeight w:val="197"/>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4,590</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3,164</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116,208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124,584</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4,029</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3,301</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1,714</w:t>
            </w:r>
          </w:p>
        </w:tc>
        <w:tc>
          <w:tcPr>
            <w:tcW w:w="2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133,628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-1397000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-1397000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-1397000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-1397000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-1088390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-1088390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-1088390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-1088390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-1088390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-479425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-496570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-496570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-479425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2025 was $1.1 million (2024: $1.1 million). Amortization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$2.1 million (2024: $2.1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June 30, 2025 and December 31, 2024 is as follows:</w:t>
      </w: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42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(25,581)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(32,833)</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(15,608)</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109,002</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292,201</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47,244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448,447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(23,376)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(18,179)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(3,152)</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(12,662)</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(15,814)</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(21,972)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(103,885)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(18,025)</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(143,882)</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81,435</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176,628</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36,136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294,199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87,030</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188,316</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29,219</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304,565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-1388110</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-1370965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-1388110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-1370965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-1370965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-479425</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-479425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-496570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-479425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Relates primarily to disposed assets due to the closure of the Group’s production facility in Singapore.</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2025 was $8.4 million (2024: $8.7 million). Depreciation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$15.8 million (2024: $17.3 million).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28,178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84,267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(1,362)</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58,752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28,864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87,616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(3,582)</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(28,500)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(15,575)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(44,075)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14,383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30,252</w:t>
            </w:r>
          </w:p>
        </w:tc>
        <w:tc>
          <w:tcPr>
            <w:tcW w:w="1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13,289</w:t>
            </w: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43,541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-1533525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-1533525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-1224915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-641985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-641985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-334010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2025 was $2.9 million (2024: $2.6 million). Depreciation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$5.6 million (2024: $5.9 million)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ectPr>
          <w:pgSz w:w="11900" w:h="16838" w:orient="portrait"/>
          <w:cols w:equalWidth="0" w:num="1">
            <w:col w:w="11240"/>
          </w:cols>
          <w:pgMar w:left="320" w:top="765"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2255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10,398</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11,619</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15,286</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13,799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5715</wp:posOffset>
            </wp:positionV>
            <wp:extent cx="12255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54,568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5715</wp:posOffset>
            </wp:positionV>
            <wp:extent cx="12255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42,981</w:t>
      </w:r>
    </w:p>
    <w:p>
      <w:pPr>
        <w:spacing w:after="0" w:line="200" w:lineRule="exact"/>
        <w:rPr>
          <w:sz w:val="20"/>
          <w:szCs w:val="20"/>
          <w:color w:val="auto"/>
        </w:rPr>
      </w:pPr>
    </w:p>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29,508</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13,473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5715</wp:posOffset>
            </wp:positionV>
            <wp:extent cx="12255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42,981</w:t>
      </w:r>
    </w:p>
    <w:p>
      <w:pPr>
        <w:spacing w:after="0" w:line="200" w:lineRule="exact"/>
        <w:rPr>
          <w:sz w:val="20"/>
          <w:szCs w:val="20"/>
          <w:color w:val="auto"/>
        </w:rPr>
      </w:pPr>
    </w:p>
    <w:p>
      <w:pPr>
        <w:sectPr>
          <w:pgSz w:w="11900" w:h="16838" w:orient="portrait"/>
          <w:cols w:equalWidth="0" w:num="2">
            <w:col w:w="9020" w:space="720"/>
            <w:col w:w="1500"/>
          </w:cols>
          <w:pgMar w:left="320" w:top="765" w:right="339" w:bottom="1440" w:gutter="0" w:footer="0" w:header="0"/>
          <w:type w:val="continuous"/>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June 30, 2025, but to which the Group is committed:</w:t>
      </w:r>
    </w:p>
    <w:p>
      <w:pPr>
        <w:spacing w:after="0" w:line="117" w:lineRule="exact"/>
        <w:rPr>
          <w:sz w:val="20"/>
          <w:szCs w:val="20"/>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$3.5 million for a term of six years.</w:t>
      </w:r>
    </w:p>
    <w:p>
      <w:pPr>
        <w:sectPr>
          <w:pgSz w:w="11900" w:h="16838" w:orient="portrait"/>
          <w:cols w:equalWidth="0" w:num="1">
            <w:col w:w="11240"/>
          </w:cols>
          <w:pgMar w:left="320" w:top="765" w:right="339"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45,140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44,331</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June 30, 2025</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328,981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7"/>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-1876425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-1859280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-1876425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-1859280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-591185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six months ended June 30, 2025 and the year ended December 31, 2024.</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2023 until June 30, 2025. See Note 12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19 </w:t>
      </w:r>
      <w:r>
        <w:rPr>
          <w:rFonts w:ascii="Times New Roman" w:cs="Times New Roman" w:eastAsia="Times New Roman" w:hAnsi="Times New Roman"/>
          <w:sz w:val="18"/>
          <w:szCs w:val="18"/>
          <w:i w:val="1"/>
          <w:iCs w:val="1"/>
          <w:color w:val="auto"/>
        </w:rPr>
        <w:t>Liabilities to credit institutions.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328,981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700" w:type="dxa"/>
            <w:vAlign w:val="bottom"/>
          </w:tcPr>
          <w:p>
            <w:pPr>
              <w:spacing w:after="0"/>
              <w:rPr>
                <w:sz w:val="24"/>
                <w:szCs w:val="24"/>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328,981</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(217,861)</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3"/>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bl>
    <w:p>
      <w:pPr>
        <w:jc w:val="both"/>
        <w:ind w:right="140" w:firstLine="8"/>
        <w:spacing w:after="0" w:line="269"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 see Note 21 </w:t>
      </w:r>
      <w:r>
        <w:rPr>
          <w:rFonts w:ascii="Times New Roman" w:cs="Times New Roman" w:eastAsia="Times New Roman" w:hAnsi="Times New Roman"/>
          <w:sz w:val="16"/>
          <w:szCs w:val="16"/>
          <w:i w:val="1"/>
          <w:iCs w:val="1"/>
          <w:color w:val="auto"/>
        </w:rPr>
        <w:t>Convertible Notes.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313,605</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303,849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347,245</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346,372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325,102</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319,311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331,801</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329,108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328,413</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323,810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329,552</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324,954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336,928</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333,154</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321,306</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315,973</w:t>
            </w:r>
          </w:p>
        </w:tc>
        <w:tc>
          <w:tcPr>
            <w:tcW w:w="100" w:type="dxa"/>
            <w:vAlign w:val="bottom"/>
          </w:tcPr>
          <w:p>
            <w:pPr>
              <w:spacing w:after="0"/>
              <w:rPr>
                <w:sz w:val="20"/>
                <w:szCs w:val="20"/>
                <w:color w:val="auto"/>
              </w:rPr>
            </w:pPr>
          </w:p>
        </w:tc>
      </w:tr>
      <w:tr>
        <w:trPr>
          <w:trHeight w:val="414"/>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700" w:type="dxa"/>
            <w:vAlign w:val="bottom"/>
          </w:tcPr>
          <w:p>
            <w:pPr>
              <w:spacing w:after="0"/>
              <w:rPr>
                <w:sz w:val="24"/>
                <w:szCs w:val="24"/>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gridSpan w:val="2"/>
          </w:tcPr>
          <w:p>
            <w:pPr>
              <w:spacing w:after="0"/>
              <w:rPr>
                <w:sz w:val="24"/>
                <w:szCs w:val="24"/>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12,551</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65,851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65,602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June 30, 2025 amounted to $133.2 million (2024: $135.2 million). Inventories recognized as an expense for the six months ended June 30, 2025 amounted to $260.8 million (2024: $273.0 million). The expenses were included in cost of goods sold.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June 30, 2025 amounted to $0.8 million (2024: $0.2 million). Write-downs of inventories to net realizable value for the six months ended June 30, 2025 amounted to $4.4 million (2024: $0.5 million). The write-downs were recognized as an expense for each period and included in cost of goods sold.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102,955</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32,129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31,660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23,590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11,737</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7,961</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17,968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67,931</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2024, short-term deposits were time deposits and structured deposits, with maturities of one to three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June 30, 2025 and December 31, 2024, there were 53,844,736 and 62,297,096 warrants outstanding, respectively.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2025, 8,452,360 ordinary shares were allotted and issued, and 7,651,100 ordinary shares were converted to American Depositary Shares to be delivered to participants under the 2021 Incentive Award Plan related to the vesting of the May 2022, May 2023 and May 2024 grants. The remaining balance is held as treasury shares to enable the Company’s timely delivery of ordinary shares upon the exercise of outstanding stock options and to meet future vesting of the RSUs.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June 30, 2025, 4,480 treasury shares were sold to cover fees in connection with the ADS Ratio Change.</w:t>
      </w:r>
    </w:p>
    <w:p>
      <w:pPr>
        <w:spacing w:after="0" w:line="22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606,215,420 and 598,559,840 ordinary shares, respectively were outstanding, and the par value per share was $0.00018 (SEK 0.0015). The Company had 1,213,360 and 416,580 treasury shares as of June 30, 2025 and December 31, 2024, respectively.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other contributed capital of $1,628.0 million consists of share premium, shareholders contribution and proceeds from warrant issues.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other reserves of $(222.1) million consists of fair value reserve of $(72.7) million related to fair value gains and losses on the Convertible Notes attributable to changes in the Group’s credit risk, and foreign currency translation reserve of $(149.4)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accumulated deficit of $(1,310.6) million and $(1,249.3)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June 30, 2025 and December 31, 2024, non-controlling interests amounted to $1.3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Liabilities to credit institutions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115,746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to credit institutions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120,645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Liabilities to credit institutions balance amounted to $120.6 million and $122.0 million, respectively, and was related to outstanding amounts under the TLB Credit Agreement (as defined below) and the EIF Facility (as defined below).</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European Investment Fund guaranteed three-year term loan facility with Svensk Exportkredit (the “EIF Facility”) was entered into in October 2019. In October 2022, the EIF Facility was amended to extend the term for another three years, with a maturity date in October 2025. The loan facility and interest margin remain unchanged. As of June 30, 2025 and December 31, 2024, the Group had €0.6 million (equivalent of $0.7 million) and €1.3 million (equivalent of $1.3 million), respectively, outstanding on the EIF Facility, including accrued interest.</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w:t>
      </w:r>
    </w:p>
    <w:p>
      <w:pPr>
        <w:sectPr>
          <w:pgSz w:w="11900" w:h="16838" w:orient="portrait"/>
          <w:cols w:equalWidth="0" w:num="1">
            <w:col w:w="11240"/>
          </w:cols>
          <w:pgMar w:left="320" w:top="76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Group had $119.9 million and $120.7 million, respectively, outstanding on the TLB Credit Agreement, including accrued interest and net after original issue discount and transaction costs.</w:t>
      </w:r>
    </w:p>
    <w:p>
      <w:pPr>
        <w:spacing w:after="0" w:line="162"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8"/>
          <w:szCs w:val="18"/>
          <w:color w:val="auto"/>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June 30, 2025 and December 31, 2024, the Group had no utilized loan amounts under the amended SRCF Agreement.</w:t>
      </w:r>
    </w:p>
    <w:p>
      <w:pPr>
        <w:spacing w:after="0" w:line="188"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8"/>
          <w:szCs w:val="18"/>
          <w:color w:val="auto"/>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more information on the Company’s Convertible Notes.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2"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was increased from $50 million to $100 million, and the original 24 months’ non-call/make-whole period applying under the Term Loan B Credit Agreement was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95" w:lineRule="exact"/>
        <w:rPr>
          <w:sz w:val="20"/>
          <w:szCs w:val="20"/>
          <w:color w:val="auto"/>
        </w:rPr>
      </w:pPr>
    </w:p>
    <w:p>
      <w:pPr>
        <w:ind w:left="820" w:hanging="363"/>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5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ectPr>
          <w:pgSz w:w="11900" w:h="16838" w:orient="portrait"/>
          <w:cols w:equalWidth="0" w:num="1">
            <w:col w:w="11240"/>
          </w:cols>
          <w:pgMar w:left="320" w:top="765" w:right="3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44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Sustainable Revolving Credit Facility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2025, the Group had no utilized loan amounts under the amended CMB Credit Facility.</w:t>
      </w:r>
    </w:p>
    <w:p>
      <w:pPr>
        <w:spacing w:after="0" w:line="185"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Group’s credit facilities, see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Liquidity and Capital Resources”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TLB Credit Agreement is denominated in USD and the borrower within the Group is Oatly AB with a functional currency of SEK. The Group is therefore exposed to currency risk SEK/USD and if the rate would increase/decrease by 10% the impact on loss before tax for the six months ended June 30, 2025, would be $11.7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term loan that carries an interest of Term SOFR with a floor of 2.5%. To manage the risk the Group has entered into interest rate caps for the full amount of the term loan of $130 million. The cap is 4.6% and has a maturity of 3 years (April 2026). The effect from increase in basis points is limited due to the cap that economically hedges the TLB Credit Agreement. If variable interest increased by 300 basis points the impact on loss before tax for the six months ended June 30, 2025, would be $0.2 million. If variable interest decreased by 300 basis points the impact on loss before tax for the six months ended June 30, 2025, would be $1.1 million, taking into account the floor of 2.5% in the term loan.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1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(8,235)</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9,317</w:t>
            </w:r>
          </w:p>
        </w:tc>
        <w:tc>
          <w:tcPr>
            <w:tcW w:w="100" w:type="dxa"/>
            <w:vAlign w:val="bottom"/>
          </w:tcPr>
          <w:p>
            <w:pPr>
              <w:spacing w:after="0"/>
              <w:rPr>
                <w:sz w:val="17"/>
                <w:szCs w:val="17"/>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Group had $5.1 million in cash outflows relating to organizational restructuring and $3.1 million in cash outflows relating to the closure of the production facility in Singapore.</w:t>
      </w:r>
    </w:p>
    <w:p>
      <w:pPr>
        <w:sectPr>
          <w:pgSz w:w="11900" w:h="16838" w:orient="portrait"/>
          <w:cols w:equalWidth="0" w:num="1">
            <w:col w:w="11240"/>
          </w:cols>
          <w:pgMar w:left="320" w:top="765"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“Intercreditor Agreement”) which includes customary ranking, enforcement and turnover provisions intended to govern the relationship between the creditor groups and which affects the Convertible Notes.</w:t>
      </w:r>
    </w:p>
    <w:p>
      <w:pPr>
        <w:spacing w:after="0" w:line="17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p>
    <w:p>
      <w:pPr>
        <w:sectPr>
          <w:pgSz w:w="11900" w:h="16838" w:orient="portrait"/>
          <w:cols w:equalWidth="0" w:num="1">
            <w:col w:w="11240"/>
          </w:cols>
          <w:pgMar w:left="320" w:top="76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31,849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24,549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11,617</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112,675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103,719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June 30, 2025, the fair value of the outstanding Convertible Notes to related parties amounted to $161.3 million. The Convertible Notes were issued with the terms and conditions described in Note 21 </w:t>
      </w:r>
      <w:r>
        <w:rPr>
          <w:rFonts w:ascii="Times New Roman" w:cs="Times New Roman" w:eastAsia="Times New Roman" w:hAnsi="Times New Roman"/>
          <w:sz w:val="18"/>
          <w:szCs w:val="18"/>
          <w:i w:val="1"/>
          <w:iCs w:val="1"/>
          <w:color w:val="auto"/>
        </w:rPr>
        <w:t>Convertible Notes.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(55,911)</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(68,341)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(76,183)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601,195,247</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599,884,824</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(0.05)</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143"/>
        </w:trPr>
        <w:tc>
          <w:tcPr>
            <w:tcW w:w="56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6"/>
                <w:szCs w:val="16"/>
                <w:color w:val="auto"/>
              </w:rPr>
              <w:t>Weighted average number of ADS (1 ADS representing 20 ordinary shares)</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30,059,762</w:t>
            </w:r>
          </w:p>
        </w:tc>
        <w:tc>
          <w:tcPr>
            <w:tcW w:w="26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29,812,125</w:t>
            </w:r>
          </w:p>
        </w:tc>
        <w:tc>
          <w:tcPr>
            <w:tcW w:w="22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29,994,241</w:t>
            </w:r>
          </w:p>
        </w:tc>
        <w:tc>
          <w:tcPr>
            <w:tcW w:w="22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29,782,732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(1.86)</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-980440</wp:posOffset>
            </wp:positionV>
            <wp:extent cx="93980"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62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-410845</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-393700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-410845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-393700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-410845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-393700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right="220" w:firstLine="8"/>
        <w:spacing w:after="0" w:line="269"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cs="Times New Roman" w:eastAsia="Times New Roman" w:hAnsi="Times New Roman"/>
          <w:sz w:val="16"/>
          <w:szCs w:val="16"/>
          <w:i w:val="1"/>
          <w:iCs w:val="1"/>
          <w:color w:val="auto"/>
        </w:rPr>
        <w:t>Summary of accounting policies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34,611,500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34,611,500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00" w:type="dxa"/>
            <w:vAlign w:val="bottom"/>
            <w:shd w:val="clear" w:color="auto" w:fill="CFF0FC"/>
          </w:tcPr>
          <w:p>
            <w:pPr>
              <w:spacing w:after="0"/>
              <w:rPr>
                <w:sz w:val="18"/>
                <w:szCs w:val="18"/>
                <w:color w:val="auto"/>
              </w:rPr>
            </w:pPr>
          </w:p>
        </w:tc>
      </w:tr>
      <w:tr>
        <w:trPr>
          <w:trHeight w:val="164"/>
        </w:trPr>
        <w:tc>
          <w:tcPr>
            <w:tcW w:w="58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10,573,080</w:t>
            </w:r>
          </w:p>
        </w:tc>
        <w:tc>
          <w:tcPr>
            <w:tcW w:w="13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15,285,292</w:t>
            </w:r>
          </w:p>
        </w:tc>
        <w:tc>
          <w:tcPr>
            <w:tcW w:w="13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10,573,080</w:t>
            </w:r>
          </w:p>
        </w:tc>
        <w:tc>
          <w:tcPr>
            <w:tcW w:w="142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15,285,292</w:t>
            </w:r>
          </w:p>
        </w:tc>
        <w:tc>
          <w:tcPr>
            <w:tcW w:w="100" w:type="dxa"/>
            <w:vAlign w:val="bottom"/>
          </w:tcPr>
          <w:p>
            <w:pPr>
              <w:spacing w:after="0"/>
              <w:rPr>
                <w:sz w:val="14"/>
                <w:szCs w:val="14"/>
                <w:color w:val="auto"/>
              </w:rPr>
            </w:pPr>
          </w:p>
        </w:tc>
      </w:tr>
      <w:tr>
        <w:trPr>
          <w:trHeight w:val="268"/>
        </w:trPr>
        <w:tc>
          <w:tcPr>
            <w:tcW w:w="58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00" w:firstLine="8"/>
        <w:spacing w:after="0" w:line="272"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21 </w:t>
      </w: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six months ended June 30, 2025, volume adjustments related to co-packer arrangements in Europe &amp; International and North America resulted in volume shortfall expenses of $5.6 million. The shortfall expenses are presented in cost of goods sold in the consolidated statement of operations.</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11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2024 (our “2024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2024 Annual Report, the risk factors set forth in this Report on Form 6-K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production facilities, and damage or disruption at these facilities has in the past harmed, and may in the future harm,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the loss of a significant customer or the decrease of sales from a significant customer, could negatively impact our sales and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and a reduction in such sales would have an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an asset-light business model, which means we will rely heavily on our co-manufacturing partners;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partnerships with our co-manufacturers may not be successful, which could adversely affect our operations and manufacturing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 could result in lost sales;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 w:name="page28"/>
    <w:bookmarkEnd w:id="27"/>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facilities, or these facilities may not operate in accordance with our expectations;</w:t>
      </w:r>
    </w:p>
    <w:p>
      <w:pPr>
        <w:spacing w:after="0" w:line="117"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our brand, our business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introduce new products or successfully improve existing products may adversely affect our ability to continue to grow;</w:t>
      </w:r>
    </w:p>
    <w:p>
      <w:pPr>
        <w:spacing w:after="0" w:line="117" w:lineRule="exact"/>
        <w:rPr>
          <w:rFonts w:ascii="Times New Roman" w:cs="Times New Roman" w:eastAsia="Times New Roman" w:hAnsi="Times New Roman"/>
          <w:sz w:val="18"/>
          <w:szCs w:val="18"/>
          <w:color w:val="auto"/>
        </w:rPr>
      </w:pPr>
    </w:p>
    <w:p>
      <w:pPr>
        <w:ind w:left="503" w:right="340" w:hanging="503"/>
        <w:spacing w:after="0" w:line="312" w:lineRule="auto"/>
        <w:tabs>
          <w:tab w:leader="none" w:pos="50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including maintenance of our workforce, our business, financial condition and results of operations could be materially adversely affected;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systems and any inadequacy, failure or interruption of, or cybersecurity incidents affecting, those systems may harm our reputation and ability to effectively operate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generally are not obligated to continue purchasing products from us;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as we expand our operations into countries in which we have no prior operating experience;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nature of our business subjects us to additional global economic and geopolitical risks;</w:t>
      </w:r>
    </w:p>
    <w:p>
      <w:pPr>
        <w:spacing w:after="0" w:line="11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the strategic review of the Company’s Greater China operations, the outcome of the strategic review and the market reaction thereto;</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China could Our operations in China could expose us to substantial business, regulatory, political, financial and economic risks;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reset in Asia may not be successful;</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trade compliance and economic sanctions laws and regulations of the U.S., the EU and other applicable international jurisdictions, it could materially adversely affect our reputation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costs are volatile and may rise significantly, which may negatively impact the profitability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 may impact, and may have a disproportionate effect on, our overall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or costs and have a negative impact on our reputation or business;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qualified employees may adversely affect our operations or our ability to grow successfully;</w:t>
      </w:r>
    </w:p>
    <w:p>
      <w:pPr>
        <w:spacing w:after="0" w:line="1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07" w:right="339" w:bottom="1440" w:gutter="0" w:footer="0" w:header="0"/>
        </w:sectPr>
      </w:pPr>
    </w:p>
    <w:bookmarkStart w:id="28" w:name="page29"/>
    <w:bookmarkEnd w:id="28"/>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or focus on our mission as we grow, our success and our business and competitive position may be harmed;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provide adequate levels of coverage against claims or we may be unable to find insurance with sufficient coverage at a reasonable cost;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inflation, interest rates and supply chain constraints;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conflicts, other effects of ongoing wars and conflicts, and increasing geopolitical tensions and changes to international trade policies, treaties and tariffs, including as a result of the emergence of a trade war, could negatively impact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government investigations or other regulatory enforcement actions could subject us to 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 China and other laws and regulations, and there is no assurance that we will be in compliance with all regulations;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the market price of our ADSs have been, and may be, volatile, and you may lose all or part of your investment;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Convertible Notes may dilute the ownership interests of holders of our ADSs or ordinary shares and may adversely impact the value of such securities;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22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 on Organizational Structure and Supply Chain</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During the fourth quarter 2023, we decided to discontinue the construction of our production facilities in Peterborough, United Kingdom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 For a further discussion on risks related to these discontinuations see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Review of China Business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initiated a strategic review of our Greater China business. The review will consider a range of options, including a potential carve-out of the Greater China segment, with the goal of accelerating growth and maximizing the value of the business.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continue to operate in the Greater China market, including operating our production facility, and we remain committed to our customers, consumers, and employees as we look to maximize the value of this part of the business.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is no definitive timetable for completing the strategic review. We do not intend to provide further updates unless and until the Board of Directors have approved a specific course of action or determines that additional disclosure is appropriate or required. We caution that there can be no assurances that the process will result in any transaction or strategic change.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tariffs and the current trade war, and foreign exchange impacts. We continue to maintain a global focus on the controllable aspects of the business, and will continue to actively monitor and respond accordingly to the macroeconomic environment.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mix vary by country, where our more mature markets, such as Sweden and Finland, have a broader product portfolio available to customers and consumers.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on a consolidated level, oatmilk accounted for 91% of our revenue (2024: 89%).</w:t>
      </w:r>
    </w:p>
    <w:p>
      <w:pPr>
        <w:spacing w:after="0" w:line="20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54"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velocity increases.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e-commerce capabilities by strategically partnering with leading third-party platforms.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global production capacity to meet consumer demand.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and gross margin have benefited, and we expect will continue to benefit, from the reduction in cost of goods sold driven by an increased focus on our asset-light supply chain strategy, improvements in our manufacturing operational performance, leveraging the cost of our fixed production costs, as well as a higher focus on procurement efficiencies through scale of purchasing and diversification of suppliers. Additionally, our gross margin has benefited, and we expect will continue to benefit, from an improved mix of products sold driven by the reduction or elimination of low-margin products and the growth or addition of higher-margin products.</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1" w:name="page32"/>
    <w:bookmarkEnd w:id="31"/>
    <w:p>
      <w:pPr>
        <w:jc w:val="both"/>
        <w:ind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discontinued construction of certain production facilities and net foreign exchange gains (losses) on operating related activities.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amendments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interest expenses related to Convertible Notes and loans from credit institutions,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(140,729)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(143,239)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(275,929)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(288,496)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67,625</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129,955</w:t>
            </w: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(4,605)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(15,540)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(84,111)</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(84,261)</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(161,609)</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(163,003)</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income and</w:t>
            </w:r>
          </w:p>
        </w:tc>
        <w:tc>
          <w:tcPr>
            <w:tcW w:w="12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8"/>
                <w:szCs w:val="18"/>
                <w:color w:val="auto"/>
              </w:rPr>
              <w:t>(1,025)</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(1,803)</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(22,116)</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(39,079)</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(40,707)</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(67,492)</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(31,916)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(6,988)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(54,032)</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(14.2)%</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(1,914)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(55,946)</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(15.1)%</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(76,285)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(55,911)</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(68,341)</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(76,183)</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2025</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Revenue increased $6.2 million, or 3.0%, to $208.4 million for the three months ended June 30, 2025, net of sales discounts, rebates and trade promotions, compared to $202.2 million for the three months ended June 30, 2024. Excluding a foreign currency exchange tailwind of $6.6 million, revenue for the second quarter was $201.7 million, or a decrease of 0.2% compared to the prior year period (refer to Non-IFRS Financial Measures section below for tables reconciling revenue as reported to revenue on a constant currency basis by segment). The decrease in constant currency revenue was primarily driven by decline in North America and Greater China, partially offset by strong growth in Europe and International. Sold volume for the three months ended June 30, 2025 amounted to 140.4 million liters compared to 136.6 million liters for the three months ended June 30, 2024. Produced finished goods volume for the second quarter of 2025 amounted to 142.8 million liters compared to 142.0 million liters for the same period last year.</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12.2% for the three months ended June 30, 2025 compared to the prior year period. In the three months ended June 30, 2025 and 2024, the retail channel accounted for 65.8% and 60.5% of our revenue,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foodservice channel accounted for 31.8% and 35.6% of our revenue, respectively, and the other channel, comprised primarily of e-commerce sales, accounted for 2.4% and 3.9% of our revenue, respectively.</w:t>
      </w:r>
    </w:p>
    <w:p>
      <w:pPr>
        <w:spacing w:after="0" w:line="162"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56.7%, 30.3% and 13.0% of our total revenue in the three months ended June 30, 2025, respectively, as compared to 52.2%, 33.5% and 14.3% of our total revenue in the three months ended June 30, 2024, respectively.</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$4.5 million, or 1.1%, to $405.9 million for the six months ended June 30, 2025, net of sales discounts, rebates and trade promotions, compared to $401.4 million for the six months ended June 30, 2024. Excluding a foreign currency exchange tailwind of $3.8 million, revenue was $402.1 million, or an increase of 0.2% compared to the prior year period (refer to Non-IFRS Financial Measures section below for tables reconciling revenue as reported to revenue on a constant currency basis by segment). The revenue growth was primarily driven by volume growth across the Europe &amp; International and Greater China segments, partially offset by volume decline in North America as well as price/mix declines in the Europe &amp; International and Greater China segments. Sold volume for the six months ended June 30, 2025 amounted to 284.9 million liters compared to 268.9 million liters for the six months ended June 30, 2024. Produced finished goods volume for the six months ended June 30, 2025 amounted to 285.8 million liters compared to 283.0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4.5% for the six months ended June 30, 2025 compared to the prior year period. In the six months ended June 30, 2025 and 2024, the retail channel accounted for 64.7% and 62.7% of our revenue, respectively, the foodservice channel accounted for 33.0% and 33.8% of our revenue, respectively, and the other channel, comprised primarily of e-commerce sales, accounted for 2.3% and 3.5% of our revenue, respectively.</w:t>
      </w:r>
    </w:p>
    <w:p>
      <w:pPr>
        <w:spacing w:after="0" w:line="180"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55.7%, 30.3% and 14.0% of our total revenue in the six months ended June 30, 2025, respectively, as compared to 53.8%, 33.6% and 12.6% of our total revenue in the six months ended June 30, 2024, respectively.</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contributions from new markets. The revenue growth was assisted by foreign exchange tailwinds but partially offset by a price/mix decline. In North America, our sold volume and revenue decreased primarily due to lower volumes in the foodservice channel. Finally, Greater China revenue growth was primarily driven by sales to a new foodservice customer.</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we have undertaken to simplify our organizational structure, our number of employees has decreased by 39 employees, to 1,426 employees as of June 30, 2025 from 1,465 employees as of June 30, 2024. The average number of full-time consultants increased by 13 consultants to 88 consultants for the six months ended June 30, 2025 from 75 consultants for the six months ended June 30, 2024.</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decreased by $2.5 million, or 1.8%, to $140.7 million for the three months ended June 30, 2025, from $143.2 million for the three months ended June 30, 2024.</w:t>
      </w:r>
    </w:p>
    <w:p>
      <w:pPr>
        <w:spacing w:after="0" w:line="162" w:lineRule="exact"/>
        <w:rPr>
          <w:sz w:val="20"/>
          <w:szCs w:val="20"/>
          <w:color w:val="auto"/>
        </w:rPr>
      </w:pPr>
    </w:p>
    <w:p>
      <w:pPr>
        <w:jc w:val="both"/>
        <w:ind w:right="20" w:firstLine="502"/>
        <w:spacing w:after="0" w:line="282" w:lineRule="auto"/>
        <w:rPr>
          <w:sz w:val="20"/>
          <w:szCs w:val="20"/>
          <w:color w:val="auto"/>
        </w:rPr>
      </w:pPr>
      <w:r>
        <w:rPr>
          <w:rFonts w:ascii="Times New Roman" w:cs="Times New Roman" w:eastAsia="Times New Roman" w:hAnsi="Times New Roman"/>
          <w:sz w:val="18"/>
          <w:szCs w:val="18"/>
          <w:color w:val="auto"/>
        </w:rPr>
        <w:t>Cost of goods sold decreased by $12.6 million, or 4.4%, to $275.9 million for the six months ended June 30, 2025, from $288.5 million for the six months ended June 30, 2024.</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decrease for the three and six months ended June 30, 2025 was primarily driven by an increase in supply chain efficiencies, especially in the Europe &amp; International segment.</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$8.6 million, or 14.7%, to $67.6 million for the three months ended June 30, 2025, from $59.0 million for the three months ended June 30, 2024. Gross profit margin increased by 3.3 percentage points, to 32.5% for the three months ended June 30, 2025, from 29.2% for the three months ended June 30, 2024.</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$17.1 million, or 15.2%, to $130.0 million for the six months ended June 30, 2025, from $112.9 million for the six months ended June 30, 2024. Gross profit margin increased by 3.9 percentage points, to 32.0% for the six months ended June 30, 2025, from 28.1% for the six months ended June 30, 2024.</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increase for the three and six months ended June 30, 2025 in gross profit margin was primarily driven by improvements in supply chain efficiency, especially in the Europe &amp; International segment.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$6.3 million, or 57.7%, to $4.6 million for the three months ended June 30, 2025, from $10.9 million for the three months ended June 30, 2024 and decreased as a share of revenues 2.2% and 5.4%,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$6.5 million, or 42.1%, to $9.0 million for the six months ended June 30, 2025, from $15.5 million for the six months ended June 30, 2024 and decreased as a share of revenues 2.2% and 3.9%,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decrease for the three and six months ended June 30, 2025 was mainly driven by expenses in the prior year period related to a new product launch issue in the North America segment.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$0.2 million, or 0.2%, to $84.1 million for the three months ended June 30, 2025 compared to $84.3 million for the three months ended June 30, 2024 and decreased as a share of revenue to 40.4% from 41.7%, respectively. The decrease was primarily due to the continued cost savings initiatives. Customer distribution expense increased as a share of revenue to 6.3% from 6.0%.</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$1.4 million, or 0.9%, to $161.6 million for the six months ended June 30, 2025 compared to $163.0 million for the six months ended June 30, 2024 and decreased as a share of revenue to 39.8% from 40.6%, respectively. The decrease was primarily due to the various cost restructuring activities implemented since early 2023, which were partially offset by foreign exchange headwinds. Customer distribution expense increased as a share of revenue to 6.5% from 6.2%.</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June 30, 2025 was an expense of $1.0 million comprised primarily of $1.4 million in costs for our strategic review of our Greater China segment. Other operating income and (expenses), net for the three months ended June 30, 2024 was an expense of $2.9 million comprised primarily of non-cash impairment charges related to the Group’s discontinued construction of its production facility in Peterborough, UK.</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Other operating income and (expenses), net for the six months ended June 30, 2025 was an expense of $0.1 million comprised primarily of $1.4 million in costs for our strategic of our Greater China segment, offset by mainly $0.8 in reversal of other exit costs related to the closure of the production facility in Singapore. Other operating income and (expenses), net for the six months ended June 30, 2024 was an expense of $1.8 million comprised primarily of $2.9 million in non-cash impairment charges related to the Group’s discontinued construction of its production facility in Peterborough, partially offset by $0.9 million in reversal of previously recognized non-cash impairment charges related to the Group’s discontinued construction of its production facility in Dallas-Fort Worth, Texas.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Finance income and (expenses), net for the three months ended June 30, 2025 was an expense of $31.9 million comprised primarily of net interest expenses of $14.9 million, fair value losses on Convertible Notes of $8.6 million, and net foreign exchange loss of $7.8 million. The finance income and (expenses), net for the three months ended June 30, 2024 was an income of $10.4 million comprised primarily of fair value gains on Convertible Notes of $23.9 million, offset by net interest expenses of $13.0 million.</w:t>
      </w:r>
    </w:p>
    <w:p>
      <w:pPr>
        <w:spacing w:after="0" w:line="18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six months ended June 30, 2025 was an expense of $22.5 million comprised primarily of net interest expenses of $28.5 million and net foreign exchange loss of $5.6 million, offset by fair value gains on Convertible Notes of $13.5 million. The finance income and (expenses), net for the six months ended June 30, 2024 was an expense of $7.0 million comprised primarily of net interest expenses of $25.3 million and other financial expenses of $5.7 million, offset by fair value gains on Convertible Notes of $23.0 million.</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Income tax expense increased to $1.9 million for the three months ended June 30, 2025 compared to $1.8 million for the three months ended June 30, 2024. The effective tax rates for the three months ended June 30, 2025 was 3.5%. The main drivers of the effective tax rate relate to non-recognition of deferred tax assets on tax losses and tax effect relating to foreign exchange effects recognized in other comprehensive income. The effective tax rate for the three months ended June 30, 2024 was 6.1%, with non-recognition of deferred tax assets on tax losses being the main driver of the effective tax rate.</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Income tax expense increased to $5.3 million for the six months ended June 30, 2025 compared to $1.8 million for the six months ended June 30, 2024. The effective tax rates for the six months ended June 30, 2025 was 8.3%. The main drivers of the effective tax rate relate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non-recognition of deferred tax assets on tax losses and tax effect relating to foreign exchange effects recognized in other comprehensive income. The effective tax rate for the six months ended June 30, 2024 was 2.4%, with non-recognition of deferred tax assets on tax losses being the main driver of the effective tax rate.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2025 to be approximately $20 million, related primarily to investments in our production facilities. The amount and allocation of our future capital expenditures depend on several factors, and our strategic investment priorities may change. Our recent decisions to discontinue construction at the production facility in China (Asia III), and close the production facility in Singapore, have impacted our projected capital expenditures.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 all, may force us to delay, limit, reduce or terminate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 manufacturing and development and other operations” </w:t>
      </w:r>
      <w:r>
        <w:rPr>
          <w:rFonts w:ascii="Times New Roman" w:cs="Times New Roman" w:eastAsia="Times New Roman" w:hAnsi="Times New Roman"/>
          <w:sz w:val="18"/>
          <w:szCs w:val="18"/>
          <w:color w:val="auto"/>
        </w:rPr>
        <w:t>under Part I, Item 3.D.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our 2024 Annual Report.</w:t>
      </w:r>
    </w:p>
    <w:p>
      <w:pPr>
        <w:spacing w:after="0" w:line="18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June 30, 2025, we had cash and cash equivalents of $67.9 million. Our cash and cash equivalents consist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$221.0 million in undrawn bank facilities as of June 30,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Sustainable Revolving Credit Facility and Term Loan B Credit Facility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April 18, 2023, the Company’s existing Sustainable Revolving Credit Facility Agreement (the “SRCF Agreement”) was amended and restated whereby, among other things, (i) the term of the SRCF Agreement was reset to three years and six months, with a one year uncommitted extension option,</w:t>
      </w:r>
    </w:p>
    <w:p>
      <w:pPr>
        <w:jc w:val="both"/>
        <w:ind w:firstLine="8"/>
        <w:spacing w:after="0" w:line="252" w:lineRule="auto"/>
        <w:tabs>
          <w:tab w:leader="none" w:pos="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Intercreditor Agreement (as defined below).</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(as defined below) and the SRCF Agreement by way of the Intercreditor Agreement. As of June 30, 2025, we had $130.4 million, including accrued interest, outstanding under the TLB Credit Agreement.</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(as defined below). The Intercreditor Agreement includes customary ranking, enforcement and turnover provisions intended to govern the relationship between the creditor groups.</w:t>
      </w:r>
    </w:p>
    <w:p>
      <w:pPr>
        <w:spacing w:after="0" w:line="183"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8"/>
          <w:szCs w:val="18"/>
          <w:color w:val="auto"/>
        </w:rPr>
        <w:t>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SRCF Agreement and the TLB Credit Agreement were amended and restated to, among other things, (i) reset the financial covenant levels applying to the minimum EBITDA (including separate testing of the Group’s Europe &amp; International EBITDA,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our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w:t>
      </w:r>
    </w:p>
    <w:p>
      <w:pPr>
        <w:spacing w:after="0" w:line="12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amended SRCF Agreement and TLB Credit Agreement, the total net leverage ratio financial covenant, tested in respect of the LTM period ending on each quarter date, will start to apply in respect of the LTM period ending on December 31,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spacing w:after="0" w:line="9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108" w:lineRule="exact"/>
        <w:rPr>
          <w:sz w:val="20"/>
          <w:szCs w:val="20"/>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44"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9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0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Swedish Terms, will interpret the definition of “Daily VWAP” therein to assume the trading price of 1/20 of an ADS. The conversion price of the Swedish Notes was reset again on March 23, 2025, to $1.36.</w:t>
      </w:r>
    </w:p>
    <w:p>
      <w:pPr>
        <w:spacing w:after="0" w:line="10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45 trading days during any 90 consecutive day period beginning on or after the third anniversary of the issuance of the U.S. Notes (with respect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HH Notes) and the Swedish Notes (with respect to the Swedish Notes).</w:t>
      </w:r>
    </w:p>
    <w:p>
      <w:pPr>
        <w:spacing w:after="0" w:line="13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the Intercreditor Agreement which includes customary ranking, enforcement and turnover provisions intended to govern the relationship between the creditor groups and which affect the Convertible Notes.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jc w:val="both"/>
        <w:ind w:firstLine="8"/>
        <w:spacing w:after="0" w:line="253" w:lineRule="auto"/>
        <w:tabs>
          <w:tab w:leader="none" w:pos="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 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applicable terms of the Convertible Notes).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w:t>
      </w:r>
    </w:p>
    <w:p>
      <w:pPr>
        <w:spacing w:after="0" w:line="24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 The loan facility and interest margin remained unchanged.</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SRCF Agreement on February 14, 2024.</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SRCF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2025, the Group had no utilized loan amounts under the amended CMB Credit Facility.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we had €0.6 million (equivalent of $0.7 million) outstanding under the EIF Facility, including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18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8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(15,005)</w:t>
            </w:r>
          </w:p>
        </w:tc>
        <w:tc>
          <w:tcPr>
            <w:tcW w:w="7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(86,013)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in)/from investing activities</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(10,220)</w:t>
            </w:r>
          </w:p>
        </w:tc>
        <w:tc>
          <w:tcPr>
            <w:tcW w:w="7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(8,151)</w:t>
            </w:r>
          </w:p>
        </w:tc>
        <w:tc>
          <w:tcPr>
            <w:tcW w:w="7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(20,213)</w:t>
            </w:r>
          </w:p>
        </w:tc>
      </w:tr>
    </w:tbl>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decreased by $71.0 million, to $15.0 million for the six months ended June 30, 2025 from $86.0 million for the six months ended June 30, 2024, which was driven by improved operating results and improvements in net working capital.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in)/from investing activities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flows (used in)/from investing activities decreased by $11.1 million, to an outflow of $10.2 million for the six months ended June 30, 2025 compared to an inflow of $0.9 million for the six months ended June 30, 2024. During the six months ended June 30, 2025 our investments in property, plant and equipment amounted to $9.8 million. For the six months ended June 30, 2024 our investments in property plant and equipment amounted to $19.6 million which was offset by proceeds from sale of property, plant and equipment of $20.4 million related to sold assets due to the discontinued construction of our new production facilities in Peterborough, UK and Dallas-Fort Worth, Texas.</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decreased by $12.1 million, to an outflow of $8.2 million for the six months ended June 30, 2025 from an outflow of $20.2 million for the six months ended June 30, 2024, which was primarily driven by lower repayment of lease liabilities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discontinued construction of production facilities, expenses related to a new product launch issue and non-controlling interests.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8" w:name="page39"/>
    <w:bookmarkEnd w:id="38"/>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300" w:type="dxa"/>
            <w:vAlign w:val="bottom"/>
            <w:tcBorders>
              <w:top w:val="single" w:sz="8" w:color="auto"/>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(55,946)</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(30,441)</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(10,389)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18"/>
                <w:szCs w:val="18"/>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(9,822)</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3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and six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118,19</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111,60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208,35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201,71</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22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520" w:type="dxa"/>
            <w:vAlign w:val="bottom"/>
            <w:vMerge w:val="continue"/>
          </w:tcPr>
          <w:p>
            <w:pPr>
              <w:spacing w:after="0"/>
              <w:rPr>
                <w:sz w:val="24"/>
                <w:szCs w:val="24"/>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225,85</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221,86</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57,195</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405,88</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402,13</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-2005330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-2005330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-2005330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-2005330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-2005330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9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(1,447)</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(46,935)</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(15,005)</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(86,013)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(3,748)</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(14,226)</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(10,699)</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(20,420)</w:t>
            </w:r>
          </w:p>
        </w:tc>
      </w:tr>
      <w:tr>
        <w:trPr>
          <w:trHeight w:val="20"/>
        </w:trPr>
        <w:tc>
          <w:tcPr>
            <w:tcW w:w="5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(5,195)</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(61,161)</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(25,704)</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(106,433)</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$25.7 million for the six months ended June 30, 2025 compared to an outflow of $106.4 million during the prior year period. The improvement in free cash flow was driven by decreased net cash flows used in operating activities and lower capital expenditures.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23,275</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(9,822)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(24,373)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227,002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39,797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(46,833)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(7,294)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(983)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(3,179)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(51,945)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(3,778)</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(48,257)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costs not allocated to the segments.</w:t>
      </w:r>
    </w:p>
    <w:p>
      <w:pPr>
        <w:spacing w:after="0" w:line="1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2025 and 2024 refer to intersegment revenue for sales of products from Europe &amp; International to Greater China.</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3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6" w:lineRule="exact"/>
        <w:rPr>
          <w:rFonts w:ascii="Times New Roman" w:cs="Times New Roman" w:eastAsia="Times New Roman" w:hAnsi="Times New Roman"/>
          <w:sz w:val="16"/>
          <w:szCs w:val="16"/>
          <w:color w:val="auto"/>
        </w:rPr>
      </w:pPr>
    </w:p>
    <w:p>
      <w:pPr>
        <w:ind w:right="500" w:firstLine="8"/>
        <w:spacing w:after="0" w:line="264" w:lineRule="auto"/>
        <w:tabs>
          <w:tab w:leader="none" w:pos="22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2024 Annual Report and the notes to the audited financial statements in our 2024 Annual Report. Our critical accounting policies and estimates are the same as those discussed in our 2024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Qualitative and Quantitative Disclosures about Market Risk</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to our audited consolidated financial statements for the year ended December 31, 2024 included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 other than as noted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Strategic Review of our China Business may not be successful</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initiated a strategic review of our Greater China business. The review will consider a broad range of strategic options to enhance shareholder value, including a potential carve-out of the Greater China segment. There is no guarantee that this strategic review will be successful or will yield results that enhance shareholder value. The strategic review will also take time and the attention of management. The strategic review may also take longer than expected. There are no assurances that the process will result in any transaction or strategic change. If the strategic review is not successful, this will likely have a negative result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20" w:type="dxa"/>
            <w:vAlign w:val="bottom"/>
          </w:tcPr>
          <w:p>
            <w:pPr>
              <w:spacing w:after="0"/>
              <w:rPr>
                <w:sz w:val="22"/>
                <w:szCs w:val="22"/>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20"/>
                <w:szCs w:val="20"/>
                <w:b w:val="1"/>
                <w:bCs w:val="1"/>
                <w:color w:val="auto"/>
              </w:rPr>
              <w:t>Oatly Group AB</w:t>
            </w:r>
          </w:p>
        </w:tc>
        <w:tc>
          <w:tcPr>
            <w:tcW w:w="0" w:type="dxa"/>
            <w:vAlign w:val="bottom"/>
          </w:tcPr>
          <w:p>
            <w:pPr>
              <w:spacing w:after="0"/>
              <w:rPr>
                <w:sz w:val="1"/>
                <w:szCs w:val="1"/>
                <w:color w:val="auto"/>
              </w:rPr>
            </w:pPr>
          </w:p>
        </w:tc>
      </w:tr>
      <w:tr>
        <w:trPr>
          <w:trHeight w:val="66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0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lowerRoman"/>
      <w:start w:val="1"/>
    </w:lvl>
  </w:abstractNum>
  <w:abstractNum w:abstractNumId="7">
    <w:nsid w:val="DED7263"/>
    <w:multiLevelType w:val="hybridMultilevel"/>
    <w:lvl w:ilvl="0">
      <w:lvlJc w:val="left"/>
      <w:lvlText w:val="%1"/>
      <w:numFmt w:val="upperLetter"/>
      <w:start w:val="34"/>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upperLetter"/>
      <w:start w:val="34"/>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2025-07-23T15:12:34Z</dcterms:created>
  <dcterms:modified xsi:type="dcterms:W3CDTF">2025-07-23T15:12:34Z</dcterms:modified>
</cp:coreProperties>
</file>