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927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92747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Brok Martin</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60" w:type="dxa"/>
            <w:vAlign w:val="bottom"/>
            <w:tcBorders>
              <w:top w:val="single" w:sz="8" w:color="0000EE"/>
              <w:bottom w:val="single" w:sz="8" w:color="9A9A9A"/>
            </w:tcBorders>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080" w:type="dxa"/>
            <w:vAlign w:val="bottom"/>
          </w:tcPr>
          <w:p>
            <w:pPr>
              <w:ind w:left="6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w w:val="98"/>
              </w:rPr>
              <w:t>1000 REMINGTON BLVD</w:t>
            </w:r>
          </w:p>
        </w:tc>
        <w:tc>
          <w:tcPr>
            <w:tcW w:w="10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r>
      <w:tr>
        <w:trPr>
          <w:trHeight w:val="272"/>
        </w:trPr>
        <w:tc>
          <w:tcPr>
            <w:tcW w:w="7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BOLINGBROOK</w:t>
            </w:r>
          </w:p>
        </w:tc>
        <w:tc>
          <w:tcPr>
            <w:tcW w:w="108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IL 60440</w:t>
            </w:r>
          </w:p>
        </w:tc>
      </w:tr>
      <w:tr>
        <w:trPr>
          <w:trHeight w:val="158"/>
        </w:trPr>
        <w:tc>
          <w:tcPr>
            <w:tcW w:w="20" w:type="dxa"/>
            <w:vAlign w:val="bottom"/>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740" w:type="dxa"/>
            <w:vAlign w:val="bottom"/>
          </w:tcPr>
          <w:p>
            <w:pPr>
              <w:ind w:left="40"/>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080" w:type="dxa"/>
            <w:vAlign w:val="bottom"/>
          </w:tcPr>
          <w:p>
            <w:pPr>
              <w:ind w:left="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(1)</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60"/>
              <w:spacing w:after="0"/>
              <w:rPr>
                <w:sz w:val="20"/>
                <w:szCs w:val="20"/>
                <w:color w:val="auto"/>
              </w:rPr>
            </w:pPr>
            <w:r>
              <w:rPr>
                <w:rFonts w:ascii="Times New Roman" w:cs="Times New Roman" w:eastAsia="Times New Roman" w:hAnsi="Times New Roman"/>
                <w:sz w:val="18"/>
                <w:szCs w:val="18"/>
                <w:color w:val="0000FF"/>
              </w:rPr>
              <w:t>53,951</w:t>
            </w:r>
          </w:p>
        </w:tc>
        <w:tc>
          <w:tcPr>
            <w:tcW w:w="1060" w:type="dxa"/>
            <w:vAlign w:val="bottom"/>
            <w:tcBorders>
              <w:bottom w:val="single" w:sz="8" w:color="2C2C2C"/>
            </w:tcBorders>
          </w:tcPr>
          <w:p>
            <w:pPr>
              <w:ind w:left="86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60" w:type="dxa"/>
            <w:vAlign w:val="bottom"/>
            <w:tcBorders>
              <w:top w:val="single" w:sz="8" w:color="2C2C2C"/>
            </w:tcBorders>
            <w:gridSpan w:val="4"/>
          </w:tcPr>
          <w:p>
            <w:pPr>
              <w:ind w:left="2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20" w:type="dxa"/>
            <w:vAlign w:val="bottom"/>
          </w:tcPr>
          <w:p>
            <w:pPr>
              <w:spacing w:after="0"/>
              <w:rPr>
                <w:sz w:val="12"/>
                <w:szCs w:val="12"/>
                <w:color w:val="auto"/>
              </w:rPr>
            </w:pPr>
          </w:p>
        </w:tc>
        <w:tc>
          <w:tcPr>
            <w:tcW w:w="1060" w:type="dxa"/>
            <w:vAlign w:val="bottom"/>
          </w:tcPr>
          <w:p>
            <w:pPr>
              <w:ind w:left="48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20" w:type="dxa"/>
            <w:vAlign w:val="bottom"/>
            <w:vMerge w:val="continue"/>
          </w:tcPr>
          <w:p>
            <w:pPr>
              <w:spacing w:after="0"/>
              <w:rPr>
                <w:sz w:val="16"/>
                <w:szCs w:val="16"/>
                <w:color w:val="auto"/>
              </w:rPr>
            </w:pPr>
          </w:p>
        </w:tc>
        <w:tc>
          <w:tcPr>
            <w:tcW w:w="106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4" w:lineRule="exact"/>
        <w:rPr>
          <w:sz w:val="24"/>
          <w:szCs w:val="24"/>
          <w:color w:val="auto"/>
        </w:rPr>
      </w:pPr>
    </w:p>
    <w:p>
      <w:pPr>
        <w:ind w:left="40" w:right="22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2,886 RSUs will vest in full on the date of the Issuer's next annual general meeting, subject to the Reporting Person's continued service as a director through such vesting date. There are no voting or dividend rights prior to vesting.</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Martin Brok</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Martin Brok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361283"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2026-03-18T18:50:44Z</dcterms:created>
  <dcterms:modified xsi:type="dcterms:W3CDTF">2026-03-18T18:50:44Z</dcterms:modified>
</cp:coreProperties>
</file>