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150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15099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Lind Martin Fredrik</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740" w:type="dxa"/>
            <w:vAlign w:val="bottom"/>
            <w:tcBorders>
              <w:top w:val="single" w:sz="8" w:color="0000EE"/>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8"/>
          <w:szCs w:val="18"/>
          <w:color w:val="0000FF"/>
        </w:rPr>
        <w:t>Principal Accounting Officer</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Ordinary Shares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386"/>
              <w:spacing w:after="0"/>
              <w:rPr>
                <w:sz w:val="20"/>
                <w:szCs w:val="20"/>
                <w:color w:val="auto"/>
              </w:rPr>
            </w:pPr>
            <w:r>
              <w:rPr>
                <w:rFonts w:ascii="Times New Roman" w:cs="Times New Roman" w:eastAsia="Times New Roman" w:hAnsi="Times New Roman"/>
                <w:sz w:val="18"/>
                <w:szCs w:val="18"/>
                <w:color w:val="0000FF"/>
              </w:rPr>
              <w:t>216,000</w:t>
            </w:r>
          </w:p>
        </w:tc>
        <w:tc>
          <w:tcPr>
            <w:tcW w:w="1040" w:type="dxa"/>
            <w:vAlign w:val="bottom"/>
            <w:tcBorders>
              <w:bottom w:val="single" w:sz="8" w:color="2C2C2C"/>
            </w:tcBorders>
          </w:tcPr>
          <w:p>
            <w:pPr>
              <w:ind w:left="84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426"/>
              <w:spacing w:after="0"/>
              <w:rPr>
                <w:sz w:val="20"/>
                <w:szCs w:val="20"/>
                <w:color w:val="auto"/>
              </w:rPr>
            </w:pPr>
            <w:r>
              <w:rPr>
                <w:rFonts w:ascii="Times New Roman" w:cs="Times New Roman" w:eastAsia="Times New Roman" w:hAnsi="Times New Roman"/>
                <w:sz w:val="18"/>
                <w:szCs w:val="18"/>
                <w:color w:val="0000FF"/>
              </w:rPr>
              <w:t>11,106</w:t>
            </w:r>
          </w:p>
        </w:tc>
        <w:tc>
          <w:tcPr>
            <w:tcW w:w="1040" w:type="dxa"/>
            <w:vAlign w:val="bottom"/>
            <w:tcBorders>
              <w:bottom w:val="single" w:sz="8" w:color="2C2C2C"/>
            </w:tcBorders>
          </w:tcPr>
          <w:p>
            <w:pPr>
              <w:ind w:left="84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040" w:type="dxa"/>
            <w:vAlign w:val="bottom"/>
          </w:tcPr>
          <w:p>
            <w:pPr>
              <w:ind w:left="46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vMerge w:val="continue"/>
          </w:tcPr>
          <w:p>
            <w:pPr>
              <w:spacing w:after="0"/>
              <w:rPr>
                <w:sz w:val="16"/>
                <w:szCs w:val="16"/>
                <w:color w:val="auto"/>
              </w:rPr>
            </w:pP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Ordinary Shares may be converted into ADSs at a conversion ratio of 20-to-1, at the election of the Reporting Person.</w:t>
      </w:r>
    </w:p>
    <w:p>
      <w:pPr>
        <w:spacing w:after="0" w:line="42" w:lineRule="exact"/>
        <w:rPr>
          <w:rFonts w:ascii="Times New Roman" w:cs="Times New Roman" w:eastAsia="Times New Roman" w:hAnsi="Times New Roman"/>
          <w:sz w:val="14"/>
          <w:szCs w:val="14"/>
          <w:color w:val="008000"/>
        </w:rPr>
      </w:pPr>
    </w:p>
    <w:p>
      <w:pPr>
        <w:ind w:left="40" w:right="28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2,002 RSUs will vest on 5/30/2026, 1,389 RSUs will vest in two equal annual increments beginning 5/30/2026, and 6,537 RSUs will vest in three equal annual increments beginning 5/30/2026.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Martin Lind</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Martin Lind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9449"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2026-03-18T18:59:01Z</dcterms:created>
  <dcterms:modified xsi:type="dcterms:W3CDTF">2026-03-18T18:59:01Z</dcterms:modified>
</cp:coreProperties>
</file>