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2025, Oatly Group AB (the “Company”) published its Swedish statutory annual report for 2024 (the “Annual Report”), a copy of which is furnished as Exhibit 99.1. The Annual Report is also available on the Company’s website at https://investors.oatly.com/financials-filings.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83" w:right="6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4"/>
                <w:szCs w:val="1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Annual Report for 2024</w:t>
            </w:r>
          </w:p>
        </w:tc>
      </w:tr>
      <w:tr>
        <w:trPr>
          <w:trHeight w:val="99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top w:val="single" w:sz="8" w:color="0000FF"/>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2025</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6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6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6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Annual Report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and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6"/>
          <w:szCs w:val="46"/>
          <w:b w:val="1"/>
          <w:bCs w:val="1"/>
          <w:color w:val="auto"/>
        </w:rPr>
        <w:t>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for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Oatly Group AB (publ)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559081-1989</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Financial year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Board of Directors and Chief Executive Officer (“CEO”) of Oatly Group AB (publ) (“Oatly”, the “Parent Company” or the “Company”, and together with its subsidiaries, the “Group”) hereby present the annual report and consolidated financial statements for the 2024 financial year (the “Annual Report”).</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U.S. dollars (“USD” or “$”), and all amounts are in thousands of U.S. dollars (TUSD) unless otherwise specified. The Annual Report for the Parent Company has been prepared in Swedish kronor (“SEK”), and all amounts are in thousands of Swedish kronor (TSEK) unless otherwise specified.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operations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Oatly handles the administration of the Group and its financing. The major operations in the Group take place in underlying companies, primarily in Oatly AB. Oatly AB is an innovative company operating within sustainable nutritional health. The Company develops, produces and sells oat-based dairy substitute products, primarily under its own brand, Oatly.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registered office is in Malmö, Sweden.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Nativus Company Limited owns 45.4% of the Company’s ordinary shares. None of the remaining shareholders own more than 10%. Oatly is listed on the Nasdaq Global Select Market,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 during the financial year</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Revenue increased by $40.3 million, or 5.1%, to $823.7 million for the year ended December 31, 2024, net of sales discounts, rebates and trade promotions, from $783.3 million for the year ended December 31, 2023. This revenue growth was mainly driven by continued volume growth for our products in North America and Europe &amp; International, but was partially offset by revenue decline in the Greater China segment. In the Greater China segment, the first half of the year was impacted by the Company’s decision from 2023 to refocus into the foodservice channel which led to the discontinuation of certain lower-margin products and customers, and the second half of the year benefited from sales to a new large foodservice customer. Excluding a foreign currency exchange tailwind of $2.2 million, revenue for the twelve months ended December 31, 2024 would have been $821.4 million, or an increase of 4.8%, using constant exchange rates (refer to Non-IFRS Financial Measures section below for tables reconciling revenue as reported to revenue on a constant currency basis). Sold finished goods volume for the twelve months ended December 31, 2024 amounted to 563.4 million liters compared to 517.7 million liters for the prior year period, an increase of 8.8%. The produced finished goods volume for the twelve months ended December 31, 2024 amounted to 576.3 million liters compared to 506.3 million liters for the same period last year, an increase of 13.8%.</w:t>
      </w:r>
    </w:p>
    <w:p>
      <w:pPr>
        <w:spacing w:after="0" w:line="8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Oatly continues to execute on its strategic priorities focused on achieving profitable growth. These actions are aimed at setting clear priorities for the teams, reducing complexity to increase organizational agility, and executing a more asset-light supply chain strategy. In executing these actions, the Company simplified its organizational structure. The Company reviewed the organizational structure to adjust the fixed cost base globally, including employee-related costs, professional services, and other related costs. Oatly has recorded restructuring costs of $8.2 million in 2024 related to these actions (2023: $14.8 million).</w:t>
      </w:r>
    </w:p>
    <w:p>
      <w:pPr>
        <w:spacing w:after="0" w:line="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fourth quarter 2023, Oatly decided to discontinue the construction of the production facilities in Peterborough, UK and Dallas-Fort Worth, Texas. During 2024, the Company completed substantially all of the activities relating to the exit of these two facilities. Also, in 2024, Oatly decided to close the production facility in Singapore and discontinued the construction of the second production facility in China, which has historically been referred to as “Asia III”. Oatly currently operate five manufacturing facilities, with two in the United States, one in Sweden, one in the Netherlands, and one in China.</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during the year, our number of employees has decreased by 66 employees, to 1,482 employees as of December 31, 2024 from 1,548 employees as of December 31, 2023. The average number of full-time consultants decreased by 23 consultants to 80 consultants for the year ended December 31, 2024 from 103 consultants for the year ended December 31, 2023.</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Effective as of January 1, 2024 the Company has made changes to how it makes strategic decisions and allocates resources among its operating segments. As part of this change the Greater China business will be managed separately from the rest of the Asia business, forming its own operating segment. The rest of the Asia business, including the Singapore manufacturing facility, will be managed together with the current EMEA business, which is now identified as Europe &amp; International. Following these changes the new operating segments are (i) Europe &amp; International, (ii) North America and (iii) Greater China. In addition to the above-described changes,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majority of the research and development expenses, currently part of corporate overhead, will be allocated to the operating segments to align with how resources are being allocated and monitored as of January 1, 2024.</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Since the Company's inception, the operations have been financed primarily through cash generated by the issuance of equity and Convertible Notes, and from borrowings under the Company's credit facilities. The Company's primary requirements for liquidity and capital are to finance working capital, make capital expenditures, invest in organizational capabilities to support profitable growth and for general corporate purposes. Oatly is using this combination of financing to fund the business. The Company expects its capital expenditures for 2025 to be in the range of $30 million to $35 million, related primarily to investments in its production facilities. The amount and allocation of future capital expenditures depend on several factors, and the strategic investment priorities may change. The Company's recent decisions to discontinue construction at the production facility in China (Asia III), and close the production facility in Singapore, have impacted the projected capital expenditures. The Company believes that its sources of liquidity and capital will be sufficient to meet the existing business needs for at least the next 12 months from the end of the reporting period.</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2" w:lineRule="auto"/>
        <w:tabs>
          <w:tab w:leader="none" w:pos="2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Customary group management functions and group wide services are provided via the Parent Company. Net revenues for the Parent Company during the year 2024 were 40.9 MSEK (2023: 17.4 MSEK) with loss before tax amounting to 1 421.2 MSEK, and loss before tax amounting to 8 976.1 MSEK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 after the end of the financial year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11, 2025, the Group’s Sustainable Revolving Credit Facility Agreement and Term Loan 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amended Sustainable Revolving Credit Facility Agreement and Term Loan B Credit Agreement impose limitations on drawdowns under the Sustainable Revolving Credit Facility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7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Sustainable Revolving Credit Facility Agreement on February 11, 2025.</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its American Depositary Shares (“ADS:s”) to ordinary shares was changed from one ADS representing one ordinary share to one ADS representing twenty ordinary shares.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$4.1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end of the fiscal year, we have observed significant uncertainties and changes in tariffs due to the ongoing uncertainty in the global economy and related trade conflicts. Trade conflicts, tariffs, and other trade barriers can affect the price of oats and other ingredients used in our products, and may have a negative impact on our operations, financial position, and results. We will closely monitor the effects of trade conflicts, tariffs, and other trade barriers on our business and take appropriate measures to mitigate any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future development and significant risks and uncertainties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We continue to maintain a global focus on the controllable aspects of our business while navigating the challenging operating environment. Our fiscal 2024 revenue growth reflects solid demand for our products despite ongoing uncertainty in the global economy. We will continue to closely monitor macroeconomic conditions, including potential impacts of inflation and interest rate changes on consumer behavior.</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result of inflationary pressures over the past several years, we have experienced and may continue to experience, higher commodity and supply chain costs, including transportation, packaging, manufacturing, and ingredient costs, as well as higher electricity costs. We have in the past taken, and may in the future take, measures to mitigate the impact of this inflation, such as a combination of strategic pricing actions, product and customer mix management, operational improvements in our supply chain, and reductions in our overhead costs.</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Russian invasion of Ukraine in February 2022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leading to higher transportation costs which make it more expensive for us and our partners to deliver products to our customers. We do not directly procure goods or services from Russia or Ukraine. However, these two countries are large exporters of farm produce and fertilizer. This has indirectly impacted the supply and pricing of certain ingredients for our products. We also have experienced an impact on supply chains due to the ongoing war and, for example, have removed rail transport to Asia through Russia. Further sanctions, bans, or other economic actions in response to the ongoing war in Ukraine or in response to any other global conflict could result in an increase in costs, further disruptions to our supply chain, and a lack of consumer confidence resulting in reduced demand. While the extent of such items is not presently known, any of them could negatively impact our business, results of operations, and financial condition. Additionally, further escalation of geopolitical tensions related to the ongoing conflict in the Middle East and the conflict in the Red Sea, including increased trade barriers or restrictions on global trade, could result in, among other things, broader impacts that expand into other markets, cyberattacks, supply chain and logistics disruptions, and changes to foreign exchange rates and financial markets, any of which may adversely affect our business and supply chain, or a diminished consumer confidence resulting in reduced demand.</w:t>
      </w:r>
    </w:p>
    <w:p>
      <w:pPr>
        <w:spacing w:after="0" w:line="19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Any trade tensions or trade wars, for example, between the United States and China, the United States and Canada, the United States and Mexico, the United States and the EU, or news and rumors of potential retaliatory tariffs, could have an adverse impact on our business, financial condition and results of operations. We will closely monitor the impact of changes in tariffs and other trade barriers on our business and take appropriate measures to offset any potential headwinds.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Oatly works extensively with innovation. Since inception, our innovation goal has been to build the best possible form of milk and other dairy products for humans and our planet. Through our more than 30-year history of making oat products, we have developed a deep expertise around oats and production craftsmanship. We believe we are well positioned to leverage science to address key societal problems and maintain our market leadership in plant-based dairy.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Today, we have a global Food Innovation team with a central technology development team in Sweden, and globally-led but regionally-executed product development teams in the Europe &amp; International, North America och Greater China. To further strengthen our capabilities, in 2023 we established a Research and Innovation Center in Sweden where we partner with leading scientists and industry experts to ensure we stay at the forefront of oat expertise and human health. Given one of our key focuses is building a broad and relevant product portfolio within plant-based dairy, we continuously explore and enter new product categories, making the change to plant-based easy for the consumers. We strive to create great, sustainable, delicious and nutritious food with optimal taste, functionality and texture.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control and use of financial instruments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Through its operations, the Group is exposed to various financial risks attributable to primarily cash, short-term investments, trade receivables, trade payables and liabilities to credit institutions. The financial risks are market risk (mainly interest risk and currency risk), credit risk, liquidity risk and refinancing risk. The Group strives to minimize potential unfavorable effects from these risks on the Group’s financial results.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information on the Group’s management of financial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non-financial disclosures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works actively on systematic and practical occupational health and safety activities and the goal is a safe workplace with a high level of employee attendance and zero accidents. The Group also works actively on equality and issues of equal treatment together with an updated equal treatment policy. In Sweden, there are collective agreements signed with Livsmedelsföretagen and Livsmedelsarbetareförbundet, Unionen, Sveriges Ingenjörer and Ledarna.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subject to permits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operations in Landskrona, Sweden are licensable under the Environmental Assessment Ordinance (SFS 2013:251): 15.90-i and 90.15-i. The B license becomes mandatory when production exceeds 75,000 tons per calendar year and for the handling of treatment for the operation’s process wastewater. The operations are conducted by Oatly Sweden Operations &amp; Supply AB, which holds the necessary permits.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Since December 2020, we have used the existing license to conduct existing and expanded operations in the form of 200,000 tons of product per calendar year. The license also covers the construction and operation of a waste treatment plant for the operation’s processed wastewater. The initial license to discharge processed wastewater to the municipal wastewater treatment plant has now expired and all processed wastewater has been treated in the Company’s own wastewater treatment plant since 22 December, 2021. The processed wastewater is discharged to the municipal treatment plant “Lundåkrabassängen” in accordance with the license.</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2024, the operations applied for an amendment to the existing permit concerning modified fuel usage in accordance with Chapter 16, Section 2a of the Swedish Environmental Code, a so-called amendment permit. The County Administrative Board decided on January 10, 2024, that the planned change in the operations would not result in any significant environmental impact. The amendment permit was issued on October 3, 2024, and grants the operations the right to handle, store, and use the fuel type wood powder (wood pellets) for steam production, in addition to the previously approved fuel types. The amendment permit was utilized on October 24, 2024, and is subject to relevant associated conditions, which the operations comply with.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Additionally, the Group also has operations subject to permits in the US, the UK, the Netherlands and China related to the carried-out production.</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2024, all operating licenses, permits, and other authorizations are approved for current operations in Millville (US). Millville has the necessary FDA Food Facility Registration, registration number and the Certificate of Registration for Food Establishment from the Department of Health New Jersey.</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Millville has applied for an update of the following licenses: Air Permit License for Oats silo, a General Air Permit, Air permit for Multi-cracker which is valid until March 2028, Waste Water Discharge permit NJDEP until February 2030, Vegetative Waste permit for sludge and Oat-fiber waste, Boiler Operation Permit, Storm Water permit. For 2024, Millville completed their BRC unannounced audit in July 2024 (no non-conformance with AA+ rating).</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2024 Ogden (US) had the necessary FDA Food Facility Registration, FCE (Food Canning Establishment) registration number and the Certificate of Registration for Food Establishment from the Department of Agriculture and Food, State of Utah. For 2024, Ogden will keep these registrations and YYF will apply for their own relevant registrations from the FDA and the State of Utah. As of March 1, 2023, YYF will be responsible for maintaining the required wastewater &amp; air permit licenses for Ogden and Oatly will not maintain any such permits or licenses</w:t>
      </w:r>
      <w:r>
        <w:rPr>
          <w:rFonts w:ascii="Times New Roman" w:cs="Times New Roman" w:eastAsia="Times New Roman" w:hAnsi="Times New Roman"/>
          <w:sz w:val="18"/>
          <w:szCs w:val="18"/>
          <w:color w:val="FF0000"/>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Ogden completed their BRC audit in December 2023 (no non-conformances with AA+ rating). The last audit was completed in January 2025 (no non-conformances with AA rating).</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Landskrona (Sweden) and Vlissingen (Netherlands) hold approved licenses, permits and other authorizations required to support existing operations and anticipated growth. The renewed BRC certificate for Landskrona was obtained in April 2024. The latest audit was conducted in March 2025 with an approved result, and the current certificate is expected to be renewed. The current certificate expires May 2025. The organic certification was renewed until January 31, 2026. Vlissingen received a renewed BRC certificate in July 2024 and is expected to undergo the next audit before July 2025. The current certificate expires on August 23, 2025. Vlissingen has also renewed its Organic, Kosher, Halal, and GMP+ certifications, which are valid until July 31, 2025.</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Ma’anshan Factory (China) obtained the production license in September 2021 that will be effective for five years. In November 2023, the Ma’anshan Factory updated the production license for new categories expansion including coffee beverages and vegetable cream. The license will be effective for five years.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Ma’anshan Factory passed BRCGS renewal audit in November 2024 and FSSC22000 renewal audit in October 2024. The Ma’anshan Factory obtained the certificate of export food production enterprise in 2023 which will be long-term effective. Further, the Ma’anshan Factory obtained the EU organic certificate and China organic certificate for organic oatmilk in October 2024 that will be effective for one year. Maanshan Factory obtained the certificate of JAKIM HALAL for Oat Milk Deluxe and Oat Drink Barista Edition in September 2024 which will be effective until September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Sustainability is at the core of our business. Our vision is to be a company that leads a global movement to reduce human consumption of cow’s milk by half. In general, oatmilk leads to fewer greenhouse gas emissions compared to cow’s milk. Specifically, based on certain product-level calculations we have commissioned in Europe and on additional studies, we generally see that oatmilk products have a significantly lower climate (CO2equivalent) impact relative to comparable dairy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report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 sustainability report is separately published at www.oatly.com.The report gives an account of our overall work on pursuing a greater transformation of society, linked above all to production and consumption of plant-based food and drink.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earnings and financial position, Group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Group (TUSD)</w:t>
            </w:r>
          </w:p>
        </w:tc>
        <w:tc>
          <w:tcPr>
            <w:tcW w:w="14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6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823,666</w:t>
            </w:r>
          </w:p>
        </w:tc>
        <w:tc>
          <w:tcPr>
            <w:tcW w:w="2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783,348</w:t>
            </w:r>
          </w:p>
        </w:tc>
        <w:tc>
          <w:tcPr>
            <w:tcW w:w="28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722,238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(198,573)</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(408,165)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(397,394)</w:t>
            </w: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803,980</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1,116,971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Equity/asset ratio* (%)</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employees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1,775</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Total equity as a percentage of total assets.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Proposed appropriation of profits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 proposes that profits available for disposal (SEK)</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 reserve</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13,126,053,252</w:t>
            </w:r>
          </w:p>
        </w:tc>
        <w:tc>
          <w:tcPr>
            <w:tcW w:w="100" w:type="dxa"/>
            <w:vAlign w:val="bottom"/>
          </w:tcPr>
          <w:p>
            <w:pPr>
              <w:spacing w:after="0"/>
              <w:rPr>
                <w:sz w:val="18"/>
                <w:szCs w:val="18"/>
                <w:color w:val="auto"/>
              </w:rPr>
            </w:pP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(6,390,105,837)</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Profit of the year</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(1,306,611,023)</w:t>
            </w:r>
          </w:p>
        </w:tc>
      </w:tr>
      <w:tr>
        <w:trPr>
          <w:trHeight w:val="228"/>
        </w:trPr>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5,429,336,392</w:t>
            </w:r>
          </w:p>
        </w:tc>
        <w:tc>
          <w:tcPr>
            <w:tcW w:w="100" w:type="dxa"/>
            <w:vAlign w:val="bottom"/>
          </w:tcPr>
          <w:p>
            <w:pPr>
              <w:spacing w:after="0"/>
              <w:rPr>
                <w:sz w:val="19"/>
                <w:szCs w:val="19"/>
                <w:color w:val="auto"/>
              </w:rPr>
            </w:pPr>
          </w:p>
        </w:tc>
      </w:tr>
      <w:tr>
        <w:trPr>
          <w:trHeight w:val="45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be appropriated as follows to be carried forward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5,429,336,392</w:t>
            </w:r>
          </w:p>
        </w:tc>
        <w:tc>
          <w:tcPr>
            <w:tcW w:w="100" w:type="dxa"/>
            <w:vAlign w:val="bottom"/>
          </w:tcPr>
          <w:p>
            <w:pPr>
              <w:spacing w:after="0"/>
              <w:rPr>
                <w:sz w:val="24"/>
                <w:szCs w:val="24"/>
                <w:color w:val="auto"/>
              </w:rPr>
            </w:pPr>
          </w:p>
        </w:tc>
      </w:tr>
      <w:tr>
        <w:trPr>
          <w:trHeight w:val="432"/>
        </w:trPr>
        <w:tc>
          <w:tcPr>
            <w:tcW w:w="6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Group’s and Parent Company’s results and financial position in general are shown in the following income statements, balance sheets and cash-flow statement with associated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w w:val="92"/>
              </w:rPr>
              <w:t>Note</w:t>
            </w:r>
          </w:p>
        </w:tc>
      </w:tr>
      <w:tr>
        <w:trPr>
          <w:trHeight w:val="144"/>
        </w:trPr>
        <w:tc>
          <w:tcPr>
            <w:tcW w:w="64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tc>
        <w:tc>
          <w:tcPr>
            <w:tcW w:w="9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-103505</wp:posOffset>
            </wp:positionV>
            <wp:extent cx="874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year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8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7620</wp:posOffset>
            </wp:positionV>
            <wp:extent cx="18599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36"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color w:val="auto"/>
        </w:rPr>
        <w:t>823,666</w:t>
      </w:r>
      <w:r>
        <w:rPr>
          <w:sz w:val="20"/>
          <w:szCs w:val="20"/>
          <w:color w:val="auto"/>
        </w:rPr>
        <w:tab/>
      </w:r>
      <w:r>
        <w:rPr>
          <w:rFonts w:ascii="Times New Roman" w:cs="Times New Roman" w:eastAsia="Times New Roman" w:hAnsi="Times New Roman"/>
          <w:sz w:val="18"/>
          <w:szCs w:val="18"/>
          <w:color w:val="auto"/>
        </w:rPr>
        <w:t>783,348</w:t>
      </w:r>
    </w:p>
    <w:p>
      <w:pPr>
        <w:spacing w:after="0" w:line="27" w:lineRule="exact"/>
        <w:rPr>
          <w:sz w:val="20"/>
          <w:szCs w:val="20"/>
          <w:color w:val="auto"/>
        </w:rPr>
      </w:pP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color w:val="auto"/>
        </w:rPr>
        <w:t>(587,174)</w:t>
      </w:r>
      <w:r>
        <w:rPr>
          <w:sz w:val="20"/>
          <w:szCs w:val="20"/>
          <w:color w:val="auto"/>
        </w:rPr>
        <w:tab/>
      </w:r>
      <w:r>
        <w:rPr>
          <w:rFonts w:ascii="Times New Roman" w:cs="Times New Roman" w:eastAsia="Times New Roman" w:hAnsi="Times New Roman"/>
          <w:sz w:val="18"/>
          <w:szCs w:val="18"/>
          <w:color w:val="auto"/>
        </w:rPr>
        <w:t>(631,265)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5715</wp:posOffset>
            </wp:positionV>
            <wp:extent cx="18599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236,492</w:t>
      </w:r>
      <w:r>
        <w:rPr>
          <w:sz w:val="20"/>
          <w:szCs w:val="20"/>
          <w:color w:val="auto"/>
        </w:rPr>
        <w:tab/>
      </w:r>
      <w:r>
        <w:rPr>
          <w:rFonts w:ascii="Times New Roman" w:cs="Times New Roman" w:eastAsia="Times New Roman" w:hAnsi="Times New Roman"/>
          <w:sz w:val="18"/>
          <w:szCs w:val="18"/>
          <w:b w:val="1"/>
          <w:bCs w:val="1"/>
          <w:color w:val="auto"/>
        </w:rPr>
        <w:t>152,083</w:t>
      </w:r>
    </w:p>
    <w:p>
      <w:pPr>
        <w:spacing w:after="0" w:line="23" w:lineRule="exact"/>
        <w:rPr>
          <w:sz w:val="20"/>
          <w:szCs w:val="20"/>
          <w:color w:val="auto"/>
        </w:rPr>
      </w:pPr>
    </w:p>
    <w:p>
      <w:pPr>
        <w:jc w:val="both"/>
        <w:ind w:left="340"/>
        <w:spacing w:after="0"/>
        <w:tabs>
          <w:tab w:leader="none" w:pos="1900" w:val="left"/>
        </w:tabs>
        <w:rPr>
          <w:sz w:val="20"/>
          <w:szCs w:val="20"/>
          <w:color w:val="auto"/>
        </w:rPr>
      </w:pPr>
      <w:r>
        <w:rPr>
          <w:rFonts w:ascii="Times New Roman" w:cs="Times New Roman" w:eastAsia="Times New Roman" w:hAnsi="Times New Roman"/>
          <w:sz w:val="18"/>
          <w:szCs w:val="18"/>
          <w:color w:val="auto"/>
        </w:rPr>
        <w:t>(30,135)</w:t>
      </w:r>
      <w:r>
        <w:rPr>
          <w:sz w:val="20"/>
          <w:szCs w:val="20"/>
          <w:color w:val="auto"/>
        </w:rPr>
        <w:tab/>
      </w:r>
      <w:r>
        <w:rPr>
          <w:rFonts w:ascii="Times New Roman" w:cs="Times New Roman" w:eastAsia="Times New Roman" w:hAnsi="Times New Roman"/>
          <w:sz w:val="18"/>
          <w:szCs w:val="18"/>
          <w:color w:val="auto"/>
        </w:rPr>
        <w:t>(21,047)</w:t>
      </w:r>
    </w:p>
    <w:p>
      <w:pPr>
        <w:spacing w:after="0" w:line="9" w:lineRule="exact"/>
        <w:rPr>
          <w:sz w:val="20"/>
          <w:szCs w:val="20"/>
          <w:color w:val="auto"/>
        </w:rPr>
      </w:pP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color w:val="auto"/>
        </w:rPr>
        <w:t>(324,719)</w:t>
      </w:r>
      <w:r>
        <w:rPr>
          <w:sz w:val="20"/>
          <w:szCs w:val="20"/>
          <w:color w:val="auto"/>
        </w:rPr>
        <w:tab/>
      </w:r>
      <w:r>
        <w:rPr>
          <w:rFonts w:ascii="Times New Roman" w:cs="Times New Roman" w:eastAsia="Times New Roman" w:hAnsi="Times New Roman"/>
          <w:sz w:val="18"/>
          <w:szCs w:val="18"/>
          <w:color w:val="auto"/>
        </w:rPr>
        <w:t>(373,396)</w:t>
      </w:r>
    </w:p>
    <w:p>
      <w:pPr>
        <w:spacing w:after="0" w:line="9" w:lineRule="exact"/>
        <w:rPr>
          <w:sz w:val="20"/>
          <w:szCs w:val="20"/>
          <w:color w:val="auto"/>
        </w:rPr>
      </w:pPr>
    </w:p>
    <w:p>
      <w:pPr>
        <w:jc w:val="both"/>
        <w:ind w:left="340"/>
        <w:spacing w:after="0"/>
        <w:tabs>
          <w:tab w:leader="none" w:pos="1800" w:val="left"/>
        </w:tabs>
        <w:rPr>
          <w:sz w:val="20"/>
          <w:szCs w:val="20"/>
          <w:color w:val="auto"/>
        </w:rPr>
      </w:pPr>
      <w:r>
        <w:rPr>
          <w:rFonts w:ascii="Times New Roman" w:cs="Times New Roman" w:eastAsia="Times New Roman" w:hAnsi="Times New Roman"/>
          <w:sz w:val="18"/>
          <w:szCs w:val="18"/>
          <w:color w:val="auto"/>
        </w:rPr>
        <w:t>(67,790)</w:t>
      </w:r>
      <w:r>
        <w:rPr>
          <w:sz w:val="20"/>
          <w:szCs w:val="20"/>
          <w:color w:val="auto"/>
        </w:rPr>
        <w:tab/>
      </w:r>
      <w:r>
        <w:rPr>
          <w:rFonts w:ascii="Times New Roman" w:cs="Times New Roman" w:eastAsia="Times New Roman" w:hAnsi="Times New Roman"/>
          <w:sz w:val="18"/>
          <w:szCs w:val="18"/>
          <w:color w:val="auto"/>
        </w:rPr>
        <w:t>(214,652)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5715</wp:posOffset>
            </wp:positionV>
            <wp:extent cx="18599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(186,152)</w:t>
      </w:r>
      <w:r>
        <w:rPr>
          <w:sz w:val="20"/>
          <w:szCs w:val="20"/>
          <w:color w:val="auto"/>
        </w:rPr>
        <w:tab/>
      </w:r>
      <w:r>
        <w:rPr>
          <w:rFonts w:ascii="Times New Roman" w:cs="Times New Roman" w:eastAsia="Times New Roman" w:hAnsi="Times New Roman"/>
          <w:sz w:val="18"/>
          <w:szCs w:val="18"/>
          <w:b w:val="1"/>
          <w:bCs w:val="1"/>
          <w:color w:val="auto"/>
        </w:rPr>
        <w:t>(457,012)</w:t>
      </w:r>
    </w:p>
    <w:p>
      <w:pPr>
        <w:spacing w:after="0" w:line="23" w:lineRule="exact"/>
        <w:rPr>
          <w:sz w:val="20"/>
          <w:szCs w:val="20"/>
          <w:color w:val="auto"/>
        </w:rPr>
      </w:pPr>
    </w:p>
    <w:p>
      <w:pPr>
        <w:ind w:left="400"/>
        <w:spacing w:after="0"/>
        <w:tabs>
          <w:tab w:leader="none" w:pos="1860" w:val="left"/>
        </w:tabs>
        <w:rPr>
          <w:sz w:val="20"/>
          <w:szCs w:val="20"/>
          <w:color w:val="auto"/>
        </w:rPr>
      </w:pPr>
      <w:r>
        <w:rPr>
          <w:rFonts w:ascii="Times New Roman" w:cs="Times New Roman" w:eastAsia="Times New Roman" w:hAnsi="Times New Roman"/>
          <w:sz w:val="18"/>
          <w:szCs w:val="18"/>
          <w:color w:val="auto"/>
        </w:rPr>
        <w:t>57,758</w:t>
      </w:r>
      <w:r>
        <w:rPr>
          <w:sz w:val="20"/>
          <w:szCs w:val="20"/>
          <w:color w:val="auto"/>
        </w:rPr>
        <w:tab/>
      </w:r>
      <w:r>
        <w:rPr>
          <w:rFonts w:ascii="Times New Roman" w:cs="Times New Roman" w:eastAsia="Times New Roman" w:hAnsi="Times New Roman"/>
          <w:sz w:val="18"/>
          <w:szCs w:val="18"/>
          <w:color w:val="auto"/>
        </w:rPr>
        <w:t>117,876</w:t>
      </w:r>
    </w:p>
    <w:p>
      <w:pPr>
        <w:spacing w:after="0" w:line="9" w:lineRule="exact"/>
        <w:rPr>
          <w:sz w:val="20"/>
          <w:szCs w:val="20"/>
          <w:color w:val="auto"/>
        </w:rPr>
      </w:pPr>
    </w:p>
    <w:p>
      <w:pPr>
        <w:jc w:val="both"/>
        <w:ind w:left="340"/>
        <w:spacing w:after="0"/>
        <w:tabs>
          <w:tab w:leader="none" w:pos="1900" w:val="left"/>
        </w:tabs>
        <w:rPr>
          <w:sz w:val="20"/>
          <w:szCs w:val="20"/>
          <w:color w:val="auto"/>
        </w:rPr>
      </w:pPr>
      <w:r>
        <w:rPr>
          <w:rFonts w:ascii="Times New Roman" w:cs="Times New Roman" w:eastAsia="Times New Roman" w:hAnsi="Times New Roman"/>
          <w:sz w:val="18"/>
          <w:szCs w:val="18"/>
          <w:color w:val="auto"/>
        </w:rPr>
        <w:t>(70,179)</w:t>
      </w:r>
      <w:r>
        <w:rPr>
          <w:sz w:val="20"/>
          <w:szCs w:val="20"/>
          <w:color w:val="auto"/>
        </w:rPr>
        <w:tab/>
      </w:r>
      <w:r>
        <w:rPr>
          <w:rFonts w:ascii="Times New Roman" w:cs="Times New Roman" w:eastAsia="Times New Roman" w:hAnsi="Times New Roman"/>
          <w:sz w:val="18"/>
          <w:szCs w:val="18"/>
          <w:color w:val="auto"/>
        </w:rPr>
        <w:t>(69,029)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5715</wp:posOffset>
            </wp:positionV>
            <wp:extent cx="1859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(198,573)</w:t>
      </w:r>
      <w:r>
        <w:rPr>
          <w:sz w:val="20"/>
          <w:szCs w:val="20"/>
          <w:color w:val="auto"/>
        </w:rPr>
        <w:tab/>
      </w:r>
      <w:r>
        <w:rPr>
          <w:rFonts w:ascii="Times New Roman" w:cs="Times New Roman" w:eastAsia="Times New Roman" w:hAnsi="Times New Roman"/>
          <w:sz w:val="18"/>
          <w:szCs w:val="18"/>
          <w:b w:val="1"/>
          <w:bCs w:val="1"/>
          <w:color w:val="auto"/>
        </w:rPr>
        <w:t>(408,165)</w:t>
      </w:r>
    </w:p>
    <w:p>
      <w:pPr>
        <w:spacing w:after="0" w:line="23" w:lineRule="exact"/>
        <w:rPr>
          <w:sz w:val="20"/>
          <w:szCs w:val="20"/>
          <w:color w:val="auto"/>
        </w:rPr>
      </w:pPr>
    </w:p>
    <w:p>
      <w:pPr>
        <w:jc w:val="both"/>
        <w:ind w:left="420"/>
        <w:spacing w:after="0"/>
        <w:tabs>
          <w:tab w:leader="none" w:pos="1980" w:val="left"/>
        </w:tabs>
        <w:rPr>
          <w:sz w:val="20"/>
          <w:szCs w:val="20"/>
          <w:color w:val="auto"/>
        </w:rPr>
      </w:pPr>
      <w:r>
        <w:rPr>
          <w:rFonts w:ascii="Times New Roman" w:cs="Times New Roman" w:eastAsia="Times New Roman" w:hAnsi="Times New Roman"/>
          <w:sz w:val="18"/>
          <w:szCs w:val="18"/>
          <w:color w:val="auto"/>
        </w:rPr>
        <w:t>(3,699)</w:t>
      </w:r>
      <w:r>
        <w:rPr>
          <w:sz w:val="20"/>
          <w:szCs w:val="20"/>
          <w:color w:val="auto"/>
        </w:rPr>
        <w:tab/>
      </w:r>
      <w:r>
        <w:rPr>
          <w:rFonts w:ascii="Times New Roman" w:cs="Times New Roman" w:eastAsia="Times New Roman" w:hAnsi="Times New Roman"/>
          <w:sz w:val="18"/>
          <w:szCs w:val="18"/>
          <w:color w:val="auto"/>
        </w:rPr>
        <w:t>(8,895)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5715</wp:posOffset>
            </wp:positionV>
            <wp:extent cx="18599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(202,272)</w:t>
      </w:r>
      <w:r>
        <w:rPr>
          <w:sz w:val="20"/>
          <w:szCs w:val="20"/>
          <w:color w:val="auto"/>
        </w:rPr>
        <w:tab/>
      </w:r>
      <w:r>
        <w:rPr>
          <w:rFonts w:ascii="Times New Roman" w:cs="Times New Roman" w:eastAsia="Times New Roman" w:hAnsi="Times New Roman"/>
          <w:sz w:val="18"/>
          <w:szCs w:val="18"/>
          <w:b w:val="1"/>
          <w:bCs w:val="1"/>
          <w:color w:val="auto"/>
        </w:rPr>
        <w:t>(417,060)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14605</wp:posOffset>
            </wp:positionV>
            <wp:extent cx="18599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9915" cy="26035"/>
                    </a:xfrm>
                    <a:prstGeom prst="rect">
                      <a:avLst/>
                    </a:prstGeom>
                    <a:noFill/>
                  </pic:spPr>
                </pic:pic>
              </a:graphicData>
            </a:graphic>
          </wp:anchor>
        </w:drawing>
      </w:r>
    </w:p>
    <w:p>
      <w:pPr>
        <w:spacing w:after="0" w:line="241" w:lineRule="exact"/>
        <w:rPr>
          <w:sz w:val="20"/>
          <w:szCs w:val="20"/>
          <w:color w:val="auto"/>
        </w:rPr>
      </w:pPr>
    </w:p>
    <w:p>
      <w:pPr>
        <w:jc w:val="both"/>
        <w:ind w:left="240"/>
        <w:spacing w:after="0"/>
        <w:tabs>
          <w:tab w:leader="none" w:pos="1800" w:val="left"/>
        </w:tabs>
        <w:rPr>
          <w:sz w:val="20"/>
          <w:szCs w:val="20"/>
          <w:color w:val="auto"/>
        </w:rPr>
      </w:pPr>
      <w:r>
        <w:rPr>
          <w:rFonts w:ascii="Times New Roman" w:cs="Times New Roman" w:eastAsia="Times New Roman" w:hAnsi="Times New Roman"/>
          <w:sz w:val="18"/>
          <w:szCs w:val="18"/>
          <w:color w:val="auto"/>
        </w:rPr>
        <w:t>(201,949)</w:t>
      </w:r>
      <w:r>
        <w:rPr>
          <w:sz w:val="20"/>
          <w:szCs w:val="20"/>
          <w:color w:val="auto"/>
        </w:rPr>
        <w:tab/>
      </w:r>
      <w:r>
        <w:rPr>
          <w:rFonts w:ascii="Times New Roman" w:cs="Times New Roman" w:eastAsia="Times New Roman" w:hAnsi="Times New Roman"/>
          <w:sz w:val="18"/>
          <w:szCs w:val="18"/>
          <w:color w:val="auto"/>
        </w:rPr>
        <w:t>(416,874)</w:t>
      </w:r>
    </w:p>
    <w:p>
      <w:pPr>
        <w:spacing w:after="0" w:line="27" w:lineRule="exact"/>
        <w:rPr>
          <w:sz w:val="20"/>
          <w:szCs w:val="20"/>
          <w:color w:val="auto"/>
        </w:rPr>
      </w:pPr>
    </w:p>
    <w:p>
      <w:pPr>
        <w:ind w:left="2140" w:hanging="1577"/>
        <w:spacing w:after="0"/>
        <w:tabs>
          <w:tab w:leader="none" w:pos="2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w:t>
      </w:r>
    </w:p>
    <w:p>
      <w:pPr>
        <w:spacing w:after="0" w:line="20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17145</wp:posOffset>
            </wp:positionV>
            <wp:extent cx="18599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9915" cy="26035"/>
                    </a:xfrm>
                    <a:prstGeom prst="rect">
                      <a:avLst/>
                    </a:prstGeom>
                    <a:noFill/>
                  </pic:spPr>
                </pic:pic>
              </a:graphicData>
            </a:graphic>
          </wp:anchor>
        </w:drawing>
      </w:r>
    </w:p>
    <w:p>
      <w:pPr>
        <w:spacing w:after="0" w:line="25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596,886,163</w:t>
      </w:r>
      <w:r>
        <w:rPr>
          <w:sz w:val="20"/>
          <w:szCs w:val="20"/>
          <w:color w:val="auto"/>
        </w:rPr>
        <w:tab/>
      </w:r>
      <w:r>
        <w:rPr>
          <w:rFonts w:ascii="Times New Roman" w:cs="Times New Roman" w:eastAsia="Times New Roman" w:hAnsi="Times New Roman"/>
          <w:sz w:val="18"/>
          <w:szCs w:val="18"/>
          <w:color w:val="auto"/>
        </w:rPr>
        <w:t>593,600,863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17145</wp:posOffset>
            </wp:positionV>
            <wp:extent cx="18599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9915" cy="25400"/>
                    </a:xfrm>
                    <a:prstGeom prst="rect">
                      <a:avLst/>
                    </a:prstGeom>
                    <a:noFill/>
                  </pic:spPr>
                </pic:pic>
              </a:graphicData>
            </a:graphic>
          </wp:anchor>
        </w:drawing>
      </w:r>
    </w:p>
    <w:p>
      <w:pPr>
        <w:sectPr>
          <w:pgSz w:w="11900" w:h="16838" w:orient="portrait"/>
          <w:cols w:equalWidth="0" w:num="3">
            <w:col w:w="7440" w:space="360"/>
            <w:col w:w="180" w:space="680"/>
            <w:col w:w="2540"/>
          </w:cols>
          <w:pgMar w:left="320" w:top="98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9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(202,272)</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(417,060)</w:t>
            </w: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4"/>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9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consolidated statement of operations (net of tax):</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(40,985)</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10,935</w:t>
            </w:r>
          </w:p>
        </w:tc>
        <w:tc>
          <w:tcPr>
            <w:tcW w:w="0" w:type="dxa"/>
            <w:vAlign w:val="bottom"/>
          </w:tcPr>
          <w:p>
            <w:pPr>
              <w:spacing w:after="0"/>
              <w:rPr>
                <w:sz w:val="1"/>
                <w:szCs w:val="1"/>
                <w:color w:val="auto"/>
              </w:rPr>
            </w:pPr>
          </w:p>
        </w:tc>
      </w:tr>
      <w:tr>
        <w:trPr>
          <w:trHeight w:val="191"/>
        </w:trPr>
        <w:tc>
          <w:tcPr>
            <w:tcW w:w="6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Items that will not be subsequently reclassified to consolidated statement of operations (net of</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 risks</w:t>
            </w: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for the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(40,985)</w:t>
            </w:r>
          </w:p>
        </w:tc>
        <w:tc>
          <w:tcPr>
            <w:tcW w:w="2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(243,257)</w:t>
            </w:r>
          </w:p>
        </w:tc>
        <w:tc>
          <w:tcPr>
            <w:tcW w:w="220" w:type="dxa"/>
            <w:vAlign w:val="bottom"/>
            <w:gridSpan w:val="2"/>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(242,905)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(478,595)</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5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116,208</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130,326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294,199</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360,286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45,555</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88,393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18, 19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44,378</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504,854</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65,602</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67,882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103,366</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112,951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33,820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16,928</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249,299</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299,126</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1,628,045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(274,160)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(1,249,303)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(1,060,952)</w:t>
            </w: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104,688</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333,994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72,570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116,216</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114,249</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2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162,797</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16,432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19, 28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323,528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64,368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103,719</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121,338</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35,328</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535,060</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697,857</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Attributable to shareholders of the parent</w:t>
            </w: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0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220" w:type="dxa"/>
            <w:vAlign w:val="bottom"/>
            <w:gridSpan w:val="2"/>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3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(171,483)</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(665,524)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791,143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791,143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(416,874)</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(416,874)</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(186)</w:t>
            </w:r>
          </w:p>
        </w:tc>
        <w:tc>
          <w:tcPr>
            <w:tcW w:w="22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(417,060)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(61,721)</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(61,721)</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(61,721)</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(61,721)</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(416,874)</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(478,595)</w:t>
            </w:r>
          </w:p>
        </w:tc>
        <w:tc>
          <w:tcPr>
            <w:tcW w:w="120" w:type="dxa"/>
            <w:vAlign w:val="bottom"/>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(478,781)</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 the year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vMerge w:val="continue"/>
          </w:tcPr>
          <w:p>
            <w:pPr>
              <w:spacing w:after="0"/>
              <w:rPr>
                <w:sz w:val="15"/>
                <w:szCs w:val="15"/>
                <w:color w:val="auto"/>
              </w:rPr>
            </w:pPr>
          </w:p>
        </w:tc>
        <w:tc>
          <w:tcPr>
            <w:tcW w:w="112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 issue in subsidiary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(1,060,95</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(201,949)</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(201,949)</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(323)</w:t>
            </w:r>
          </w:p>
        </w:tc>
        <w:tc>
          <w:tcPr>
            <w:tcW w:w="22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(202,272)</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(40,956)</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(40,956)</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(40,985)</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(40,956)</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(201,949)</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(242,905)</w:t>
            </w:r>
          </w:p>
        </w:tc>
        <w:tc>
          <w:tcPr>
            <w:tcW w:w="120" w:type="dxa"/>
            <w:vAlign w:val="bottom"/>
          </w:tcPr>
          <w:p>
            <w:pPr>
              <w:spacing w:after="0"/>
              <w:rPr>
                <w:sz w:val="16"/>
                <w:szCs w:val="1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(243,257)</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 the year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vMerge w:val="continue"/>
          </w:tcPr>
          <w:p>
            <w:pPr>
              <w:spacing w:after="0"/>
              <w:rPr>
                <w:sz w:val="15"/>
                <w:szCs w:val="15"/>
                <w:color w:val="auto"/>
              </w:rPr>
            </w:pPr>
          </w:p>
        </w:tc>
        <w:tc>
          <w:tcPr>
            <w:tcW w:w="112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(1,249,30</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14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20"/>
        </w:trPr>
        <w:tc>
          <w:tcPr>
            <w:tcW w:w="65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(202,272)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(417,060)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51,702</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property, plant and equipment and right-of-use assets and intangible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—Write-down of inventories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(14,414)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(57,758)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(117,876)</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expenses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70,179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plant and equipment and intangible assets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related to discontinued construction of production facilities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172,588</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related to closure of production facility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(24,518)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(3,456)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6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—Decrease/(increase) in trade receivables, other current receivables, prepaid expenses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trade payables, other current liabilities, accrued expenses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(16,362)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(114,428)</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(165,626)</w:t>
            </w:r>
          </w:p>
        </w:tc>
        <w:tc>
          <w:tcPr>
            <w:tcW w:w="60" w:type="dxa"/>
            <w:vAlign w:val="bottom"/>
          </w:tcPr>
          <w:p>
            <w:pPr>
              <w:spacing w:after="0"/>
              <w:rPr>
                <w:sz w:val="18"/>
                <w:szCs w:val="18"/>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(39,140)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(66,095)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60" w:type="dxa"/>
            <w:vAlign w:val="bottom"/>
          </w:tcPr>
          <w:p>
            <w:pPr>
              <w:spacing w:after="0"/>
              <w:rPr>
                <w:sz w:val="18"/>
                <w:szCs w:val="18"/>
                <w:color w:val="auto"/>
              </w:rPr>
            </w:pP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in)/from investing activities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(26,698)</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19, 28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26, 32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176,854</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26, 32</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(102,848)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17, 32</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(19,645)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(11,411)</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(32,550)</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in)/from financing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(27,288)</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354,995</w:t>
            </w:r>
          </w:p>
        </w:tc>
        <w:tc>
          <w:tcPr>
            <w:tcW w:w="60" w:type="dxa"/>
            <w:vAlign w:val="bottom"/>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(150,967)</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162,671</w:t>
            </w:r>
          </w:p>
        </w:tc>
        <w:tc>
          <w:tcPr>
            <w:tcW w:w="60" w:type="dxa"/>
            <w:vAlign w:val="bottom"/>
          </w:tcPr>
          <w:p>
            <w:pPr>
              <w:spacing w:after="0"/>
              <w:rPr>
                <w:sz w:val="18"/>
                <w:szCs w:val="18"/>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at January 1</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249,299</w:t>
            </w:r>
          </w:p>
        </w:tc>
        <w:tc>
          <w:tcPr>
            <w:tcW w:w="2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82,644</w:t>
            </w:r>
          </w:p>
        </w:tc>
        <w:tc>
          <w:tcPr>
            <w:tcW w:w="60" w:type="dxa"/>
            <w:vAlign w:val="bottom"/>
          </w:tcPr>
          <w:p>
            <w:pPr>
              <w:spacing w:after="0"/>
              <w:rPr>
                <w:sz w:val="16"/>
                <w:szCs w:val="16"/>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60" w:type="dxa"/>
            <w:vAlign w:val="bottom"/>
          </w:tcPr>
          <w:p>
            <w:pPr>
              <w:spacing w:after="0"/>
              <w:rPr>
                <w:sz w:val="20"/>
                <w:szCs w:val="20"/>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249,299</w:t>
            </w:r>
          </w:p>
        </w:tc>
        <w:tc>
          <w:tcPr>
            <w:tcW w:w="60" w:type="dxa"/>
            <w:vAlign w:val="bottom"/>
          </w:tcPr>
          <w:p>
            <w:pPr>
              <w:spacing w:after="0"/>
              <w:rPr>
                <w:sz w:val="18"/>
                <w:szCs w:val="18"/>
                <w:color w:val="auto"/>
              </w:rPr>
            </w:pPr>
          </w:p>
        </w:tc>
      </w:tr>
    </w:tbl>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31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These financial statements are consolidated financial statements for the group consisting of Oatly Group AB and its subsidiaries. A list of the principal subsidiaries is included in Note 14 </w:t>
      </w:r>
      <w:r>
        <w:rPr>
          <w:rFonts w:ascii="Times New Roman" w:cs="Times New Roman" w:eastAsia="Times New Roman" w:hAnsi="Times New Roman"/>
          <w:sz w:val="18"/>
          <w:szCs w:val="18"/>
          <w:i w:val="1"/>
          <w:iCs w:val="1"/>
          <w:color w:val="auto"/>
        </w:rPr>
        <w:t>Investments in subsidiaries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Ångfärjekajen 8, 211 19 Malmö, Sweden.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were authorized for issue by the Board of Directors on April 23, 2025. The Consolidated Income Statement and Consolidated Balance Sheet and the income statement and balance sheet for the Parent Company will be submitted to the Annual General Meeting on May 20, 2025, for approval.</w:t>
      </w:r>
    </w:p>
    <w:p>
      <w:pPr>
        <w:spacing w:after="0" w:line="1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all references to “SEK” are to Swedish Kronor, all references to “€” or “EUR” are to Euro and all references to “CNY” are to Chinese Yuan.</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numbers in these consolidated financial statements, including references to price per American Depositary Share (“ADS”) and a specific number of ADSs, Restricted Stock Units (“RSUs”) or stock options, for the fiscal years 2021, 2022, 2023 and 2024 reflect an ADS to ordinary share ratio of 1:1. On February 18, 2025, the Company completed a ratio change whereby the ratio of its ADSs to ordinary shares was changed from one ADS representing one ordinary share to one ADS representing twenty ordinary shares (the “ADS Ratio Change”). All metrics that are presented as of a date in 2025, including references to price per ADS and a specific number of ADSs, RSUs or stock options, reflect the new ADS to ordinary share ratio of 1:20.</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functional currency of the Parent Company is SEK. All amounts are in thousands of SEK for the financial statements of the Parent Company unless otherwise stated. All references in these financial statements to “$” or “USD” are to U.S. dollars, all references to “SEK” are to Swedish Kronor, all references to “€” or “EUR” are to Euro and all references to “CNY” are to Chinese Yuan.</w:t>
      </w:r>
    </w:p>
    <w:p>
      <w:pPr>
        <w:spacing w:after="0" w:line="172"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Oatly Group AB have been prepared in accordance with IFRS® Accounting Standards as issued by the International Accounting Standards Board (“IFRS Accounting standards”).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prepared the consolidated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IFRS Accounting standards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w:t>
      </w:r>
      <w:r>
        <w:rPr>
          <w:rFonts w:ascii="Times New Roman" w:cs="Times New Roman" w:eastAsia="Times New Roman" w:hAnsi="Times New Roman"/>
          <w:sz w:val="18"/>
          <w:szCs w:val="18"/>
          <w:i w:val="1"/>
          <w:iCs w:val="1"/>
          <w:color w:val="auto"/>
        </w:rPr>
        <w:t>Significant accounting judgments estimates and assessments</w:t>
      </w:r>
      <w:r>
        <w:rPr>
          <w:rFonts w:ascii="Times New Roman" w:cs="Times New Roman" w:eastAsia="Times New Roman" w:hAnsi="Times New Roman"/>
          <w:sz w:val="18"/>
          <w:szCs w:val="18"/>
          <w:color w:val="auto"/>
        </w:rPr>
        <w:t>. The consolidated financial statements have been prepared using the cost method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investments, derivative instruments, and Convertible Notes measured at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standards and interpretations issued not yet effective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IFRS 18 - Presentation and Disclosure in Financial Statements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April 2024, the IASB issued IFRS 18, which replaces IAS 1 Presentation of Financial Statements. IFRS 18 introduces new requirements for presentation within the statement of profit or loss, including specified totals and subtotals. Furthermore, entities are</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In addition,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 IFRS 18, and the amendments to the other standards, is effective for reporting periods beginning on or after 1 January 2027, but earlier application is permitted and must be disclosed. IFRS 18 will apply retrospectively. The Group is currently working to identify all impacts the amendments will have on the primary financial statements and notes to the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and Measurement of Financial Instruments - Amendments to IFRS 9 and IFRS 7</w:t>
      </w:r>
    </w:p>
    <w:p>
      <w:pPr>
        <w:spacing w:after="0" w:line="119" w:lineRule="exact"/>
        <w:rPr>
          <w:sz w:val="20"/>
          <w:szCs w:val="20"/>
          <w:color w:val="auto"/>
        </w:rPr>
      </w:pPr>
    </w:p>
    <w:p>
      <w:pPr>
        <w:jc w:val="both"/>
        <w:ind w:firstLine="809"/>
        <w:spacing w:after="0" w:line="254" w:lineRule="auto"/>
        <w:rPr>
          <w:sz w:val="20"/>
          <w:szCs w:val="20"/>
          <w:color w:val="auto"/>
        </w:rPr>
      </w:pPr>
      <w:r>
        <w:rPr>
          <w:rFonts w:ascii="Times New Roman" w:cs="Times New Roman" w:eastAsia="Times New Roman" w:hAnsi="Times New Roman"/>
          <w:sz w:val="18"/>
          <w:szCs w:val="18"/>
          <w:color w:val="auto"/>
        </w:rPr>
        <w:t>In May 2024, the IASB issued amendments to IFRS 9 and IFRS 7, Amendments to the Classification and Measurement of Financial Instruments. The amendments clarify that a financial liability is derecognized on the “settlement date,” which is when the related obligation is discharged, canceled, expired or the liability otherwise qualifies for derecognition. The amendments also clarify how to assess the contractual cash flow characteristics of financial assets that include environmental, social and governance (“ESG”)-linked features and other similar contingent features, and the treatment of non-recourse assets and contractually linked instruments. In addition, the amendments require additional disclosures in IFRS 7 for financial assets and liabilities with contractual terms that reference a contingent event (including those that are ESG-linked), and equity instruments classified at fair value through other comprehensive income. The amendments will be effective for annual reporting periods beginning on or after January 1, 2026, but earlier application is permitted. The Group is currently evaluating the impacts of these amendments.</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are no other new or amended standards that are expected to have a material impact on the Group in the current or future reporting periods nor on foreseeable future transactions.</w:t>
      </w:r>
    </w:p>
    <w:p>
      <w:pPr>
        <w:spacing w:after="0" w:line="15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spacing w:after="0" w:line="172"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operating segments are reported in a manner consistent with the internal reporting provided to the chief operating decision maker. The Chief Executive Officer is the chief operating decision maker and evaluates financial position and performance and makes strategic decisions. The Chief Executive Officer monitors the Group’s performance from a geographic perspective through the reportable segments Europe &amp; International, Greater China and North America. No operating segments have been aggregated to form the reportable segments.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Chief Executive Officer primarily uses a measure of earnings before interest, tax, depreciation and amortization for the period adjusted to exclude, when applicable, income tax expense, finance expenses, finance income, depreciation and amortization expense, share-based compensation expense, restructuring costs, expenses related to a new product launch issue, costs related to legal settlement, impacts related to discontinued construction of production facilities, impacts related to closure of production facility, costs related to the YYF Transaction, and non-controlling interests (“Adjusted EBITDA”), to assess the performance of the operating segments.</w:t>
      </w:r>
    </w:p>
    <w:p>
      <w:pPr>
        <w:spacing w:after="0" w:line="17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Foreign currency translation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and presentation currency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entities in the Group have the local currency as their functional currency, as the local currency has been defined as the primary economic environment in which each entity operates. The Group’s presentation currency is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Foreign exchange rate profits and losses attributable to the financing of the Group are recognized in the consolidated statement of operations as finance income and finance costs. All other foreign exchange rate profits and losses are recognized under other operating income and (expenses),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group companies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consolidated statement of operations and consolidated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w:t>
      </w:r>
    </w:p>
    <w:p>
      <w:pPr>
        <w:spacing w:after="0" w:line="172"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principles for recognition of revenue from customer contracts are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goods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 and other consideration</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transaction price is adjusted for estimates of known or expected variable consideration, which includes, but is not limited to, trade promotion activities, slotting and listing fees, cash discounts, product returns, and penalties. Variable consideration is recorded as a reduction to revenue based on amounts the Group expects to be liable for. Estimates of variable consideration are based on a number of factors, including current contract sales terms and estimated units sold. Estimates are reviewed regularly until the incentives or product returns are realized and the impact of any adjustments are recognized in the period the adjustments are identified.</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accounts for consideration payable to a customer as a reduction of the transaction, unless the payment to the customer is in exchange for a distinct good or service that the customer transfers to the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Cost of goods sold also includes warehousing and transportation of inventory.</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related expenses for research and development staff, including salaries, benefits and bonuses, but also third-party consultancy fees and expenses incurred related to product trial runs. Research and development efforts are focused on enhancements to existing product formulations and production processes in addition to the development of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Customer distribution costs for the year ended December 31, 2024 amounted to $50.7 million (2023: $51.7 million) Selling, general and administrative expenses also include auditor fees and other third-party consultancy fees, expenses related to management, finance and accounting, information technology, human resources and other office functions.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 net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operating income and (expenses), net consists primarily of impairment charges and other costs related to closure of production facility and discontinued construction of certain production facilities, and net foreign exchange gains (losses) on operating related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Finance income primarily consists of impact from fair value changes on Convertible Notes, interest income from cash in bank accounts and short-term deposits, and net foreign exchange gains attributable to external and internal financing arrangements. Finance income is recognized with the application of the effective interest method.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Finance expenses primarily consists of interest expenses on Convertible Notes, interest expenses on loans from credit institutions and other financial expenses primarily consisting of transaction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Income tax (expense)/benefit represents both current and deferred income tax expenses. Current tax expenses primarily represent income taxes based on income in multiple foreign jurisdictions.</w:t>
      </w:r>
    </w:p>
    <w:p>
      <w:pPr>
        <w:spacing w:after="0" w:line="5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Current versus non-current classification</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Group presents assets and liabilities in the consolidated statement of financial position based on current/ non-current classification. An asset is current when it is:</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realized or intended to be sold or consumed in the normal operating cycle,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primarily for the purpose of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realized within twelve months after the reporting period, or</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equivalent unless restricted from being exchanged or used to settle a liability for at least twelve months after the reporting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other assets are classified as non-current. A liability is current when:</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the normal operating cycle,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117" w:lineRule="exact"/>
        <w:rPr>
          <w:rFonts w:ascii="Times New Roman" w:cs="Times New Roman" w:eastAsia="Times New Roman" w:hAnsi="Times New Roman"/>
          <w:sz w:val="18"/>
          <w:szCs w:val="18"/>
          <w:color w:val="auto"/>
        </w:rPr>
      </w:pPr>
    </w:p>
    <w:p>
      <w:pPr>
        <w:ind w:left="5540" w:right="80" w:hanging="5023"/>
        <w:spacing w:after="0" w:line="282"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have the right at the end of the reporting period to defer settlement of the liability for at least 12 months after the reporting period.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color w:val="auto"/>
        </w:rPr>
        <w:t>The Group classifies all other liabilities as non-current.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tax assets and liabilities are classified as non-current assets and liabilities.</w:t>
      </w:r>
    </w:p>
    <w:p>
      <w:pPr>
        <w:spacing w:after="0" w:line="200" w:lineRule="exact"/>
        <w:rPr>
          <w:sz w:val="20"/>
          <w:szCs w:val="20"/>
          <w:color w:val="auto"/>
        </w:rPr>
      </w:pPr>
    </w:p>
    <w:p>
      <w:pPr>
        <w:spacing w:after="0" w:line="237"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are recognized as a right-of-use asset and a corresponding liability at the date at which the leased asset is available for use by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arising from a lease are initially measured on a present value basis.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 liabilities include the net present value of the following lease payments:</w:t>
      </w:r>
    </w:p>
    <w:p>
      <w:pPr>
        <w:spacing w:after="0" w:line="117" w:lineRule="exact"/>
        <w:rPr>
          <w:sz w:val="20"/>
          <w:szCs w:val="20"/>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 variable lease payment that are based on an index or a rate, initially measured using the index or rate as at the commencement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the Group under residual value guarantees,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that option,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the lease, if the lease term reflects the Group exercising that option.</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payments to be made under reasonably certain extension options are also included in the measurement of the liability. The lease payments are discounted using the interest rate implicit in the lease. If that rate cannot be readily determined, 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determine the incremental borrowing rate, the Group:</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a build-up approach that starts with a risk-free interest rate adjusted for credit risk,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adjustments specific to the lease, e.g., term, country, currency and security.</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Right-of-use assets are measured at cost comprising the following: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lease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options.</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Current income tax is recognized in the consolidated statement of operations except for tax attributable to items that are recognized in other comprehensive loss or directly in equity. In such cases, tax is also recognized in other comprehensive loss and equity, respectively.</w:t>
      </w:r>
    </w:p>
    <w:p>
      <w:pPr>
        <w:spacing w:after="0" w:line="5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tax is recognized for all temporary differences that arise between the taxable value of assets and liabilities and their carrying values in the consolidated financial statements.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to the extent that it is probable that there will be future taxable surpluses against which the temporary differences can be utilized.</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Deferred tax relating to items recognized outside the consolidated statement of operations is recognized outside the consolidated statement of operations. Deferred tax items are recognized in correlation to the underlying transaction either in other comprehensive loss or directly in equity.</w:t>
      </w:r>
    </w:p>
    <w:p>
      <w:pPr>
        <w:spacing w:after="0" w:line="5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2.9.</w:t>
        <w:tab/>
        <w:t>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Goodwill arises at the acquisition of businesses and consists of the amount by which the consideration, any non-controlling interest in the acquired company and fair value at the acquisition dates of previous shareholdings, exceeds the fair value of identifiable net assets acquired.</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is allocated to the Europe &amp; International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expenditure for development activities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Expenditure for development and testing of new or significantly improved materials, products, processes or systems are recognized as an asset in the consolidated statement of financial position if the following criteria are met:</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asset so that it will be available for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Group’s purpose to complete the asset so that it will be available for use 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prerequisites to make the asset available for use 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to prove how the asset is likely to generate future economic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adequate technical, economic and other resources to fulfill the development and to make the asset available for use or sale,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attributable to the asset during development can be reliably measured.</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Development costs that do not meet these criteria are expensed as incurred. Development expenditure previously carried at cost is not recognized as an asset in a subsequent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Software-as-a-Service (SaaS) arrangements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SaaS arrangements are service contracts providing the Group with the right to access the cloud provider’s application software over the contract period. As such the Group does not receive a software intangible asset at the contract commencement date. A right to receive future access to the supplier’s software does not, at the contract commencement date, give the Group the power to obtain the future economic benefits flowing from the software itself and to restrict others’ access to those benefits.</w:t>
      </w:r>
    </w:p>
    <w:p>
      <w:pPr>
        <w:spacing w:after="0" w:line="7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intangible assets consist primarily of separately acquired trademarks and patents are recognized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w:t>
      </w:r>
    </w:p>
    <w:p>
      <w:pPr>
        <w:spacing w:after="0" w:line="6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w:t>
      </w:r>
    </w:p>
    <w:p>
      <w:pPr>
        <w:spacing w:after="0" w:line="7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of assets is calculated using the straight-line method to allocate the cost of the assets, net of their residual values, over the estimated useful life of each component of an item of buildings and plant and machinery as follows:</w:t>
      </w:r>
    </w:p>
    <w:p>
      <w:pPr>
        <w:sectPr>
          <w:pgSz w:w="11900" w:h="16838" w:orient="portrait"/>
          <w:cols w:equalWidth="0" w:num="1">
            <w:col w:w="11240"/>
          </w:cols>
          <w:pgMar w:left="320" w:top="1093" w:right="339" w:bottom="1440" w:gutter="0" w:footer="0" w:header="0"/>
        </w:sectPr>
      </w:pP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Buildings and fixtures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years</w:t>
      </w:r>
    </w:p>
    <w:p>
      <w:pPr>
        <w:spacing w:after="0" w:line="117" w:lineRule="exact"/>
        <w:rPr>
          <w:sz w:val="20"/>
          <w:szCs w:val="20"/>
          <w:color w:val="auto"/>
        </w:rPr>
      </w:pPr>
    </w:p>
    <w:p>
      <w:pPr>
        <w:sectPr>
          <w:pgSz w:w="11900" w:h="16838" w:orient="portrait"/>
          <w:cols w:equalWidth="0" w:num="3">
            <w:col w:w="580" w:space="440"/>
            <w:col w:w="4440" w:space="720"/>
            <w:col w:w="506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Plant and machinery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3-15 years</w:t>
      </w:r>
    </w:p>
    <w:p>
      <w:pPr>
        <w:spacing w:after="0" w:line="200" w:lineRule="exact"/>
        <w:rPr>
          <w:sz w:val="20"/>
          <w:szCs w:val="20"/>
          <w:color w:val="auto"/>
        </w:rPr>
      </w:pPr>
    </w:p>
    <w:p>
      <w:pPr>
        <w:sectPr>
          <w:pgSz w:w="11900" w:h="16838" w:orient="portrait"/>
          <w:cols w:equalWidth="0" w:num="3">
            <w:col w:w="580" w:space="440"/>
            <w:col w:w="4460" w:space="720"/>
            <w:col w:w="5040"/>
          </w:cols>
          <w:pgMar w:left="320" w:top="1093" w:right="3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assets’ residual values and useful lives are assessed at the end of each reporting period and adjusted, if needed.</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2" w:name="page23"/>
    <w:bookmarkEnd w:id="22"/>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Profit or loss from disposals is established through a comparison of the profit from sales and carrying value and is recognized in other operating income and (expenses), net in the consolidated statement of operations.</w:t>
      </w:r>
    </w:p>
    <w:p>
      <w:pPr>
        <w:spacing w:after="0" w:line="5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Impairment of non-financial assets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w:t>
      </w:r>
    </w:p>
    <w:p>
      <w:pPr>
        <w:spacing w:after="0" w:line="6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Raw materials and finished goods are stated at the lower of cost and net realizable value. Costs consist of direct materials, direct labor and an appropriate proportion of variable and fixed overhead expenditure. Overhead expenditures are allocated on 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w:t>
      </w:r>
    </w:p>
    <w:p>
      <w:pPr>
        <w:spacing w:after="0" w:line="71"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assets—Classification and measurement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Financial assets include cash and cash equivalents, trade receivables, short-term investments, derivatives and other financial assets. The Group classifies its financial assets in the following measurement categories:</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loss or through profit or loss),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operating income and (expenses), net together with foreign exchange gains and losses.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Fair value through profit or loss: Assets that are held primarily for the purpose to secure and increase value of the investments are included in the business model “Other”.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Short-term investments are primarily comprised of funds and bonds carried at fair value through profit and loss. The primary purpose of the portfolio is to secure and increase value of the investments compared to keeping cash in bank accounts, until cash is needed for other investments in the business, for example new production facilities. Based on the primary purpose of the portfolio and indicators identified in the IFRS 9 Financial Instruments test, the overall assessment is that the portfolio is the business model “Other”. The investments in the portfolio are therefore recognized at fair value through profit or loss and presented as short-term investments and cash and cash equivalents in the statement of financial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assets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consolidated statement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liabilities—Classification and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plus transaction costs that are directly attributable to the financial liability. After initial recognition, the majority of the Group’s financial liabilities are valued at amortized cost applying the effective interest method.</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Group’s financial liabilities measured at amortized cost comprise liabilities to credit institutions, bank overdraft facilities, trade payables and accrued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fair value</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Transaction costs of financial liabilities carried at fair value are expensed in the consolidated statement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designated at fair value through profit or loss</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Group has Convertible Notes (as defined in Note 28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which are classified entirely as liabilities at the initial date of recognition at fair value through profit or loss under the fair value option in accordance with IFRS 9 Financial Instruments. The Convertible Notes were issued with a conversion option that does not fulfill the “fixed for fixed” criteria. As the instrument contains an embedded derivative that is not closely related, the Convertible Notes have been designated in its entirety as at fair value through profit or loss on initial recognition and as such the embedded conversion feature is not separated. All transaction costs related to financial instruments designated at fair value through profit or loss are expensed as incurred.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liabilities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Financial liabilities are derecognized from the statement of financial position when the obligations are settled, canceled or have expired in any other way. The difference between the carrying value of a financial liability that has been extinguished or transferred to another party and the fee paid are reported in the consolidated statement of operations.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of financial instruments</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 recognized at amortized cost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losses associated with its debt instruments carried at amortized cost. The impairment methodology applied depends on whether there has been a significant increase in credit risk.</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trade receivables, the Group applies the simplified approach, i.e., the reserve will correspond to the expected loss over the lifetime of the trade receivables. In order to measure the expected credit losses, trade receivables have been grouped based on days past due. The Group applies forward-looking variables for expected credit losses. Expected credit losses are recognized in the consolidated statement of operations, in selling, general and administration expenses.</w:t>
      </w:r>
    </w:p>
    <w:p>
      <w:pPr>
        <w:spacing w:after="0" w:line="6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Trade receivables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Trade receivables are initially measured at the transaction price and subsequently at amortized cost, less allowance for expected credit losses.</w:t>
      </w:r>
    </w:p>
    <w:p>
      <w:pPr>
        <w:spacing w:after="0" w:line="113"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purpose of presentation in the consolidated statement of cash flows, cash and cash equivalents include cash on hand and deposits held at call with financial institutions. Bank overdrafts are shown within liabilities to credit institutions in current liabilities in the statement of financial position.</w:t>
      </w:r>
    </w:p>
    <w:p>
      <w:pPr>
        <w:spacing w:after="0" w:line="5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2.16.</w:t>
        <w:tab/>
        <w:t>Share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are shown in equity as a deduction, net of tax, from the proceeds.</w:t>
      </w:r>
    </w:p>
    <w:p>
      <w:pPr>
        <w:spacing w:after="0" w:line="5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Liabilities to credit institutions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Liabilities to credit institutions are initially recognized at fair value, net of transaction costs incurred. Liabilities to credit institutions are subsequently measured at amortized cost. Any difference between the proceeds (net of transaction costs) and the redemption amount is recognized in profit or loss over the period of the liabilities to credit institutions using the effective interest method.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Liabilities to credit institutions are classified as current liabilities, unless the Group has an unconditional right to defer settlement of the liability for at least 12 months after the reporting period.</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w:t>
      </w:r>
    </w:p>
    <w:p>
      <w:pPr>
        <w:spacing w:after="0" w:line="71"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and it is probable that an outflow of resources embodying economic benefits will be required to settle the obligation, and a reliable estimate can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be made of the amount of the obligation. The expense relating to a provision is presented in the consolidated statement of operations net of any reimbursement.</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restoration costs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consolidated statement of operations as a finance expense. The estimated future costs of the restorations are reviewed annually and adjusted as appropriate. Changes in the estimated future costs, or in the discount rate applied, are added to, or deducted from the cost of the asset.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restructuring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recognizes provisions for restructuring costs only when there is a constructive obligation, which is when:</w:t>
      </w:r>
    </w:p>
    <w:p>
      <w:pPr>
        <w:spacing w:after="0" w:line="117" w:lineRule="exact"/>
        <w:rPr>
          <w:sz w:val="20"/>
          <w:szCs w:val="20"/>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detailed formal plan that identifies the business or part of the business concerned, the location and number of employees affected, the detailed estimate of the associated costs, and the timeline;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affected have been notified of the plan’s main features.</w:t>
      </w:r>
    </w:p>
    <w:p>
      <w:pPr>
        <w:spacing w:after="0" w:line="22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2.19.  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benefits to employees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Post-employment obligations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w:t>
      </w:r>
    </w:p>
    <w:p>
      <w:pPr>
        <w:spacing w:after="0" w:line="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Swedish Corporate Reporting Board is a private sector body in Sweden with the authority to develop interpretations of IFRS Accounting standards for consolidated financial statements for issues that are very specific to the Swedish environment, for example, UFR 10 Accounting for the pension plan ITP 2 financed through an insurance in Alecta. The Group’s pension obligations for certain employees in Sweden, which are secured through an insurance with Alecta, are reported as a defined contribution plan. According to UFR 10, this is a defined benefit multi-employer plan. For the financial year 2024,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 2 insurances signed with Alecta is $0.8 million. Premiums for the year ended December 31, 2024 for ITP 2 insurances signed with Alecta amounted to $0.8 million (2023: $1.0 million).</w:t>
      </w:r>
    </w:p>
    <w:p>
      <w:pPr>
        <w:spacing w:after="0" w:line="86" w:lineRule="exact"/>
        <w:rPr>
          <w:sz w:val="20"/>
          <w:szCs w:val="20"/>
          <w:color w:val="auto"/>
        </w:rPr>
      </w:pPr>
    </w:p>
    <w:p>
      <w:pPr>
        <w:jc w:val="both"/>
        <w:ind w:firstLine="513"/>
        <w:spacing w:after="0" w:line="256" w:lineRule="auto"/>
        <w:rPr>
          <w:sz w:val="20"/>
          <w:szCs w:val="20"/>
          <w:color w:val="auto"/>
        </w:rPr>
      </w:pPr>
      <w:r>
        <w:rPr>
          <w:rFonts w:ascii="Times New Roman" w:cs="Times New Roman" w:eastAsia="Times New Roman" w:hAnsi="Times New Roman"/>
          <w:sz w:val="18"/>
          <w:szCs w:val="18"/>
          <w:color w:val="auto"/>
        </w:rPr>
        <w:t>The collective consolidation level comprises the market value of Alecta’s assets as a percentage of the insurance obligations in accordance with Alecta’s actuarial methods and assessments. The collective consolidation level should normally be allowed to vary between 125% and 170%. If Alecta’s collective consolidation level falls below 125% or exceeds 170%, measure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2024, Alecta’s surplus of the collective consolidation level was 162%.</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compensation—equity settled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 (ESOPs) and Restricted Stock Units (RSUs) (2021)</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share-based compensation schemes, the fair value of the instruments granted are established at the grant date and recognized as an employee benefits expense, with a corresponding increase in equity.</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 fair value of ESOPs at grant date has been established by using the Black-Scholes option pricing model and input data in the model is disclosed in Note 9 </w:t>
      </w:r>
      <w:r>
        <w:rPr>
          <w:rFonts w:ascii="Times New Roman" w:cs="Times New Roman" w:eastAsia="Times New Roman" w:hAnsi="Times New Roman"/>
          <w:sz w:val="18"/>
          <w:szCs w:val="18"/>
          <w:i w:val="1"/>
          <w:iCs w:val="1"/>
          <w:color w:val="auto"/>
        </w:rPr>
        <w:t>Share-based compensation.</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awards only have a service condition whereby the awards vest in 12-month installments over 36 months. Each of the installments are treated as separate awards which are expensed on a linear basis for each installment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benefits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terminations benefits. In the case of an offer made to encourage voluntary redundancy, the termination benefits are measured based on the number of employees expected to accept the offer.</w:t>
      </w:r>
    </w:p>
    <w:p>
      <w:pPr>
        <w:spacing w:after="0" w:line="71"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w:t>
      </w:r>
    </w:p>
    <w:p>
      <w:pPr>
        <w:spacing w:after="0" w:line="6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Non-current assets held for sale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classifies non-current assets and disposal groups as held for sale if their carrying amounts will be recovered principally through a sale transaction rather than through continuing use. Non-current assets and disposal groups classified as held for sale are measured at the lower of their carrying amount and fair value less costs of disposal. Costs to sell are the incremental costs directly attributable to the disposal of an asset (disposal group), excluding finance costs and income tax expense.</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criteria for held for sale classification is regarded as met only when the sale is highly probable, and the asset or disposal group is available for immediate sale in its present condition. Actions required to complete the sale should indicate that it is unlikely that significant changes to the sale will be made or that the decision to sell will be withdrawn. Management must be committed to the plan to sell the asset and the sale expected to be completed within one year from the date of the classification.</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An impairment loss is recognized for any initial or subsequent write-down of the asset (or disposal group) to fair value less costs of disposal. A gain is recognized for any subsequent increases in fair value less costs of disposal of an asset (or disposal group), but not in excess of any cumulative impairment loss previously recognized. A gain or loss not previously recognized by the date of the sale of the non-current asset (or disposal group) is recognized at the date of derecognition. The gain or loss is recognized in other operating income and expenses, net in the consolidated statement of operations.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are not depreciated once classified as held for sale.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 and liabilities classified as held for sale are presented separately as current items in the statement of financial position.</w:t>
      </w:r>
    </w:p>
    <w:p>
      <w:pPr>
        <w:spacing w:after="0" w:line="200" w:lineRule="exact"/>
        <w:rPr>
          <w:sz w:val="20"/>
          <w:szCs w:val="20"/>
          <w:color w:val="auto"/>
        </w:rPr>
      </w:pPr>
    </w:p>
    <w:p>
      <w:pPr>
        <w:spacing w:after="0" w:line="264" w:lineRule="exact"/>
        <w:rPr>
          <w:sz w:val="20"/>
          <w:szCs w:val="20"/>
          <w:color w:val="auto"/>
        </w:rPr>
      </w:pPr>
    </w:p>
    <w:p>
      <w:pPr>
        <w:jc w:val="both"/>
        <w:ind w:left="1020" w:right="8060" w:hanging="503"/>
        <w:spacing w:after="0" w:line="358" w:lineRule="auto"/>
        <w:tabs>
          <w:tab w:leader="none" w:pos="102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Financial risk management 3.1. Financial risk factors</w:t>
      </w:r>
    </w:p>
    <w:p>
      <w:pPr>
        <w:spacing w:after="0" w:line="7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Through its operations, the Group is exposed to various financial risks attributable to primarily cash, trade receivables, trade payables, liabilities to credit institutions and Convertible Notes. The financial risks are market risk, mainly interest risk and currency risk, credit risk, liquidity risk and refinancing risk. The Group strives to minimize potential unfavorable effects from these risks on the Group’s financial results.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color w:val="auto"/>
        </w:rPr>
        <w:t>The aim of the Group’s financial operations is to:</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Group can meet its payment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financial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supply of necessary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Group’s finance income and (expenses), net.</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Group’s risk management is predominantly controlled by a central treasury department (“Group Treasury”) under policies owned by the Chief Financial Officer and approved by the Board of Directors. The Chief Executive Officer is responsible to the Board of Directors for the risk management and ensuring that the guidelines and risk mandates are followed and carried out in accordance with established treasury policy.</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 Chief Executive Officer, the Chief Financial Officer, Group Treasury and the Subsidiaries, (c) specifies reporting and control requirements for Group treasury functions and (d) ensures that the treasury operations of the Group are supporting the overall strategy of the Group.</w:t>
      </w:r>
    </w:p>
    <w:p>
      <w:pPr>
        <w:spacing w:after="0" w:line="7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3.1.1.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USD and SGD as the functional currencies. The primary risks in these companies are SEK/USD, SEK/EUR, SEK/GBP, SEK/CNY, SEK/SGD, SEK/NOK, USD/SEK and SGD/CNY due to internal accounts receivables and other receivables, internal trade payables and other liabilities, borrowings, short-term deposits (cash and cash equivalents), and external sales and purchases (accounts receivables and trade payables). The Group has internal loans denominated in currencies different from the functional currency of the lender. These loans form part of the net investment in foreign operations (extended equity) and are recognized in other comprehensive loss. Exposure from internal loans classified as extended equity are not included in the tables and sensitivity analysis below.</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Due to the growth profile of the Group it is necessary to maintain a dynamic risk management of currency. Group Treasury monitors forecast of highly probable cash flows for each currency and aim to achieve a natural match of inflows and outflows. For those currencies which have a net cash flow that is positive or negative, Group Treasury has the possibility to use foreign exchange instruments (FX forward or spot) to manage the risk. The treasury policy mandates Group Treasury to hedge between 0% and 100% of the exposure for the following 18 months. The Group does not apply hedge accounting. As of December 31, 2024, the Group had currency derivatives of SEK 64.9 million (2023: SEK 259.5 million) for which the fair value was $0.0 million (2023: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Group’s primary exposure to foreign currency risk at the end of the reporting period, expressed in thousands of USD was as follows: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SEK/USD</w:t>
            </w: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SEK/EUR</w:t>
            </w:r>
          </w:p>
        </w:tc>
        <w:tc>
          <w:tcPr>
            <w:tcW w:w="9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SEK/GBP</w:t>
            </w:r>
          </w:p>
        </w:tc>
        <w:tc>
          <w:tcPr>
            <w:tcW w:w="80" w:type="dxa"/>
            <w:vAlign w:val="bottom"/>
          </w:tcPr>
          <w:p>
            <w:pPr>
              <w:spacing w:after="0"/>
              <w:rPr>
                <w:sz w:val="13"/>
                <w:szCs w:val="13"/>
                <w:color w:val="auto"/>
              </w:rPr>
            </w:pPr>
          </w:p>
        </w:tc>
        <w:tc>
          <w:tcPr>
            <w:tcW w:w="284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USD/SEK</w:t>
            </w: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SGD/CNY</w:t>
            </w:r>
          </w:p>
        </w:tc>
        <w:tc>
          <w:tcPr>
            <w:tcW w:w="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GBP/EUR</w:t>
            </w:r>
          </w:p>
        </w:tc>
        <w:tc>
          <w:tcPr>
            <w:tcW w:w="0" w:type="dxa"/>
            <w:vAlign w:val="bottom"/>
          </w:tcPr>
          <w:p>
            <w:pPr>
              <w:spacing w:after="0"/>
              <w:rPr>
                <w:sz w:val="1"/>
                <w:szCs w:val="1"/>
                <w:color w:val="auto"/>
              </w:rPr>
            </w:pPr>
          </w:p>
        </w:tc>
      </w:tr>
      <w:tr>
        <w:trPr>
          <w:trHeight w:val="155"/>
        </w:trPr>
        <w:tc>
          <w:tcPr>
            <w:tcW w:w="2420" w:type="dxa"/>
            <w:vAlign w:val="bottom"/>
            <w:gridSpan w:val="2"/>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SEK/CNY</w:t>
            </w:r>
          </w:p>
        </w:tc>
        <w:tc>
          <w:tcPr>
            <w:tcW w:w="96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SEK/SGD</w:t>
            </w:r>
          </w:p>
        </w:tc>
        <w:tc>
          <w:tcPr>
            <w:tcW w:w="9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SEK/NOK</w:t>
            </w:r>
          </w:p>
        </w:tc>
        <w:tc>
          <w:tcPr>
            <w:tcW w:w="102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112,180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deposits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(131,290)</w:t>
            </w:r>
          </w:p>
        </w:tc>
        <w:tc>
          <w:tcPr>
            <w:tcW w:w="1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c>
          <w:tcPr>
            <w:tcW w:w="14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(11,170)</w:t>
            </w:r>
          </w:p>
        </w:tc>
        <w:tc>
          <w:tcPr>
            <w:tcW w:w="14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(5,654)</w:t>
            </w:r>
          </w:p>
        </w:tc>
        <w:tc>
          <w:tcPr>
            <w:tcW w:w="140" w:type="dxa"/>
            <w:vAlign w:val="bottom"/>
          </w:tcPr>
          <w:p>
            <w:pPr>
              <w:spacing w:after="0"/>
              <w:rPr>
                <w:sz w:val="20"/>
                <w:szCs w:val="20"/>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(21,830)</w:t>
            </w:r>
          </w:p>
        </w:tc>
        <w:tc>
          <w:tcPr>
            <w:tcW w:w="8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(158,710)</w:t>
            </w:r>
          </w:p>
        </w:tc>
        <w:tc>
          <w:tcPr>
            <w:tcW w:w="6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9"/>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SEK/USD</w:t>
            </w: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SEK/EUR</w:t>
            </w:r>
          </w:p>
        </w:tc>
        <w:tc>
          <w:tcPr>
            <w:tcW w:w="9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SEK/GBP</w:t>
            </w:r>
          </w:p>
        </w:tc>
        <w:tc>
          <w:tcPr>
            <w:tcW w:w="80" w:type="dxa"/>
            <w:vAlign w:val="bottom"/>
          </w:tcPr>
          <w:p>
            <w:pPr>
              <w:spacing w:after="0"/>
              <w:rPr>
                <w:sz w:val="24"/>
                <w:szCs w:val="24"/>
                <w:color w:val="auto"/>
              </w:rPr>
            </w:pPr>
          </w:p>
        </w:tc>
        <w:tc>
          <w:tcPr>
            <w:tcW w:w="284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USD/SEK</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SGD/CNY</w:t>
            </w:r>
          </w:p>
        </w:tc>
        <w:tc>
          <w:tcPr>
            <w:tcW w:w="20" w:type="dxa"/>
            <w:vAlign w:val="bottom"/>
          </w:tcPr>
          <w:p>
            <w:pPr>
              <w:spacing w:after="0"/>
              <w:rPr>
                <w:sz w:val="24"/>
                <w:szCs w:val="24"/>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GBP/EUR</w:t>
            </w:r>
          </w:p>
        </w:tc>
        <w:tc>
          <w:tcPr>
            <w:tcW w:w="0" w:type="dxa"/>
            <w:vAlign w:val="bottom"/>
          </w:tcPr>
          <w:p>
            <w:pPr>
              <w:spacing w:after="0"/>
              <w:rPr>
                <w:sz w:val="1"/>
                <w:szCs w:val="1"/>
                <w:color w:val="auto"/>
              </w:rPr>
            </w:pPr>
          </w:p>
        </w:tc>
      </w:tr>
      <w:tr>
        <w:trPr>
          <w:trHeight w:val="155"/>
        </w:trPr>
        <w:tc>
          <w:tcPr>
            <w:tcW w:w="2420" w:type="dxa"/>
            <w:vAlign w:val="bottom"/>
            <w:gridSpan w:val="2"/>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40" w:type="dxa"/>
            <w:vAlign w:val="bottom"/>
            <w:gridSpan w:val="5"/>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SEK/CNY</w:t>
            </w:r>
          </w:p>
        </w:tc>
        <w:tc>
          <w:tcPr>
            <w:tcW w:w="9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SEK/SGD</w:t>
            </w:r>
          </w:p>
        </w:tc>
        <w:tc>
          <w:tcPr>
            <w:tcW w:w="92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SEK/NOK</w:t>
            </w:r>
          </w:p>
        </w:tc>
        <w:tc>
          <w:tcPr>
            <w:tcW w:w="102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42,245</w:t>
            </w: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53,661</w:t>
            </w: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10,406</w:t>
            </w: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24,400</w:t>
            </w:r>
          </w:p>
        </w:tc>
        <w:tc>
          <w:tcPr>
            <w:tcW w:w="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(132,831)</w:t>
            </w:r>
          </w:p>
        </w:tc>
        <w:tc>
          <w:tcPr>
            <w:tcW w:w="1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(2,810)</w:t>
            </w:r>
          </w:p>
        </w:tc>
        <w:tc>
          <w:tcPr>
            <w:tcW w:w="1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(1,757)</w:t>
            </w:r>
          </w:p>
        </w:tc>
        <w:tc>
          <w:tcPr>
            <w:tcW w:w="1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(15,701)</w:t>
            </w:r>
          </w:p>
        </w:tc>
        <w:tc>
          <w:tcPr>
            <w:tcW w:w="1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(47,727)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(35,785)</w:t>
            </w:r>
          </w:p>
        </w:tc>
        <w:tc>
          <w:tcPr>
            <w:tcW w:w="10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(7,813)</w:t>
            </w:r>
          </w:p>
        </w:tc>
        <w:tc>
          <w:tcPr>
            <w:tcW w:w="180" w:type="dxa"/>
            <w:vAlign w:val="bottom"/>
          </w:tcPr>
          <w:p>
            <w:pPr>
              <w:spacing w:after="0"/>
              <w:rPr>
                <w:sz w:val="20"/>
                <w:szCs w:val="20"/>
                <w:color w:val="auto"/>
              </w:rPr>
            </w:pP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(22,388)</w:t>
            </w:r>
          </w:p>
        </w:tc>
        <w:tc>
          <w:tcPr>
            <w:tcW w:w="6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(11,163)</w:t>
            </w:r>
          </w:p>
        </w:tc>
        <w:tc>
          <w:tcPr>
            <w:tcW w:w="1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(47,727)</w:t>
            </w: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17,876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10,406</w:t>
            </w: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42,245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is primarily exposed to changes in SEK/USD, SEK/EUR, SEK/GBP, SEK/CNY, SEK/SGD, SEK/NOK, USD/SEK and SGD/CNY exchange rates. The Group’s risk exposure in foreign currencies: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740" w:type="dxa"/>
            <w:vAlign w:val="bottom"/>
            <w:gridSpan w:val="2"/>
            <w:vMerge w:val="restart"/>
          </w:tcPr>
          <w:p>
            <w:pPr>
              <w:ind w:left="84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14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74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SEK/USD exchange rate - increase/decrease 10 %</w:t>
            </w:r>
          </w:p>
        </w:tc>
        <w:tc>
          <w:tcPr>
            <w:tcW w:w="10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+/- 1,939</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+/- 2,760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SEK/EUR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+/- 1,098</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+/- 1,116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SEK/GBP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+/- 933</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+/- 2,294</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SEK/CNY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+/- 2,276</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+/- 4,773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SEK/SGD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+/- 384</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+/- 1,788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SEK/NOK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+/- 2,317</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+/- 1,041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USD/SEK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+/- 8,622</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+/- 201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SGD/CNY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+/- 26</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+/- 4,224</w:t>
            </w:r>
          </w:p>
        </w:tc>
        <w:tc>
          <w:tcPr>
            <w:tcW w:w="0" w:type="dxa"/>
            <w:vAlign w:val="bottom"/>
          </w:tcPr>
          <w:p>
            <w:pPr>
              <w:spacing w:after="0"/>
              <w:rPr>
                <w:sz w:val="1"/>
                <w:szCs w:val="1"/>
                <w:color w:val="auto"/>
              </w:rPr>
            </w:pP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GBP/EUR exchange rate - increase/decrease 10 %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+/- 453</w:t>
            </w:r>
          </w:p>
        </w:tc>
        <w:tc>
          <w:tcPr>
            <w:tcW w:w="5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+/- 278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(translation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Group is exposed to interest rate risk that arises from the TLB Credit Agreement (as defined in section 3.1.3 </w:t>
      </w:r>
      <w:r>
        <w:rPr>
          <w:rFonts w:ascii="Times New Roman" w:cs="Times New Roman" w:eastAsia="Times New Roman" w:hAnsi="Times New Roman"/>
          <w:sz w:val="18"/>
          <w:szCs w:val="18"/>
          <w:i w:val="1"/>
          <w:iCs w:val="1"/>
          <w:color w:val="auto"/>
        </w:rPr>
        <w:t>Liquidity risk</w:t>
      </w:r>
      <w:r>
        <w:rPr>
          <w:rFonts w:ascii="Times New Roman" w:cs="Times New Roman" w:eastAsia="Times New Roman" w:hAnsi="Times New Roman"/>
          <w:sz w:val="18"/>
          <w:szCs w:val="18"/>
          <w:color w:val="auto"/>
        </w:rPr>
        <w:t xml:space="preserve"> below) that carries an interest of Term SOFR with a floor of 2.5%. To manage the risk the Group has entered into interest rate caps for the full amount of the term loan of $130 million. The cap is 4.6% and has a maturity of 3 years (April 2026).</w:t>
      </w:r>
    </w:p>
    <w:p>
      <w:pPr>
        <w:spacing w:after="0" w:line="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Group’s interest rate risk also arises from liabilities to credit institutions with variable rates (Euro Interbank Offered Rate “Euribor” 3 Months during 2024, 2023 and 2022), which expose the Group to cash flow interest rate risk. As of December 31, 2024, the nominal amount of liabilities to credit institutions with variable interest rate was $1.3 million with no hedges. As of December 31, 2023, the nominal amount of liabilities to credit institutions with variable interest rate was $2.8 million with no hedges.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Profit or loss is sensitive to higher/lower interest expense primarily from liabilities to credit institutions as a result of changes in interest rates.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840" w:type="dxa"/>
            <w:vAlign w:val="bottom"/>
            <w:gridSpan w:val="2"/>
            <w:vMerge w:val="restart"/>
          </w:tcPr>
          <w:p>
            <w:pPr>
              <w:ind w:left="8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14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88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rates - increase by 100 basis points</w:t>
            </w:r>
          </w:p>
        </w:tc>
        <w:tc>
          <w:tcPr>
            <w:tcW w:w="1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 decrease by 100 basis points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 increase by 300 basis points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 decrease by 300 basis points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-2,351</w:t>
            </w:r>
          </w:p>
        </w:tc>
        <w:tc>
          <w:tcPr>
            <w:tcW w:w="5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effect from increase in basis points is limited due to the cap that economically hedges the TLB Credit Agreement. At year end 2023, the cap was in the money and increases in Term SOFR had therefore no effect on the sensitivity analysis, and the effect from liabilities with Euribor rate was small.</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 from decrease in basis points is limited due to a floor of 2.5% in the Term SOFR in the TLB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 Price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Group issued Convertible Notes which are classified as liabilities at the initial date of recognition at fair value through profit or loss.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 The fair value of the Convertible Notes as of December 31, 2024 was $324.4 million (2023: $323.5 million).</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19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Profit or loss is sensitive to changes in fair value from Convertible Notes. For details on sensitivity to changes in fair value on Convertible Notes, see Note 19 </w:t>
      </w:r>
      <w:r>
        <w:rPr>
          <w:rFonts w:ascii="Times New Roman" w:cs="Times New Roman" w:eastAsia="Times New Roman" w:hAnsi="Times New Roman"/>
          <w:sz w:val="18"/>
          <w:szCs w:val="18"/>
          <w:i w:val="1"/>
          <w:iCs w:val="1"/>
          <w:color w:val="auto"/>
        </w:rPr>
        <w:t>Financial instruments per category.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Group is exposed to risk related to the price and availability of ingredients. Profitability is dependent on, among other things, the Group’s ability to anticipate and react to availability of ingredients and inflationary pressures. Currently, the main ingredient in the Group’s products is oat. The Group purchases oats from farmers in Sweden, Canada, the United Kingdom, the Baltic states, Australia and Finland through millers in Sweden, Finland, China, Canada, the United States and Belgium, so its supply may be particularly affected by any adverse events in these countries or any delays in transport between countries or regions. The prices of oats and other ingredients used, such as rapeseed oil, are subject to many factors beyond the Group’s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The Group currently source oats and rapeseed oil from Canada and packaging from Mexico for use in its production facility in the Group’s factory in Millville, New Jersey and the Group’s hybrid production facility in Ogden, Utah. The prices of the ingredients the Group source is also affected by pandemics or wars such as the current war between Russia and Ukraine, the ongoing conflict in the Middle East and the conflict in the Red Sea. Oat prices and other ingredients such as rapeseed oil are normally agreed to annually with suppliers for the following year based on the outcome of the current year harvest.</w:t>
      </w:r>
    </w:p>
    <w:p>
      <w:pPr>
        <w:spacing w:after="0" w:line="8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costs and increase loss as a share of revenue. In addition, macro-economic and competitive conditions could make additional price increases difficult.</w:t>
      </w:r>
    </w:p>
    <w:p>
      <w:pPr>
        <w:spacing w:after="0" w:line="68" w:lineRule="exact"/>
        <w:rPr>
          <w:sz w:val="20"/>
          <w:szCs w:val="20"/>
          <w:color w:val="auto"/>
        </w:rPr>
      </w:pPr>
    </w:p>
    <w:p>
      <w:pPr>
        <w:jc w:val="center"/>
        <w:ind w:left="480" w:right="300"/>
        <w:spacing w:after="0" w:line="407" w:lineRule="auto"/>
        <w:rPr>
          <w:sz w:val="20"/>
          <w:szCs w:val="20"/>
          <w:color w:val="auto"/>
        </w:rPr>
      </w:pPr>
      <w:r>
        <w:rPr>
          <w:rFonts w:ascii="Times New Roman" w:cs="Times New Roman" w:eastAsia="Times New Roman" w:hAnsi="Times New Roman"/>
          <w:sz w:val="18"/>
          <w:szCs w:val="18"/>
          <w:color w:val="auto"/>
        </w:rPr>
        <w:t>A general commodity cost price increase of 5% would have increased the Group’s 2024 commodity costs by $11.8 million (2023: $12.0 million).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1540"/>
        <w:spacing w:after="0"/>
        <w:rPr>
          <w:sz w:val="20"/>
          <w:szCs w:val="20"/>
          <w:color w:val="auto"/>
        </w:rPr>
      </w:pPr>
      <w:r>
        <w:rPr>
          <w:rFonts w:ascii="Times New Roman" w:cs="Times New Roman" w:eastAsia="Times New Roman" w:hAnsi="Times New Roman"/>
          <w:sz w:val="18"/>
          <w:szCs w:val="18"/>
          <w:b w:val="1"/>
          <w:bCs w:val="1"/>
          <w:color w:val="auto"/>
        </w:rPr>
        <w:t>3.1.2. Credit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risk arises primarily from cash and cash equivalents and debt instruments carried at amortized cost.</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2024 and 2023 were in the range from BBB to AA+.</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2024, one customer in the foodservice channel represented approximately 10% (2023: 12%) of total revenue. The Group has not had any incurred credit losses from this customer historically.</w:t>
      </w:r>
    </w:p>
    <w:p>
      <w:pPr>
        <w:spacing w:after="0" w:line="72" w:lineRule="exact"/>
        <w:rPr>
          <w:sz w:val="20"/>
          <w:szCs w:val="20"/>
          <w:color w:val="auto"/>
        </w:rPr>
      </w:pPr>
    </w:p>
    <w:p>
      <w:pPr>
        <w:ind w:right="800" w:firstLine="449"/>
        <w:spacing w:after="0" w:line="407" w:lineRule="auto"/>
        <w:rPr>
          <w:sz w:val="20"/>
          <w:szCs w:val="20"/>
          <w:color w:val="auto"/>
        </w:rPr>
      </w:pPr>
      <w:r>
        <w:rPr>
          <w:rFonts w:ascii="Times New Roman" w:cs="Times New Roman" w:eastAsia="Times New Roman" w:hAnsi="Times New Roman"/>
          <w:sz w:val="18"/>
          <w:szCs w:val="18"/>
          <w:color w:val="auto"/>
        </w:rPr>
        <w:t xml:space="preserve">The Group has primarily one type of debt instrument carried at amortized cost, subject to the expected credit loss model: trade receivables. </w:t>
      </w:r>
      <w:r>
        <w:rPr>
          <w:rFonts w:ascii="Times New Roman" w:cs="Times New Roman" w:eastAsia="Times New Roman" w:hAnsi="Times New Roman"/>
          <w:sz w:val="18"/>
          <w:szCs w:val="18"/>
          <w:b w:val="1"/>
          <w:bCs w:val="1"/>
          <w:i w:val="1"/>
          <w:iCs w:val="1"/>
          <w:color w:val="auto"/>
        </w:rPr>
        <w:t>Trade receivables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to measuring expected credit losses, which uses a lifetime expected loss allowance for all trade receivables.</w:t>
      </w:r>
    </w:p>
    <w:p>
      <w:pPr>
        <w:spacing w:after="0" w:line="5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measure the expected credit losses, trade receivables have been grouped based on days past due. The expected loss rates are based on sales over a period of 36 months before December 31, 2024,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low credit losses together with a forward-looking assessment, the expected credit loss for trade receivables is not material. The Group has during 2024 and 2023 no significant impairment losses relating to specific customers.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aging of the Group’s trade receivables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86,760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92,293</w:t>
            </w:r>
          </w:p>
        </w:tc>
        <w:tc>
          <w:tcPr>
            <w:tcW w:w="6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 days past due</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12,787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15,127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31-60 days past due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2,527</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61-90 days past due</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1,381</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carrying amount</w:t>
            </w:r>
          </w:p>
        </w:tc>
        <w:tc>
          <w:tcPr>
            <w:tcW w:w="9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b w:val="1"/>
                <w:bCs w:val="1"/>
                <w:color w:val="auto"/>
              </w:rPr>
              <w:t>104,144</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114,171</w:t>
            </w:r>
          </w:p>
        </w:tc>
        <w:tc>
          <w:tcPr>
            <w:tcW w:w="60" w:type="dxa"/>
            <w:vAlign w:val="bottom"/>
          </w:tcPr>
          <w:p>
            <w:pPr>
              <w:spacing w:after="0"/>
              <w:rPr>
                <w:sz w:val="16"/>
                <w:szCs w:val="16"/>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9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112,951</w:t>
            </w:r>
          </w:p>
        </w:tc>
        <w:tc>
          <w:tcPr>
            <w:tcW w:w="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8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movements in the Group’s allowance for expected credit losses of trade receivables are as follows: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3"/>
        </w:trPr>
        <w:tc>
          <w:tcPr>
            <w:tcW w:w="86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 at January 1</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(1,220)</w:t>
            </w:r>
          </w:p>
        </w:tc>
        <w:tc>
          <w:tcPr>
            <w:tcW w:w="220" w:type="dxa"/>
            <w:vAlign w:val="bottom"/>
            <w:gridSpan w:val="2"/>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(3,730)</w:t>
            </w:r>
          </w:p>
        </w:tc>
        <w:tc>
          <w:tcPr>
            <w:tcW w:w="6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of allowance recognized in statement of</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during the year</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written off during the year as uncollectible</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amount reversed</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c>
          <w:tcPr>
            <w:tcW w:w="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Assessments are made individually, in each case, based on indicators that there is no reasonable expectation of recovery. Indicators include, among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3.1.3. Liquidity risk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Group Treasury maintains flexibility in funding by maintaining availability under committed credit lines.</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at December 31, 2024, the Group held cash and cash equivalents of $98.9 million (2023: $249.3 million) that are available for managing liquidity risk. The Group has both long-term and short-term financing with credit institutions.</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October 2019, the Company entered into an European Investment Fund guaranteed three-year term loan facility with Svensk Exportkredit (the “EIF Facility”). As of December 31, 2024 and December 31, 2023, the Group had €1.3 million (equivalent of $1.3 million) and €2.5 million (equivalent of $2.8 million), respectively, outstanding on the EIF Facility, including accrued interest.</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As of December 31, 2024 and December 31, 2023, the Group had $131.3 million and $132.8 million, respectively, outstanding on the TLB Credit Agreement, including accrued interest.</w:t>
      </w:r>
    </w:p>
    <w:p>
      <w:pPr>
        <w:spacing w:after="0" w:line="72"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8"/>
          <w:szCs w:val="18"/>
          <w:color w:val="auto"/>
        </w:rPr>
        <w:t>In addition, the Company has an undrawn SRCF Agreement with lenders JP Morgan SE, BNP Paribas SA, Bankfilial Sverige, Coöperatieve Rabobank U.A. and Nordea Bank Abp, filial i Sverige. As of December 31, 2024 and December 31, 2023, the Group had no utilized loan amounts under the amended SRCF Agreement.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more information on the Group’s credit facilities, see Note 26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total, the Group had access to undrawn bank overdraft facilities at the end of the reporting period amounting to $190.5 million (2023: $210.3 million).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changes in facilities and borrowings after the reporting period, see Note 36 </w:t>
      </w:r>
      <w:r>
        <w:rPr>
          <w:rFonts w:ascii="Times New Roman" w:cs="Times New Roman" w:eastAsia="Times New Roman" w:hAnsi="Times New Roman"/>
          <w:sz w:val="18"/>
          <w:szCs w:val="18"/>
          <w:i w:val="1"/>
          <w:iCs w:val="1"/>
          <w:color w:val="auto"/>
        </w:rPr>
        <w:t>Events after the end of the reporting period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3.1.4. Refinancing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Refinancing risk is defined as the risk for difficulties in refinancing the Group, that financing cannot be achieved, or can only be achieved at a higher cost. Liabilities to credit institutions and available facilities within the Group have a weighted average maturity of 29 months per December 31, 2024 (2023: 41 months).</w:t>
      </w:r>
    </w:p>
    <w:p>
      <w:pPr>
        <w:spacing w:after="0" w:line="10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Convertible Notes will mature on September 14, 2028, unless earlier converted by the holders or required to be converted, repurchased or redeemed by the Company.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changes in facilities and borrowings during the reporting period, see Note 26 </w:t>
      </w:r>
      <w:r>
        <w:rPr>
          <w:rFonts w:ascii="Times New Roman" w:cs="Times New Roman" w:eastAsia="Times New Roman" w:hAnsi="Times New Roman"/>
          <w:sz w:val="18"/>
          <w:szCs w:val="18"/>
          <w:i w:val="1"/>
          <w:iCs w:val="1"/>
          <w:color w:val="auto"/>
        </w:rPr>
        <w:t>Liabilities to credit institutions.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changes in facilities and borrowings after the reporting period, see Note 36 </w:t>
      </w:r>
      <w:r>
        <w:rPr>
          <w:rFonts w:ascii="Times New Roman" w:cs="Times New Roman" w:eastAsia="Times New Roman" w:hAnsi="Times New Roman"/>
          <w:sz w:val="18"/>
          <w:szCs w:val="18"/>
          <w:i w:val="1"/>
          <w:iCs w:val="1"/>
          <w:color w:val="auto"/>
        </w:rPr>
        <w:t>Events after the end of the reporting period.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tables below analyze the Group’s financial liabilities into maturity groupings based on their contractual maturities for:</w:t>
      </w:r>
    </w:p>
    <w:p>
      <w:pPr>
        <w:spacing w:after="0" w:line="14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non-derivative financial liabilities;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for which the contractual maturities represent the timing of the cash flows.</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amounts disclosed in the table are the contractual undiscounted cash flows. Balances due within 12 months equal their carrying balances as the impact of discounting is not significant.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2</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 and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2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Non-derivatives</w:t>
            </w: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151,977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121,973</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68,735</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27,987</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716,473</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851,527</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551,603</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inflows</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(3,541)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outflows</w:t>
            </w: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 3</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 1 and</w:t>
            </w:r>
          </w:p>
        </w:tc>
        <w:tc>
          <w:tcPr>
            <w:tcW w:w="2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 2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 and 1</w:t>
            </w: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Non-derivatives</w:t>
            </w: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134,332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171,296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210,678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120,305</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74,079</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35,154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753,259</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66,486</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956,220</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597,203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Capital management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shareholders of the parent” as shown in the balance sheet plus total borrowings (including Convertible Notes, current and non-current liabilities to credit institutions and lease liabilities as shown in the balance sheet) less cash and cash equivalents.</w:t>
      </w:r>
    </w:p>
    <w:p>
      <w:pPr>
        <w:spacing w:after="0" w:line="28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assessments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recognition—variable consideration</w:t>
      </w: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 sum, while the expected value method is used for contracts with more than one threshold due to the complexity and the activities agreed with the individual customer.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33" w:name="page34"/>
    <w:bookmarkEnd w:id="3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loss carry-forwards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 deferred tax asset is only recognized for loss carry-forwards, for which it is probable that they can be utilized against future tax surpluses and against taxable temporary differences. The majority of the loss carry-forwards as at December 31, 2024 and 2023 are not recognized in the Group as these are not expected to be utilized in the foreseeable future. Refer to Note 13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of impairment of non-financial assets, including goodwill</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accounting principle presented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Group performs tests annually and if there are any indications of impairment to determine whether there is a need for impairment of goodwill. Other non-financial assets are tested for impairment whenever events or changes in circumstances indicate that the carrying amount may not be recoverable.</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considers various factors when reviewing for indicators of impairment. Due to the overall macroeconomic uncertainty, the ongoing restructuring within the Group and previous years impairment tests being sensitive to changes in assumptions, management decided, as of December 31, 2024, to perform impairment tests for all the three operating segments, not only for the CGU containing goodwill. At present, the Group only has goodwill allocated to the operating segment Europe &amp; International.</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Recoverable amounts for cash generating units are established through the calculation of the value in use. The calculation of the value in use is based on estimated future cash flows. The Group has determined that long-term EBITDA margin, the discount rate and the long-term growth rate are the most significant assumptions in the impairment test. For further details on the test of impairment of goodwill refer to Note 15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and for the test of other non-financial assets refer to Note 16 </w:t>
      </w:r>
      <w:r>
        <w:rPr>
          <w:rFonts w:ascii="Times New Roman" w:cs="Times New Roman" w:eastAsia="Times New Roman" w:hAnsi="Times New Roman"/>
          <w:sz w:val="18"/>
          <w:szCs w:val="18"/>
          <w:i w:val="1"/>
          <w:iCs w:val="1"/>
          <w:color w:val="auto"/>
        </w:rPr>
        <w:t>Property, plant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compensation transactions including sensitivity analysis are disclosed in Note </w:t>
      </w:r>
      <w:r>
        <w:rPr>
          <w:rFonts w:ascii="Times New Roman" w:cs="Times New Roman" w:eastAsia="Times New Roman" w:hAnsi="Times New Roman"/>
          <w:sz w:val="18"/>
          <w:szCs w:val="18"/>
          <w:i w:val="1"/>
          <w:iCs w:val="1"/>
          <w:color w:val="auto"/>
        </w:rPr>
        <w:t>9 Share-based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Group has Convertible Notes which are classified as liabilities at the initial date of recognition at fair value through profit or loss. Fair value changes relating to the Group’s own credit risk are recognized in other comprehensive income. The fair value is estimated using a model, which requires the determination of the appropriate inputs. The assumptions and models used for estimating the fair value of the Convertible Notes including sensitivity analysis are disclosed in Note 19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30, 2022, Oatly, Inc., and its wholly owned subsidiary, Oatly US Operations &amp; Supply Inc., entered into an asset purchase agreement with Ya YA Foods USA LLC (“YYF”), and parent Aseptic Beverage Holdings LP, to establish a strategic partnership pursuant to which Oatly, Inc. will sell its manufacturing facility in Ogden, Utah to YYF. Subject to the terms and conditions of the Asset Purchase Agreement, YYF will acquire a majority of the assets that are used in the operation of the manufacturing facility in Ogden, Utah (the “Ogden Facility”) and assume the obligations arising under the real property leases and certain contracts for and related to the Ogden Facility. The Company will continue to own all intellectual property related to production of oat base, the Company’s principal, proprietary ingredient for all Oatly products, and the Company will continue to own and operate its own equipment, fixtures and supplies associated with its production of oat base at the Facilities. The criteria to be classified as held for sale at that date is considered to be met for the following reasons:</w:t>
      </w:r>
    </w:p>
    <w:p>
      <w:pPr>
        <w:spacing w:after="0" w:line="8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subject to the Asset Purchase Agreement are available for immediate sale and can be sold to the buyer in their current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to complete the sale were initiated and expected to be completed within one year from the date of initial classification.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Purchase Agreement was signed on December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color w:val="auto"/>
        </w:rPr>
        <w:t xml:space="preserve">Refer to Note 35 </w:t>
      </w:r>
      <w:r>
        <w:rPr>
          <w:rFonts w:ascii="Times New Roman" w:cs="Times New Roman" w:eastAsia="Times New Roman" w:hAnsi="Times New Roman"/>
          <w:sz w:val="18"/>
          <w:szCs w:val="18"/>
          <w:i w:val="1"/>
          <w:iCs w:val="1"/>
          <w:color w:val="auto"/>
        </w:rPr>
        <w:t>Non-current assets held for sale</w:t>
      </w:r>
      <w:r>
        <w:rPr>
          <w:rFonts w:ascii="Times New Roman" w:cs="Times New Roman" w:eastAsia="Times New Roman" w:hAnsi="Times New Roman"/>
          <w:sz w:val="18"/>
          <w:szCs w:val="18"/>
          <w:color w:val="auto"/>
        </w:rPr>
        <w:t xml:space="preserve">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charges and other costs related to discontinued construction and closure of production facilities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makes assumptions and estimates when determining the non-cash impairment charges and other costs relating to the production facilities for which the decision has been made to discontinue construction or close. Management estimates the fair value less costs of disposal of property, plant and equipment and decommissioning costs based on a combination of data including agreements, quotes, ongoing negotiations with counterparties, input from suppliers and surveyors, and other market data.</w:t>
      </w:r>
    </w:p>
    <w:p>
      <w:pPr>
        <w:spacing w:after="0" w:line="28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33"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Revenue Adjusted EBITDA and EBITDA</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Effective as of January 1, 2024, the Company made changes to how it makes strategic decisions and allocates resources among its operating segments. As part of this change, the Greater China business is managed separately from the rest of the Asia business, forming its own operating segment. The rest of the Asia business, including the Singapore manufacturing facility, is managed together with the EMEA business, which is now identified as Europe &amp; International. Following these changes, the new operating segments are:</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&amp; International, which is inclusive of Europe, Middle East and Africa, Asia Pacific and Latin America;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which is inclusive of the United States and Canada;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which is inclusive of Mainland China, Hong Kong and Taiwan.</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In addition to the above-described changes, a majority of the research and development expenses, previously part of Corporate, are now allocated to the operating segments to align with how resources are being allocated and monitored as of January 1, 2024.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information for the years ended December 31, 2024 and 2023 presented below has been updated to reflect the above-described changes.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4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w:t>
            </w:r>
          </w:p>
        </w:tc>
        <w:tc>
          <w:tcPr>
            <w:tcW w:w="0" w:type="dxa"/>
            <w:vAlign w:val="bottom"/>
          </w:tcPr>
          <w:p>
            <w:pPr>
              <w:spacing w:after="0"/>
              <w:rPr>
                <w:sz w:val="1"/>
                <w:szCs w:val="1"/>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(1,985)</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(2,101)</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(10,168)</w:t>
            </w:r>
          </w:p>
        </w:tc>
        <w:tc>
          <w:tcPr>
            <w:tcW w:w="13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(11,998)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(3)</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(25,068)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Asset impairment charges and other costs related to closure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of production facility</w:t>
            </w:r>
            <w:r>
              <w:rPr>
                <w:rFonts w:ascii="Times New Roman" w:cs="Times New Roman" w:eastAsia="Times New Roman" w:hAnsi="Times New Roman"/>
                <w:sz w:val="24"/>
                <w:szCs w:val="24"/>
                <w:color w:val="auto"/>
                <w:vertAlign w:val="superscript"/>
              </w:rPr>
              <w:t>(4)</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(42,110)</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(3,983)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(31,077)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(107,874)</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(70,179)</w:t>
            </w: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(49,966)</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714"/>
              <w:spacing w:after="0"/>
              <w:rPr>
                <w:sz w:val="20"/>
                <w:szCs w:val="20"/>
                <w:color w:val="auto"/>
              </w:rPr>
            </w:pPr>
            <w:r>
              <w:rPr>
                <w:rFonts w:ascii="Times New Roman" w:cs="Times New Roman" w:eastAsia="Times New Roman" w:hAnsi="Times New Roman"/>
                <w:sz w:val="18"/>
                <w:szCs w:val="18"/>
                <w:color w:val="auto"/>
                <w:w w:val="99"/>
              </w:rPr>
              <w:t>32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408,410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25,601</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(25,782)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434,011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124,855</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(25,782)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28,377</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(31,910)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(57,543)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(96,485)</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(157,561)</w:t>
            </w:r>
          </w:p>
        </w:tc>
        <w:tc>
          <w:tcPr>
            <w:tcW w:w="0" w:type="dxa"/>
            <w:vAlign w:val="bottom"/>
          </w:tcPr>
          <w:p>
            <w:pPr>
              <w:spacing w:after="0"/>
              <w:rPr>
                <w:sz w:val="1"/>
                <w:szCs w:val="1"/>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(2,378)</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(3,820)</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(4,608)</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(10,640)</w:t>
            </w:r>
          </w:p>
        </w:tc>
        <w:tc>
          <w:tcPr>
            <w:tcW w:w="13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(21,446)</w:t>
            </w:r>
          </w:p>
        </w:tc>
        <w:tc>
          <w:tcPr>
            <w:tcW w:w="0" w:type="dxa"/>
            <w:vAlign w:val="bottom"/>
          </w:tcPr>
          <w:p>
            <w:pPr>
              <w:spacing w:after="0"/>
              <w:rPr>
                <w:sz w:val="1"/>
                <w:szCs w:val="1"/>
                <w:color w:val="auto"/>
              </w:rPr>
            </w:pP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(158,551)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(43,009)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(201,560)</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(6)</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Legal settlement</w:t>
            </w:r>
            <w:r>
              <w:rPr>
                <w:rFonts w:ascii="Times New Roman" w:cs="Times New Roman" w:eastAsia="Times New Roman" w:hAnsi="Times New Roman"/>
                <w:sz w:val="24"/>
                <w:szCs w:val="24"/>
                <w:color w:val="auto"/>
                <w:vertAlign w:val="superscript"/>
              </w:rPr>
              <w:t>(7)</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(133,934)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(82,176)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(65,012)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(124,016)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(405,138)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(408,165)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costs not allocated to the segments.</w:t>
      </w:r>
    </w:p>
    <w:p>
      <w:pPr>
        <w:spacing w:after="0" w:line="27"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2024 and 2023 primarily refer to intersegment revenue for sales of products from Europe &amp; International to Greater China.</w:t>
      </w:r>
    </w:p>
    <w:p>
      <w:pPr>
        <w:spacing w:after="0" w:line="9"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severance costs as the Group adjusts its organizational structure.</w:t>
      </w:r>
    </w:p>
    <w:p>
      <w:pPr>
        <w:spacing w:after="0" w:line="3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new product launch issue.</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Europe &amp; International the cost primarily relates to non-cash impairments related to discontinued construction of the Group’s production facility in Peterborough, UK. In North America the amount primarily relates to reversal of previously recognized non-cash impairments and other exit costs related to discontinued construction of the Group’s production facility in Dallas-Fort Worth, Texas. In Greater China the Company decided to discontinue the construction of the Group’s second production facility in China (Asia III). Following this decision the Company, during the fourth quarter, recorded $25.1 million primarily relating to non-cash impairments.</w:t>
      </w:r>
    </w:p>
    <w:p>
      <w:pPr>
        <w:spacing w:after="0" w:line="2" w:lineRule="exact"/>
        <w:rPr>
          <w:rFonts w:ascii="Times New Roman" w:cs="Times New Roman" w:eastAsia="Times New Roman" w:hAnsi="Times New Roman"/>
          <w:sz w:val="18"/>
          <w:szCs w:val="18"/>
          <w:color w:val="auto"/>
        </w:rPr>
      </w:pPr>
    </w:p>
    <w:p>
      <w:pPr>
        <w:ind w:left="520" w:right="600" w:hanging="512"/>
        <w:spacing w:after="0" w:line="263"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non-cash impairments of $19.1 million and $23.0 million in restructuring and other exit costs related to the closure of the Group’s production facility in Singapore.</w:t>
      </w:r>
    </w:p>
    <w:p>
      <w:pPr>
        <w:ind w:left="520" w:right="20" w:hanging="512"/>
        <w:spacing w:after="0" w:line="257"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certain events during the fourth quarter 2023, the Company decided to discontinue the construction of its production facilities in Peterborough, UK and Dallas-Fort Worth, Texas. The Company recorded $172.6 million in non-cash impairments and $29.0 million in restructuring and other exit costs relating to these production facilities.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the Ya YA Foods USA LLC transaction (the “YYF Transaction”). See Note 35 </w:t>
      </w:r>
      <w:r>
        <w:rPr>
          <w:rFonts w:ascii="Times New Roman" w:cs="Times New Roman" w:eastAsia="Times New Roman" w:hAnsi="Times New Roman"/>
          <w:sz w:val="18"/>
          <w:szCs w:val="18"/>
          <w:i w:val="1"/>
          <w:iCs w:val="1"/>
          <w:color w:val="auto"/>
        </w:rPr>
        <w:t>Non-current assets held for sale</w:t>
      </w:r>
      <w:r>
        <w:rPr>
          <w:rFonts w:ascii="Times New Roman" w:cs="Times New Roman" w:eastAsia="Times New Roman" w:hAnsi="Times New Roman"/>
          <w:sz w:val="18"/>
          <w:szCs w:val="18"/>
          <w:color w:val="auto"/>
        </w:rPr>
        <w:t xml:space="preserve"> for further details.</w:t>
      </w:r>
    </w:p>
    <w:p>
      <w:pPr>
        <w:spacing w:after="0" w:line="2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US securities class action litigation settlement expenses. See Note 34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details.</w:t>
      </w:r>
    </w:p>
    <w:p>
      <w:pPr>
        <w:spacing w:after="0" w:line="32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consists of property, plant and equipment and right-of-use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Sweden</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114,764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120,864</w:t>
            </w:r>
          </w:p>
        </w:tc>
        <w:tc>
          <w:tcPr>
            <w:tcW w:w="2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103,791</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88,983</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102,883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29,349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29,218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26,115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44,413</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448,679</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the fourth quarter 2024, the Company decided to discontinue the construction of the second production facility in China (Asia III) and recorded $21.5 million in non-cash impairments related to non-current assets. In addition, the Company decided to close the</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6" w:name="page37"/>
    <w:bookmarkEnd w:id="36"/>
    <w:p>
      <w:pPr>
        <w:spacing w:after="0" w:line="284" w:lineRule="auto"/>
        <w:rPr>
          <w:sz w:val="20"/>
          <w:szCs w:val="20"/>
          <w:color w:val="auto"/>
        </w:rPr>
      </w:pPr>
      <w:r>
        <w:rPr>
          <w:rFonts w:ascii="Times New Roman" w:cs="Times New Roman" w:eastAsia="Times New Roman" w:hAnsi="Times New Roman"/>
          <w:sz w:val="18"/>
          <w:szCs w:val="18"/>
          <w:color w:val="auto"/>
        </w:rPr>
        <w:t xml:space="preserve">existing production facility in Singapore, resulting in $19.1 million in non-cash impairments related to non-current assets. See Note 16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Note 17</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for further information.</w:t>
      </w:r>
    </w:p>
    <w:p>
      <w:pPr>
        <w:spacing w:after="0" w:line="26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Revenue from external customers, broken down by location of the customers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269,541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247,049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45,812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26,507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20,589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100,672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5.4.   Revenue from external customers, broken down by channel and segment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4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60" w:type="dxa"/>
            <w:vAlign w:val="bottom"/>
            <w:gridSpan w:val="4"/>
            <w:vMerge w:val="continue"/>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351,818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140,842</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ind w:left="560"/>
              <w:spacing w:after="0" w:line="191" w:lineRule="exact"/>
              <w:rPr>
                <w:sz w:val="20"/>
                <w:szCs w:val="20"/>
                <w:color w:val="auto"/>
              </w:rPr>
            </w:pPr>
            <w:r>
              <w:rPr>
                <w:rFonts w:ascii="Times New Roman" w:cs="Times New Roman" w:eastAsia="Times New Roman" w:hAnsi="Times New Roman"/>
                <w:sz w:val="18"/>
                <w:szCs w:val="18"/>
                <w:color w:val="auto"/>
                <w:w w:val="92"/>
              </w:rPr>
              <w:t>11,499</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504,159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80,261</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125,639</w:t>
            </w:r>
          </w:p>
        </w:tc>
        <w:tc>
          <w:tcPr>
            <w:tcW w:w="100" w:type="dxa"/>
            <w:vAlign w:val="bottom"/>
          </w:tcPr>
          <w:p>
            <w:pPr>
              <w:spacing w:after="0"/>
              <w:rPr>
                <w:sz w:val="18"/>
                <w:szCs w:val="18"/>
                <w:color w:val="auto"/>
              </w:rPr>
            </w:pPr>
          </w:p>
        </w:tc>
        <w:tc>
          <w:tcPr>
            <w:tcW w:w="12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83,343</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289,243</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2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Pr>
          <w:p>
            <w:pPr>
              <w:spacing w:after="0"/>
              <w:rPr>
                <w:sz w:val="20"/>
                <w:szCs w:val="20"/>
                <w:color w:val="auto"/>
              </w:rPr>
            </w:pPr>
          </w:p>
        </w:tc>
        <w:tc>
          <w:tcPr>
            <w:tcW w:w="12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20,106</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30,264</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434,263</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w w:val="95"/>
              </w:rPr>
              <w:t>114,948</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4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60" w:type="dxa"/>
            <w:vAlign w:val="bottom"/>
            <w:gridSpan w:val="4"/>
            <w:vMerge w:val="continue"/>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331,993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127,700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ind w:left="560"/>
              <w:spacing w:after="0" w:line="191" w:lineRule="exact"/>
              <w:rPr>
                <w:sz w:val="20"/>
                <w:szCs w:val="20"/>
                <w:color w:val="auto"/>
              </w:rPr>
            </w:pPr>
            <w:r>
              <w:rPr>
                <w:rFonts w:ascii="Times New Roman" w:cs="Times New Roman" w:eastAsia="Times New Roman" w:hAnsi="Times New Roman"/>
                <w:sz w:val="18"/>
                <w:szCs w:val="18"/>
                <w:color w:val="auto"/>
                <w:w w:val="92"/>
              </w:rPr>
              <w:t>18,801</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478,494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72,908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116,832</w:t>
            </w:r>
          </w:p>
        </w:tc>
        <w:tc>
          <w:tcPr>
            <w:tcW w:w="100" w:type="dxa"/>
            <w:vAlign w:val="bottom"/>
          </w:tcPr>
          <w:p>
            <w:pPr>
              <w:spacing w:after="0"/>
              <w:rPr>
                <w:sz w:val="18"/>
                <w:szCs w:val="18"/>
                <w:color w:val="auto"/>
              </w:rPr>
            </w:pPr>
          </w:p>
        </w:tc>
        <w:tc>
          <w:tcPr>
            <w:tcW w:w="12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81,049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270,789</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Pr>
          <w:p>
            <w:pPr>
              <w:spacing w:after="0"/>
              <w:rPr>
                <w:sz w:val="20"/>
                <w:szCs w:val="20"/>
                <w:color w:val="auto"/>
              </w:rPr>
            </w:pPr>
          </w:p>
        </w:tc>
        <w:tc>
          <w:tcPr>
            <w:tcW w:w="12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24,824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408,410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250,264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w w:val="95"/>
              </w:rPr>
              <w:t>124,674</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10% in 2024 (2023:12%) were derived from a single external customer in the foodservice channel. These revenues are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90% and 90% of the Group’s revenue in the years ended December 31, 2024 and 2023, respectively.</w:t>
      </w:r>
    </w:p>
    <w:p>
      <w:pPr>
        <w:spacing w:after="0" w:line="200" w:lineRule="exact"/>
        <w:rPr>
          <w:sz w:val="20"/>
          <w:szCs w:val="20"/>
          <w:color w:val="auto"/>
        </w:rPr>
      </w:pPr>
    </w:p>
    <w:p>
      <w:pPr>
        <w:spacing w:after="0" w:line="34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Renumeration to auditors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(in thousands of U.S. dollars)</w:t>
            </w:r>
          </w:p>
        </w:tc>
        <w:tc>
          <w:tcPr>
            <w:tcW w:w="17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Audit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6,689</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auditors</w:t>
            </w: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Audit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Tax consultancy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20" w:firstLine="449"/>
        <w:spacing w:after="0" w:line="266" w:lineRule="auto"/>
        <w:rPr>
          <w:sz w:val="20"/>
          <w:szCs w:val="20"/>
          <w:color w:val="auto"/>
        </w:rPr>
      </w:pPr>
      <w:r>
        <w:rPr>
          <w:rFonts w:ascii="Times New Roman" w:cs="Times New Roman" w:eastAsia="Times New Roman" w:hAnsi="Times New Roman"/>
          <w:sz w:val="18"/>
          <w:szCs w:val="18"/>
          <w:color w:val="auto"/>
        </w:rPr>
        <w:t>Audit services relate to the examination of the annual report and the accounting as well as the Board of Directors’ and CEO’s administration, all other tasks incumbent on the Company’s auditor as well as any consultancy or other services brought about by the observations made during such an examination or the performance of other such tasks.</w:t>
      </w:r>
    </w:p>
    <w:p>
      <w:pPr>
        <w:spacing w:after="0" w:line="28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 amortization and impairment by function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6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6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60" w:type="dxa"/>
            <w:vAlign w:val="bottom"/>
            <w:vMerge w:val="continue"/>
          </w:tcPr>
          <w:p>
            <w:pPr>
              <w:spacing w:after="0"/>
              <w:rPr>
                <w:sz w:val="16"/>
                <w:szCs w:val="16"/>
                <w:color w:val="auto"/>
              </w:rPr>
            </w:pP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(31,819)</w:t>
            </w:r>
          </w:p>
        </w:tc>
        <w:tc>
          <w:tcPr>
            <w:tcW w:w="240" w:type="dxa"/>
            <w:vAlign w:val="bottom"/>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(6,868)</w:t>
            </w:r>
          </w:p>
        </w:tc>
        <w:tc>
          <w:tcPr>
            <w:tcW w:w="20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(38,687)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(1,390)</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05"/>
        </w:trPr>
        <w:tc>
          <w:tcPr>
            <w:tcW w:w="5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6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(819)</w:t>
            </w:r>
          </w:p>
        </w:tc>
        <w:tc>
          <w:tcPr>
            <w:tcW w:w="16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(4,542)</w:t>
            </w:r>
          </w:p>
        </w:tc>
        <w:tc>
          <w:tcPr>
            <w:tcW w:w="130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(3,906)</w:t>
            </w:r>
          </w:p>
        </w:tc>
        <w:tc>
          <w:tcPr>
            <w:tcW w:w="1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9"/>
        </w:trPr>
        <w:tc>
          <w:tcPr>
            <w:tcW w:w="5460" w:type="dxa"/>
            <w:vAlign w:val="bottom"/>
            <w:vMerge w:val="restart"/>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r>
              <w:rPr>
                <w:rFonts w:ascii="Times New Roman" w:cs="Times New Roman" w:eastAsia="Times New Roman" w:hAnsi="Times New Roman"/>
                <w:sz w:val="24"/>
                <w:szCs w:val="24"/>
                <w:b w:val="1"/>
                <w:bCs w:val="1"/>
                <w:color w:val="auto"/>
                <w:vertAlign w:val="superscript"/>
              </w:rPr>
              <w:t>(1)</w:t>
            </w:r>
          </w:p>
        </w:tc>
        <w:tc>
          <w:tcPr>
            <w:tcW w:w="14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(34,028)</w:t>
            </w: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(11,847)</w:t>
            </w:r>
          </w:p>
        </w:tc>
        <w:tc>
          <w:tcPr>
            <w:tcW w:w="20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22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(49,966)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right="4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impairment related to discontinued construction and of certain production facilities and closure of production facility is included in Other operating income and (expenses), net in the consolidated statement of operations. Refer to Note 16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for further details</w:t>
      </w:r>
      <w:r>
        <w:rPr>
          <w:rFonts w:ascii="Times New Roman" w:cs="Times New Roman" w:eastAsia="Times New Roman" w:hAnsi="Times New Roman"/>
          <w:sz w:val="18"/>
          <w:szCs w:val="18"/>
          <w:i w:val="1"/>
          <w:iCs w:val="1"/>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62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62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6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2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60" w:type="dxa"/>
            <w:vAlign w:val="bottom"/>
            <w:vMerge w:val="continue"/>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(30,868)</w:t>
            </w:r>
          </w:p>
        </w:tc>
        <w:tc>
          <w:tcPr>
            <w:tcW w:w="24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(7,970)</w:t>
            </w:r>
          </w:p>
        </w:tc>
        <w:tc>
          <w:tcPr>
            <w:tcW w:w="20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(38,838)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05"/>
        </w:trPr>
        <w:tc>
          <w:tcPr>
            <w:tcW w:w="5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(1,100)</w:t>
            </w:r>
          </w:p>
        </w:tc>
        <w:tc>
          <w:tcPr>
            <w:tcW w:w="164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(5,208)</w:t>
            </w:r>
          </w:p>
        </w:tc>
        <w:tc>
          <w:tcPr>
            <w:tcW w:w="130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(5,221)</w:t>
            </w:r>
          </w:p>
        </w:tc>
        <w:tc>
          <w:tcPr>
            <w:tcW w:w="1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r>
        <w:trPr>
          <w:trHeight w:val="29"/>
        </w:trPr>
        <w:tc>
          <w:tcPr>
            <w:tcW w:w="5460" w:type="dxa"/>
            <w:vAlign w:val="bottom"/>
            <w:vMerge w:val="restart"/>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r>
              <w:rPr>
                <w:rFonts w:ascii="Times New Roman" w:cs="Times New Roman" w:eastAsia="Times New Roman" w:hAnsi="Times New Roman"/>
                <w:sz w:val="24"/>
                <w:szCs w:val="24"/>
                <w:b w:val="1"/>
                <w:bCs w:val="1"/>
                <w:color w:val="auto"/>
                <w:vertAlign w:val="superscript"/>
              </w:rPr>
              <w:t>(1)</w:t>
            </w:r>
          </w:p>
        </w:tc>
        <w:tc>
          <w:tcPr>
            <w:tcW w:w="13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(33,028)</w:t>
            </w:r>
          </w:p>
        </w:tc>
        <w:tc>
          <w:tcPr>
            <w:tcW w:w="24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(13,501)</w:t>
            </w:r>
          </w:p>
        </w:tc>
        <w:tc>
          <w:tcPr>
            <w:tcW w:w="20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(5,345)</w:t>
            </w:r>
          </w:p>
        </w:tc>
        <w:tc>
          <w:tcPr>
            <w:tcW w:w="22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(51,874)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8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impairment related to discontinued construction of certain production facilities is included in Other operating income and (expenses), net in the consolidated statement of operations. Refer to Note 16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w:t>
      </w:r>
      <w:r>
        <w:rPr>
          <w:rFonts w:ascii="Times New Roman" w:cs="Times New Roman" w:eastAsia="Times New Roman" w:hAnsi="Times New Roman"/>
          <w:sz w:val="18"/>
          <w:szCs w:val="18"/>
          <w:i w:val="1"/>
          <w:iCs w:val="1"/>
          <w:color w:val="auto"/>
        </w:rPr>
        <w:t>.</w:t>
      </w:r>
    </w:p>
    <w:p>
      <w:pPr>
        <w:spacing w:after="0" w:line="26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and personnel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disclosure amounts are based on the expense recognized in the consolidated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Salaries, other benefits and social security expenses</w:t>
            </w: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Salaries and other remuneration (of which bonus)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(139,244) (7,452)</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(150,026) (8,570)</w:t>
            </w:r>
          </w:p>
        </w:tc>
        <w:tc>
          <w:tcPr>
            <w:tcW w:w="60" w:type="dxa"/>
            <w:vAlign w:val="bottom"/>
          </w:tcPr>
          <w:p>
            <w:pPr>
              <w:spacing w:after="0"/>
              <w:rPr>
                <w:sz w:val="16"/>
                <w:szCs w:val="16"/>
                <w:color w:val="auto"/>
              </w:rPr>
            </w:pPr>
          </w:p>
        </w:tc>
      </w:tr>
      <w:tr>
        <w:trPr>
          <w:trHeight w:val="182"/>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Social security costs</w:t>
            </w:r>
          </w:p>
        </w:tc>
        <w:tc>
          <w:tcPr>
            <w:tcW w:w="18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(20,011)</w:t>
            </w:r>
          </w:p>
        </w:tc>
        <w:tc>
          <w:tcPr>
            <w:tcW w:w="16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(23,255)</w:t>
            </w:r>
          </w:p>
        </w:tc>
      </w:tr>
      <w:tr>
        <w:trPr>
          <w:trHeight w:val="250"/>
        </w:trPr>
        <w:tc>
          <w:tcPr>
            <w:tcW w:w="7700" w:type="dxa"/>
            <w:vAlign w:val="bottom"/>
          </w:tcPr>
          <w:p>
            <w:pPr>
              <w:spacing w:after="0" w:line="250" w:lineRule="exact"/>
              <w:rPr>
                <w:sz w:val="20"/>
                <w:szCs w:val="20"/>
                <w:color w:val="auto"/>
              </w:rPr>
            </w:pPr>
            <w:r>
              <w:rPr>
                <w:rFonts w:ascii="Times New Roman" w:cs="Times New Roman" w:eastAsia="Times New Roman" w:hAnsi="Times New Roman"/>
                <w:sz w:val="18"/>
                <w:szCs w:val="18"/>
                <w:color w:val="auto"/>
              </w:rPr>
              <w:t>Share-based payments</w:t>
            </w:r>
            <w:r>
              <w:rPr>
                <w:rFonts w:ascii="Times New Roman" w:cs="Times New Roman" w:eastAsia="Times New Roman" w:hAnsi="Times New Roman"/>
                <w:sz w:val="24"/>
                <w:szCs w:val="24"/>
                <w:color w:val="auto"/>
                <w:vertAlign w:val="superscript"/>
              </w:rPr>
              <w:t>(1)</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(21,446)</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post-employment benefits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(9,542)</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(181,724)</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(204,269)</w:t>
            </w:r>
          </w:p>
        </w:tc>
        <w:tc>
          <w:tcPr>
            <w:tcW w:w="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 xml:space="preserve">Refer to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further details.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 benefits expenses by function</w:t>
            </w:r>
          </w:p>
        </w:tc>
        <w:tc>
          <w:tcPr>
            <w:tcW w:w="17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7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6"/>
                <w:szCs w:val="16"/>
                <w:color w:val="auto"/>
              </w:rPr>
            </w:pPr>
          </w:p>
        </w:tc>
        <w:tc>
          <w:tcPr>
            <w:tcW w:w="16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(37,240)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(37,671)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(11,645)</w:t>
            </w:r>
          </w:p>
        </w:tc>
        <w:tc>
          <w:tcPr>
            <w:tcW w:w="140" w:type="dxa"/>
            <w:vAlign w:val="bottom"/>
          </w:tcPr>
          <w:p>
            <w:pPr>
              <w:spacing w:after="0"/>
              <w:rPr>
                <w:sz w:val="18"/>
                <w:szCs w:val="18"/>
                <w:color w:val="auto"/>
              </w:rPr>
            </w:pP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(12,431)</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(132,839)</w:t>
            </w:r>
          </w:p>
        </w:tc>
        <w:tc>
          <w:tcPr>
            <w:tcW w:w="140" w:type="dxa"/>
            <w:vAlign w:val="bottom"/>
          </w:tcPr>
          <w:p>
            <w:pPr>
              <w:spacing w:after="0"/>
              <w:rPr>
                <w:sz w:val="20"/>
                <w:szCs w:val="20"/>
                <w:color w:val="auto"/>
              </w:rPr>
            </w:pP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(154,167)</w:t>
            </w: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(204,269)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Salaries, other benefits and social security expenses - Board members, Chief Executive Officer and other Senior Executives</w:t>
            </w:r>
          </w:p>
        </w:tc>
        <w:tc>
          <w:tcPr>
            <w:tcW w:w="17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7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Short-term employee benefits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which bonus)</w:t>
            </w: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(7,761) (1,263)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(11,120) (1,037)</w:t>
            </w:r>
          </w:p>
        </w:tc>
        <w:tc>
          <w:tcPr>
            <w:tcW w:w="60" w:type="dxa"/>
            <w:vAlign w:val="bottom"/>
          </w:tcPr>
          <w:p>
            <w:pPr>
              <w:spacing w:after="0"/>
              <w:rPr>
                <w:sz w:val="16"/>
                <w:szCs w:val="16"/>
                <w:color w:val="auto"/>
              </w:rPr>
            </w:pPr>
          </w:p>
        </w:tc>
      </w:tr>
      <w:tr>
        <w:trPr>
          <w:trHeight w:val="196"/>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Pension and post-employment benefits</w:t>
            </w:r>
          </w:p>
        </w:tc>
        <w:tc>
          <w:tcPr>
            <w:tcW w:w="1920" w:type="dxa"/>
            <w:vAlign w:val="bottom"/>
            <w:gridSpan w:val="5"/>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(551)</w:t>
            </w:r>
          </w:p>
        </w:tc>
        <w:tc>
          <w:tcPr>
            <w:tcW w:w="16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r>
      <w:tr>
        <w:trPr>
          <w:trHeight w:val="236"/>
        </w:trPr>
        <w:tc>
          <w:tcPr>
            <w:tcW w:w="7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Share-based payments</w:t>
            </w:r>
            <w:r>
              <w:rPr>
                <w:rFonts w:ascii="Times New Roman" w:cs="Times New Roman" w:eastAsia="Times New Roman" w:hAnsi="Times New Roman"/>
                <w:sz w:val="24"/>
                <w:szCs w:val="24"/>
                <w:color w:val="auto"/>
                <w:vertAlign w:val="superscript"/>
              </w:rPr>
              <w:t>(2)</w:t>
            </w:r>
          </w:p>
        </w:tc>
        <w:tc>
          <w:tcPr>
            <w:tcW w:w="19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(7,979)</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9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(1,546)</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gridSpan w:val="2"/>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(24,303)</w:t>
            </w:r>
          </w:p>
        </w:tc>
        <w:tc>
          <w:tcPr>
            <w:tcW w:w="6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2023, severance pay of $2.5 million was included in short-term employee benefits.</w:t>
      </w:r>
    </w:p>
    <w:p>
      <w:pPr>
        <w:spacing w:after="0" w:line="2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further details.</w:t>
      </w:r>
    </w:p>
    <w:p>
      <w:pPr>
        <w:spacing w:after="0" w:line="227"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key management consisted of an average of 13 members of management, including our executive officers and excluding the Board of Directors (2023: 14 members; 2022: 14 members). As of December 31, 2024, key management consisted of 11 members.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Salaries, other benefits and social security expenses - Board members, Chief Executive Officer and other Senior Executives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Variable</w:t>
            </w: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Share-based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(in thousands of U.S. dollars)</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salary/board</w:t>
            </w: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remunerati</w:t>
            </w: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remuneratio</w:t>
            </w:r>
          </w:p>
        </w:tc>
        <w:tc>
          <w:tcPr>
            <w:tcW w:w="84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24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160" w:type="dxa"/>
            <w:vAlign w:val="bottom"/>
            <w:gridSpan w:val="2"/>
            <w:vMerge w:val="continue"/>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w:t>
            </w:r>
          </w:p>
        </w:tc>
        <w:tc>
          <w:tcPr>
            <w:tcW w:w="9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on</w:t>
            </w:r>
            <w:r>
              <w:rPr>
                <w:rFonts w:ascii="Times New Roman" w:cs="Times New Roman" w:eastAsia="Times New Roman" w:hAnsi="Times New Roman"/>
                <w:sz w:val="8"/>
                <w:szCs w:val="8"/>
                <w:b w:val="1"/>
                <w:bCs w:val="1"/>
                <w:color w:val="auto"/>
              </w:rPr>
              <w:t>(1)</w:t>
            </w:r>
          </w:p>
        </w:tc>
        <w:tc>
          <w:tcPr>
            <w:tcW w:w="10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w:t>
            </w:r>
            <w:r>
              <w:rPr>
                <w:rFonts w:ascii="Times New Roman" w:cs="Times New Roman" w:eastAsia="Times New Roman" w:hAnsi="Times New Roman"/>
                <w:sz w:val="8"/>
                <w:szCs w:val="8"/>
                <w:b w:val="1"/>
                <w:bCs w:val="1"/>
                <w:color w:val="auto"/>
              </w:rPr>
              <w:t>(2)</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4"/>
                <w:szCs w:val="14"/>
                <w:b w:val="1"/>
                <w:bCs w:val="1"/>
                <w:color w:val="auto"/>
                <w:w w:val="96"/>
              </w:rPr>
              <w:t>n expense</w:t>
            </w:r>
            <w:r>
              <w:rPr>
                <w:rFonts w:ascii="Times New Roman" w:cs="Times New Roman" w:eastAsia="Times New Roman" w:hAnsi="Times New Roman"/>
                <w:sz w:val="19"/>
                <w:szCs w:val="19"/>
                <w:b w:val="1"/>
                <w:bCs w:val="1"/>
                <w:color w:val="auto"/>
                <w:w w:val="96"/>
                <w:vertAlign w:val="superscript"/>
              </w:rPr>
              <w:t>(3)</w:t>
            </w:r>
          </w:p>
        </w:tc>
        <w:tc>
          <w:tcPr>
            <w:tcW w:w="24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Board member Martin Brok</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Hannah Jones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Frances Rathke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Ann Chung</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 of the Board Eric Melloul</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Lai Shu Tuen-Muk</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Yawen Wu</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Bernard Hours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Xin Wang</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Board member Gregory Christenson</w:t>
            </w: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(5)</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Board member Steven Chu</w:t>
            </w:r>
            <w:r>
              <w:rPr>
                <w:rFonts w:ascii="Times New Roman" w:cs="Times New Roman" w:eastAsia="Times New Roman" w:hAnsi="Times New Roman"/>
                <w:sz w:val="24"/>
                <w:szCs w:val="24"/>
                <w:color w:val="auto"/>
                <w:vertAlign w:val="superscript"/>
              </w:rPr>
              <w:t>(6)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Board member Toni Petersson</w:t>
            </w:r>
            <w:r>
              <w:rPr>
                <w:rFonts w:ascii="Times New Roman" w:cs="Times New Roman" w:eastAsia="Times New Roman" w:hAnsi="Times New Roman"/>
                <w:sz w:val="24"/>
                <w:szCs w:val="24"/>
                <w:color w:val="auto"/>
                <w:vertAlign w:val="superscript"/>
              </w:rPr>
              <w:t>(6)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Jean-Christophe Flatin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senior executives (12 persons)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0" w:type="dxa"/>
            <w:vAlign w:val="bottom"/>
          </w:tcPr>
          <w:p>
            <w:pPr>
              <w:spacing w:after="0"/>
              <w:rPr>
                <w:sz w:val="1"/>
                <w:szCs w:val="1"/>
                <w:color w:val="auto"/>
              </w:rPr>
            </w:pPr>
          </w:p>
        </w:tc>
      </w:tr>
      <w:tr>
        <w:trPr>
          <w:trHeight w:val="21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representatives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remuneration to board members, CEO and other senior</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gridSpan w:val="2"/>
            <w:vMerge w:val="continue"/>
          </w:tcPr>
          <w:p>
            <w:pPr>
              <w:spacing w:after="0"/>
              <w:rPr>
                <w:sz w:val="16"/>
                <w:szCs w:val="16"/>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(5,937)</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(1,264)</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(1,312)</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(551)</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(8,507)</w:t>
            </w:r>
          </w:p>
        </w:tc>
        <w:tc>
          <w:tcPr>
            <w:tcW w:w="24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(17,571)</w:t>
            </w:r>
          </w:p>
        </w:tc>
        <w:tc>
          <w:tcPr>
            <w:tcW w:w="0" w:type="dxa"/>
            <w:vAlign w:val="bottom"/>
          </w:tcPr>
          <w:p>
            <w:pPr>
              <w:spacing w:after="0"/>
              <w:rPr>
                <w:sz w:val="1"/>
                <w:szCs w:val="1"/>
                <w:color w:val="auto"/>
              </w:rPr>
            </w:pP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executives</w:t>
            </w:r>
          </w:p>
        </w:tc>
        <w:tc>
          <w:tcPr>
            <w:tcW w:w="11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40" w:hanging="512"/>
        <w:spacing w:after="0" w:line="266"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remuneration relates to bonus compensation awarded by the Company’s remuneration committee in its discretion for recognition of the executive’s performance and advancement of the Company’s strategic business plan.</w:t>
      </w: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remuneration is primarily comprised of car benefit, holiday allowance and health insurance.</w:t>
      </w:r>
    </w:p>
    <w:p>
      <w:pPr>
        <w:spacing w:after="0" w:line="49" w:lineRule="exact"/>
        <w:rPr>
          <w:rFonts w:ascii="Times New Roman" w:cs="Times New Roman" w:eastAsia="Times New Roman" w:hAnsi="Times New Roman"/>
          <w:sz w:val="18"/>
          <w:szCs w:val="18"/>
          <w:color w:val="auto"/>
        </w:rPr>
      </w:pPr>
    </w:p>
    <w:p>
      <w:pPr>
        <w:ind w:left="520" w:hanging="512"/>
        <w:spacing w:after="0" w:line="273"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expense recognized, in accordance with IFRS 2, in our consolidated statement of operations, based on the grant date fair value, rather than the amounts paid to or realized by the named individual.</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2023 and 2024.</w:t>
      </w:r>
    </w:p>
    <w:p>
      <w:pPr>
        <w:spacing w:after="0" w:line="3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2024.</w:t>
      </w:r>
    </w:p>
    <w:p>
      <w:pPr>
        <w:spacing w:after="0" w:line="4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Chu and Mr. Petersson stepped down from the Board of Directors, effective May 15, 2024.</w:t>
      </w:r>
    </w:p>
    <w:p>
      <w:pPr>
        <w:spacing w:after="0" w:line="4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and RSUs granted in 2022, 2023 and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39" w:name="page40"/>
    <w:bookmarkEnd w:id="39"/>
    <w:p>
      <w:pPr>
        <w:ind w:right="2680"/>
        <w:spacing w:after="0" w:line="259" w:lineRule="auto"/>
        <w:rPr>
          <w:sz w:val="20"/>
          <w:szCs w:val="20"/>
          <w:color w:val="auto"/>
        </w:rPr>
      </w:pPr>
      <w:r>
        <w:rPr>
          <w:rFonts w:ascii="Times New Roman" w:cs="Times New Roman" w:eastAsia="Times New Roman" w:hAnsi="Times New Roman"/>
          <w:sz w:val="18"/>
          <w:szCs w:val="18"/>
          <w:b w:val="1"/>
          <w:bCs w:val="1"/>
          <w:color w:val="auto"/>
        </w:rPr>
        <w:t>Salaries, other benefits and social security expenses - Board members, Chief Executive Officer and other Senior Executives</w:t>
      </w:r>
    </w:p>
    <w:tbl>
      <w:tblPr>
        <w:tblLayout w:type="fixed"/>
        <w:tblInd w:w="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Base pay/Board</w:t>
            </w: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Variable</w:t>
            </w: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Share-based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(in thousands of U.S. dollars)</w:t>
            </w:r>
          </w:p>
        </w:tc>
        <w:tc>
          <w:tcPr>
            <w:tcW w:w="12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remuneratio</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remunerat</w:t>
            </w: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vMerge w:val="restart"/>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fees</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ion</w:t>
            </w:r>
          </w:p>
        </w:tc>
        <w:tc>
          <w:tcPr>
            <w:tcW w:w="2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 expense</w:t>
            </w:r>
          </w:p>
        </w:tc>
        <w:tc>
          <w:tcPr>
            <w:tcW w:w="2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Board member Steven Chu</w:t>
            </w:r>
          </w:p>
        </w:tc>
        <w:tc>
          <w:tcPr>
            <w:tcW w:w="1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Frances Rathke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Hannah Jones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Bernard Hours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Mattias Klintemar</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Martin Brok</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 of the Board Eric Melloul</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Yawen Wu</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Ann Kim Chung</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Calvin Tuen-Muk Lai Shu</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Eric Xin Wang</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Tim Zhang</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Toni Petersson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Jean-Christoph Flatin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senior executives (13 persons)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(918)</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0" w:type="dxa"/>
            <w:vAlign w:val="bottom"/>
          </w:tcPr>
          <w:p>
            <w:pPr>
              <w:spacing w:after="0"/>
              <w:rPr>
                <w:sz w:val="1"/>
                <w:szCs w:val="1"/>
                <w:color w:val="auto"/>
              </w:rPr>
            </w:pPr>
          </w:p>
        </w:tc>
      </w:tr>
      <w:tr>
        <w:trPr>
          <w:trHeight w:val="21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representatives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remuneration to board members, CEO and other senior</w:t>
            </w: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gridSpan w:val="2"/>
            <w:vMerge w:val="continue"/>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(6,867)</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(1,037)</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(3,211)</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(628)</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(12,715)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(24,459)</w:t>
            </w:r>
          </w:p>
        </w:tc>
        <w:tc>
          <w:tcPr>
            <w:tcW w:w="0" w:type="dxa"/>
            <w:vAlign w:val="bottom"/>
          </w:tcPr>
          <w:p>
            <w:pPr>
              <w:spacing w:after="0"/>
              <w:rPr>
                <w:sz w:val="1"/>
                <w:szCs w:val="1"/>
                <w:color w:val="auto"/>
              </w:rPr>
            </w:pPr>
          </w:p>
        </w:tc>
      </w:tr>
      <w:tr>
        <w:trPr>
          <w:trHeight w:val="198"/>
        </w:trPr>
        <w:tc>
          <w:tcPr>
            <w:tcW w:w="5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executives</w:t>
            </w:r>
          </w:p>
        </w:tc>
        <w:tc>
          <w:tcPr>
            <w:tcW w:w="13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For the CEO, a notice period of 6 months applies if a termination of employment should be initiated by the Company. Should a termination of employment be initiated by the CEO, the notice period is 3 months.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other senior executives employed in Sweden, a mutual notice period of 6 months applies for everyone.</w:t>
      </w:r>
    </w:p>
    <w:p>
      <w:pPr>
        <w:spacing w:after="0" w:line="19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other senior executives employed in countries other then Sweden, the notice period varies between 0-6 months from both the Company and the employee's side.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number of employees per geographical breakdown</w:t>
            </w:r>
          </w:p>
        </w:tc>
        <w:tc>
          <w:tcPr>
            <w:tcW w:w="7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0"/>
                <w:szCs w:val="10"/>
                <w:color w:val="auto"/>
              </w:rPr>
            </w:pPr>
          </w:p>
        </w:tc>
        <w:tc>
          <w:tcPr>
            <w:tcW w:w="7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Men</w:t>
            </w:r>
          </w:p>
        </w:tc>
        <w:tc>
          <w:tcPr>
            <w:tcW w:w="240" w:type="dxa"/>
            <w:vAlign w:val="bottom"/>
          </w:tcPr>
          <w:p>
            <w:pPr>
              <w:spacing w:after="0"/>
              <w:rPr>
                <w:sz w:val="10"/>
                <w:szCs w:val="10"/>
                <w:color w:val="auto"/>
              </w:rPr>
            </w:pP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Women</w:t>
            </w:r>
          </w:p>
        </w:tc>
        <w:tc>
          <w:tcPr>
            <w:tcW w:w="240" w:type="dxa"/>
            <w:vAlign w:val="bottom"/>
          </w:tcPr>
          <w:p>
            <w:pPr>
              <w:spacing w:after="0"/>
              <w:rPr>
                <w:sz w:val="10"/>
                <w:szCs w:val="10"/>
                <w:color w:val="auto"/>
              </w:rPr>
            </w:pPr>
          </w:p>
        </w:tc>
        <w:tc>
          <w:tcPr>
            <w:tcW w:w="720" w:type="dxa"/>
            <w:vAlign w:val="bottom"/>
          </w:tcPr>
          <w:p>
            <w:pPr>
              <w:jc w:val="right"/>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7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Men</w:t>
            </w:r>
          </w:p>
        </w:tc>
        <w:tc>
          <w:tcPr>
            <w:tcW w:w="20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Women</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Sweden</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Norway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3"/>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Gender distribution in management</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Men</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Women</w:t>
            </w:r>
          </w:p>
        </w:tc>
        <w:tc>
          <w:tcPr>
            <w:tcW w:w="9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Men</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Women</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Board members</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6"/>
                <w:szCs w:val="16"/>
                <w:color w:val="auto"/>
              </w:rPr>
            </w:pPr>
          </w:p>
        </w:tc>
        <w:tc>
          <w:tcPr>
            <w:tcW w:w="760" w:type="dxa"/>
            <w:vAlign w:val="bottom"/>
            <w:tcBorders>
              <w:top w:val="single" w:sz="8" w:color="auto"/>
            </w:tcBorders>
          </w:tcPr>
          <w:p>
            <w:pPr>
              <w:ind w:left="680"/>
              <w:spacing w:after="0" w:line="191" w:lineRule="exact"/>
              <w:rPr>
                <w:sz w:val="20"/>
                <w:szCs w:val="20"/>
                <w:color w:val="auto"/>
              </w:rPr>
            </w:pPr>
            <w:r>
              <w:rPr>
                <w:rFonts w:ascii="Times New Roman" w:cs="Times New Roman" w:eastAsia="Times New Roman" w:hAnsi="Times New Roman"/>
                <w:sz w:val="17"/>
                <w:szCs w:val="17"/>
                <w:color w:val="auto"/>
                <w:w w:val="70"/>
              </w:rPr>
              <w:t>4</w:t>
            </w:r>
          </w:p>
        </w:tc>
        <w:tc>
          <w:tcPr>
            <w:tcW w:w="24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and other senior executives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Group</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70"/>
              </w:rPr>
              <w:t>8</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shares have been reserved for grants pursuant to a variety of share-based compensation awards, including, but not limited to, stock options and restricted stock units (“RSUs”). To secure the future delivery of shares under the 2021 Plan, the Company’s shareholders resolved to issue 69,496,515 warrants. The right to subscribe for the warrants vests only in the Company. See Note 25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under the 2021 Plan, granted 9,333,810 RSUs, of which 4,110,649 RSUs were granted to members of key management, including the executive officers, and the Board of Directors. 3,500,458 RSUs vested during the period, of which 637,303 were to key management. The RSUs are accounted for as equity-settled share-based compensation transactions. The RSUs are measured based on the fair market value of the underlying ordinary shares on the date of grant. The RSUs granted to employees under the 2021 Plan vest in equal installments on each of the first three anniversaries of the date of grant, subject to continued service. The RSUs granted to members of its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June 18, 2024, pursuant to the resolutions of the Remuneration Committee, the Board of Directors and the shareholders of the Company, certain senior key employees were offered the opportunity to exchange outstanding unexercised stock options for a smaller number of RSUs. All holders of unexercised stock options granted during May 2021 and July 2023, with exercise prices ranging from $1.56 to $17.00, were offered to participate in the exchange. The number of new RSUs were determined such that the fair market value of the shares underlying the new RSUs equals the fair value of the exchanged stock options. For these purposes, fair market value was determined on a grant-by-grant basis and the number of shares underlying new RSUs equals the Black-Scholes option-pricing model value of the exchanged stock options, resulting in a weighted average conversion rate of 0.3492 RSUs per stock option. The exchange was completed on June 28, 2024 with a total of 4,257,251 new RSUs granted, of which 3,303,458 were granted to members of key management, including our executive officers, in exchange for a total number of 12,189,782 stock options. The new RSUs granted will vest and become exercisable in equal installments on each of the first two annual vesting dates falling after the grant date subject to continued service.</w:t>
      </w:r>
    </w:p>
    <w:p>
      <w:pPr>
        <w:spacing w:after="0" w:line="14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exchange of stock options for new RSUs has been accounted for as a modification of equity awards where the number of equity instruments has been reduced but the total fair value of the equity awards is unchanged. The Company has considered the total number of exchanged stock options as a single unit of account, with the original stock options and the grant of new RSUs accounted for as one modification. As a result, the original grant date fair value of the originally granted stock options will continue to be recognized over the vesting period.</w:t>
      </w:r>
    </w:p>
    <w:p>
      <w:pPr>
        <w:spacing w:after="0" w:line="153" w:lineRule="exact"/>
        <w:rPr>
          <w:sz w:val="20"/>
          <w:szCs w:val="20"/>
          <w:color w:val="auto"/>
        </w:rPr>
      </w:pPr>
    </w:p>
    <w:p>
      <w:pPr>
        <w:jc w:val="both"/>
        <w:ind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list the key inputs to the Black-Scholes option-pricing model used to determine the total fair value of the stock options for exchange to RSUs:</w:t>
      </w:r>
    </w:p>
    <w:tbl>
      <w:tblPr>
        <w:tblLayout w:type="fixed"/>
        <w:tblInd w:w="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42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20" w:type="dxa"/>
            <w:vAlign w:val="bottom"/>
            <w:vMerge w:val="continue"/>
          </w:tcPr>
          <w:p>
            <w:pPr>
              <w:spacing w:after="0"/>
              <w:rPr>
                <w:sz w:val="16"/>
                <w:szCs w:val="16"/>
                <w:color w:val="auto"/>
              </w:rPr>
            </w:pPr>
          </w:p>
        </w:tc>
        <w:tc>
          <w:tcPr>
            <w:tcW w:w="4460" w:type="dxa"/>
            <w:vAlign w:val="bottom"/>
          </w:tcPr>
          <w:p>
            <w:pPr>
              <w:spacing w:after="0"/>
              <w:rPr>
                <w:sz w:val="16"/>
                <w:szCs w:val="16"/>
                <w:color w:val="auto"/>
              </w:rPr>
            </w:pPr>
          </w:p>
        </w:tc>
        <w:tc>
          <w:tcPr>
            <w:tcW w:w="1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2.92-7.07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 price at grant date</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shares (%)</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720" w:type="dxa"/>
            <w:vAlign w:val="bottom"/>
          </w:tcPr>
          <w:p>
            <w:pPr>
              <w:spacing w:after="0"/>
              <w:rPr>
                <w:sz w:val="24"/>
                <w:szCs w:val="24"/>
                <w:color w:val="auto"/>
              </w:rPr>
            </w:pPr>
          </w:p>
        </w:tc>
        <w:tc>
          <w:tcPr>
            <w:tcW w:w="4460" w:type="dxa"/>
            <w:vAlign w:val="bottom"/>
          </w:tcPr>
          <w:p>
            <w:pPr>
              <w:jc w:val="right"/>
              <w:ind w:right="3374"/>
              <w:spacing w:after="0"/>
              <w:rPr>
                <w:sz w:val="20"/>
                <w:szCs w:val="20"/>
                <w:color w:val="auto"/>
              </w:rPr>
            </w:pPr>
            <w:r>
              <w:rPr>
                <w:rFonts w:ascii="Times New Roman" w:cs="Times New Roman" w:eastAsia="Times New Roman" w:hAnsi="Times New Roman"/>
                <w:sz w:val="18"/>
                <w:szCs w:val="18"/>
                <w:color w:val="auto"/>
              </w:rPr>
              <w:t>38</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8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tcPr>
          <w:p>
            <w:pPr>
              <w:jc w:val="right"/>
              <w:ind w:right="13"/>
              <w:spacing w:after="0" w:line="151"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840" w:type="dxa"/>
            <w:vAlign w:val="bottom"/>
            <w:gridSpan w:val="2"/>
            <w:vMerge w:val="continue"/>
          </w:tcPr>
          <w:p>
            <w:pPr>
              <w:spacing w:after="0"/>
              <w:rPr>
                <w:sz w:val="15"/>
                <w:szCs w:val="15"/>
                <w:color w:val="auto"/>
              </w:rPr>
            </w:pPr>
          </w:p>
        </w:tc>
        <w:tc>
          <w:tcPr>
            <w:tcW w:w="1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date fair value ($)</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8,147,594</w:t>
            </w:r>
          </w:p>
        </w:tc>
        <w:tc>
          <w:tcPr>
            <w:tcW w:w="220" w:type="dxa"/>
            <w:vAlign w:val="bottom"/>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4.42</w:t>
            </w: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 during the period</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5,479,454</w:t>
            </w:r>
          </w:p>
        </w:tc>
        <w:tc>
          <w:tcPr>
            <w:tcW w:w="2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6"/>
        </w:trPr>
        <w:tc>
          <w:tcPr>
            <w:tcW w:w="768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(2,470,898)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(2,740,334)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8,415,816</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Granted during the period</w:t>
            </w: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9,333,810</w:t>
            </w:r>
          </w:p>
        </w:tc>
        <w:tc>
          <w:tcPr>
            <w:tcW w:w="220" w:type="dxa"/>
            <w:vAlign w:val="bottom"/>
          </w:tcPr>
          <w:p>
            <w:pPr>
              <w:spacing w:after="0"/>
              <w:rPr>
                <w:sz w:val="16"/>
                <w:szCs w:val="16"/>
                <w:color w:val="auto"/>
              </w:rPr>
            </w:pP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RSUs granted in exchange for stock options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4,257,251</w:t>
            </w:r>
          </w:p>
        </w:tc>
        <w:tc>
          <w:tcPr>
            <w:tcW w:w="2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36"/>
        </w:trPr>
        <w:tc>
          <w:tcPr>
            <w:tcW w:w="768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(2,103,022)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(3,500,458)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16,403,397</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961,990 forfeited RSUs related to the Company’s organizational restructuring during the year ended December 31, 2023.</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538,855 forfeited RSUs related to the Company’s organizational restructuring during the year ended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under the 2021 Plan, granted 9,261,299 stock options of which 5,530,577 were granted to members of key management. 5,680,316 stock options vested during the period, of which 3,822,272 were to key management. The stock options are accounted for as equity-settled share-based compensation transactions. For stock options granted under the 2021 Plan, the exercise price is equal to the fair value of the ordinary shares on grant date.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3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employee</w:t>
            </w:r>
          </w:p>
        </w:tc>
        <w:tc>
          <w:tcPr>
            <w:tcW w:w="1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14,339,052</w:t>
            </w:r>
          </w:p>
        </w:tc>
        <w:tc>
          <w:tcPr>
            <w:tcW w:w="220" w:type="dxa"/>
            <w:vAlign w:val="bottom"/>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9.40</w:t>
            </w:r>
          </w:p>
        </w:tc>
        <w:tc>
          <w:tcPr>
            <w:tcW w:w="0" w:type="dxa"/>
            <w:vAlign w:val="bottom"/>
          </w:tcPr>
          <w:p>
            <w:pPr>
              <w:spacing w:after="0"/>
              <w:rPr>
                <w:sz w:val="1"/>
                <w:szCs w:val="1"/>
                <w:color w:val="auto"/>
              </w:rPr>
            </w:pPr>
          </w:p>
        </w:tc>
      </w:tr>
      <w:tr>
        <w:trPr>
          <w:trHeight w:val="182"/>
        </w:trPr>
        <w:tc>
          <w:tcPr>
            <w:tcW w:w="7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Granted during the period</w:t>
            </w: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11,111,723</w:t>
            </w:r>
          </w:p>
        </w:tc>
        <w:tc>
          <w:tcPr>
            <w:tcW w:w="22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7680" w:type="dxa"/>
            <w:vAlign w:val="bottom"/>
          </w:tcPr>
          <w:p>
            <w:pPr>
              <w:spacing w:after="0" w:line="250"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(3,615,022)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(546,562)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21,289,191</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Granted during the period</w:t>
            </w: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9,261,299</w:t>
            </w:r>
          </w:p>
        </w:tc>
        <w:tc>
          <w:tcPr>
            <w:tcW w:w="220" w:type="dxa"/>
            <w:vAlign w:val="bottom"/>
          </w:tcPr>
          <w:p>
            <w:pPr>
              <w:spacing w:after="0"/>
              <w:rPr>
                <w:sz w:val="16"/>
                <w:szCs w:val="16"/>
                <w:color w:val="auto"/>
              </w:rPr>
            </w:pP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82"/>
        </w:trPr>
        <w:tc>
          <w:tcPr>
            <w:tcW w:w="7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Stock options exchanged to RSUs</w:t>
            </w:r>
          </w:p>
        </w:tc>
        <w:tc>
          <w:tcPr>
            <w:tcW w:w="184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(12,189,782)</w:t>
            </w: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7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(2,135,668)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68"/>
        </w:trPr>
        <w:tc>
          <w:tcPr>
            <w:tcW w:w="76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Expired during the period</w:t>
            </w:r>
            <w:r>
              <w:rPr>
                <w:rFonts w:ascii="Times New Roman" w:cs="Times New Roman" w:eastAsia="Times New Roman" w:hAnsi="Times New Roman"/>
                <w:sz w:val="24"/>
                <w:szCs w:val="24"/>
                <w:color w:val="auto"/>
                <w:vertAlign w:val="superscript"/>
              </w:rPr>
              <w:t>(2)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(4,618,760)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11,606,280</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2024</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80" w:type="dxa"/>
            <w:vAlign w:val="bottom"/>
            <w:vMerge w:val="continue"/>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1,101,498</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200" w:hanging="512"/>
        <w:spacing w:after="0" w:line="26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1,589,443 forfeited stock options related to the Company’s organizational restructuring during the year ended December 31, 2024 (2023: 2,581,696)</w:t>
      </w: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4,446,187 expired stock options related to the Company’s organizational restructuring during the year ended December 31, 2024.</w:t>
      </w:r>
    </w:p>
    <w:p>
      <w:pPr>
        <w:spacing w:after="0" w:line="19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$0.67 for the May 2024 grant date and $0.46 for the November 2024 grant date. The fair value at grant date of the stock options granted during the financial year 2023 was $0.98 for the May 2023 grant date, $1.09 for the July 2023 grant date and $0.43 for the November 2023 grant date. The fair value at grant date of the stock options granted during the financial year 2022 was $1.49 for the May 2022 grant date and $0.86 for the November 2022 grant date. The fair value at grant date of the stock options granted during the financial year 2021 was $6.24 for the May 2021 grant date and $3.67 for the November 2021 grant date. The fair value of the stock options at grant date has been determined using the Black-Scholes option-pricing model, which takes into account the exercise price, the expected term of the stock options, the share price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4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lists the inputs to the Black-Scholes option-pricing model used for employee stock options granted during the financial year 2024 and 2023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 price at grant date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shares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50.00-55.00</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4.19-4.57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3.84-4.61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Valuation assumptions are determined at each grant date and, as a result, are likely to change for share-based awards granted in future periods. Changes to the input assumptions could materially affect the estimated fair value of the employee stock options. The sensitivity analysis below shows the impact of increasing and decreasing the share price by 30%, expected volatility by 10% as well as the impact of increasing and decreasing the expected term by 12 months.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This analysis was performed on stock options granted in 2024. The following table shows the impact of these changes on fair value per employee stock option granted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price increase 30%</w:t>
            </w:r>
          </w:p>
        </w:tc>
        <w:tc>
          <w:tcPr>
            <w:tcW w:w="19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180" w:type="dxa"/>
            <w:vAlign w:val="bottom"/>
            <w:vMerge w:val="continue"/>
          </w:tcPr>
          <w:p>
            <w:pPr>
              <w:spacing w:after="0"/>
              <w:rPr>
                <w:sz w:val="16"/>
                <w:szCs w:val="16"/>
                <w:color w:val="auto"/>
              </w:rPr>
            </w:pPr>
          </w:p>
        </w:tc>
        <w:tc>
          <w:tcPr>
            <w:tcW w:w="1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decrease 30%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Volatility decrease 10%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increase 12 months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decrease 12 months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$13.6 million for the twelve months ended December 31, 2024 (2023: $21.4 million).</w:t>
      </w:r>
    </w:p>
    <w:p>
      <w:pPr>
        <w:spacing w:after="0" w:line="113" w:lineRule="exact"/>
        <w:rPr>
          <w:sz w:val="20"/>
          <w:szCs w:val="20"/>
          <w:color w:val="auto"/>
        </w:rPr>
      </w:pPr>
    </w:p>
    <w:p>
      <w:pPr>
        <w:ind w:left="1080" w:hanging="563"/>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 and (expenses),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7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Impairment charges related to discontinued construction of certain production facilities (Note</w:t>
            </w:r>
          </w:p>
        </w:tc>
        <w:tc>
          <w:tcPr>
            <w:tcW w:w="10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15,16,17,18,22)</w:t>
            </w:r>
          </w:p>
        </w:tc>
        <w:tc>
          <w:tcPr>
            <w:tcW w:w="10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(24,134)</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(172,588)</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costs related to discontinued construction of certain production facilities (Note 27)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(28,972)</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charges related to closure of production facility (Note 16)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(19,113)</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costs related to closure of production facility (Note 27)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(22,998)</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settlement expenses (Note 27)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(9,250)</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rate differences (Note 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(2,991)</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 and (expenses), net</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(67,790)</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(214,652)</w:t>
            </w:r>
          </w:p>
        </w:tc>
        <w:tc>
          <w:tcPr>
            <w:tcW w:w="1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11.</w:t>
            </w:r>
          </w:p>
        </w:tc>
        <w:tc>
          <w:tcPr>
            <w:tcW w:w="7820" w:type="dxa"/>
            <w:vAlign w:val="bottom"/>
            <w:gridSpan w:val="2"/>
          </w:tcPr>
          <w:p>
            <w:pPr>
              <w:jc w:val="right"/>
              <w:ind w:right="5420"/>
              <w:spacing w:after="0"/>
              <w:rPr>
                <w:sz w:val="20"/>
                <w:szCs w:val="20"/>
                <w:color w:val="auto"/>
              </w:rPr>
            </w:pPr>
            <w:r>
              <w:rPr>
                <w:rFonts w:ascii="Times New Roman" w:cs="Times New Roman" w:eastAsia="Times New Roman" w:hAnsi="Times New Roman"/>
                <w:sz w:val="18"/>
                <w:szCs w:val="18"/>
                <w:b w:val="1"/>
                <w:bCs w:val="1"/>
                <w:color w:val="auto"/>
              </w:rPr>
              <w:t>Finance income and expenses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820" w:type="dxa"/>
            <w:vAlign w:val="bottom"/>
          </w:tcPr>
          <w:p>
            <w:pPr>
              <w:jc w:val="right"/>
              <w:ind w:right="1896"/>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3"/>
        </w:trPr>
        <w:tc>
          <w:tcPr>
            <w:tcW w:w="8680" w:type="dxa"/>
            <w:vAlign w:val="bottom"/>
            <w:gridSpan w:val="2"/>
          </w:tcPr>
          <w:p>
            <w:pPr>
              <w:ind w:left="8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10,297</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12,666</w:t>
            </w:r>
          </w:p>
        </w:tc>
        <w:tc>
          <w:tcPr>
            <w:tcW w:w="6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32,954</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96,445</w:t>
            </w:r>
          </w:p>
        </w:tc>
        <w:tc>
          <w:tcPr>
            <w:tcW w:w="60" w:type="dxa"/>
            <w:vAlign w:val="bottom"/>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60" w:type="dxa"/>
            <w:vAlign w:val="bottom"/>
          </w:tcPr>
          <w:p>
            <w:pPr>
              <w:spacing w:after="0"/>
              <w:rPr>
                <w:sz w:val="20"/>
                <w:szCs w:val="20"/>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9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57,758</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117,876</w:t>
            </w:r>
          </w:p>
        </w:tc>
        <w:tc>
          <w:tcPr>
            <w:tcW w:w="60" w:type="dxa"/>
            <w:vAlign w:val="bottom"/>
          </w:tcPr>
          <w:p>
            <w:pPr>
              <w:spacing w:after="0"/>
              <w:rPr>
                <w:sz w:val="18"/>
                <w:szCs w:val="18"/>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expenses on loan from credit institutions</w:t>
            </w:r>
          </w:p>
        </w:tc>
        <w:tc>
          <w:tcPr>
            <w:tcW w:w="98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(23,976)</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(20,187)</w:t>
            </w:r>
          </w:p>
        </w:tc>
        <w:tc>
          <w:tcPr>
            <w:tcW w:w="6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on Convertible Notes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(33,821)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(1,684)</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(19,696)</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9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(70,179)</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(69,029)</w:t>
            </w: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on the Convertible Notes is the nominal coupon rate of 9.25%. Fair value changes on Convertible Notes contains the fair value changes less the coupon rate and changes in credit risk. 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and Note 28 </w:t>
      </w:r>
      <w:r>
        <w:rPr>
          <w:rFonts w:ascii="Times New Roman" w:cs="Times New Roman" w:eastAsia="Times New Roman" w:hAnsi="Times New Roman"/>
          <w:sz w:val="18"/>
          <w:szCs w:val="18"/>
          <w:i w:val="1"/>
          <w:iCs w:val="1"/>
          <w:color w:val="auto"/>
        </w:rPr>
        <w:t>Convertible Notes.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Other financial expenses for year ended December 31, 2024 mainly consists of $5.0 million in transaction costs relating to amendments in the Group’s financing arrangements. See Note 26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information.</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Other financial expenses for the year ended December 31, 2023 mainly consist of $17.5 million in transaction costs relating to the issuance of Convertible Notes, and $1.4 million in previously capitalized and amortized transaction costs relating to the previous Sustainable Revolving Credit Facility Agreement (the “SRCF Agreement”) that were expensed in connection with the extinguishment of the liability. See Note 26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information on the SRCF Agreement.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12.</w:t>
            </w:r>
          </w:p>
        </w:tc>
        <w:tc>
          <w:tcPr>
            <w:tcW w:w="7840" w:type="dxa"/>
            <w:vAlign w:val="bottom"/>
            <w:gridSpan w:val="2"/>
          </w:tcPr>
          <w:p>
            <w:pPr>
              <w:jc w:val="right"/>
              <w:ind w:right="5440"/>
              <w:spacing w:after="0"/>
              <w:rPr>
                <w:sz w:val="20"/>
                <w:szCs w:val="20"/>
                <w:color w:val="auto"/>
              </w:rPr>
            </w:pPr>
            <w:r>
              <w:rPr>
                <w:rFonts w:ascii="Times New Roman" w:cs="Times New Roman" w:eastAsia="Times New Roman" w:hAnsi="Times New Roman"/>
                <w:sz w:val="18"/>
                <w:szCs w:val="18"/>
                <w:b w:val="1"/>
                <w:bCs w:val="1"/>
                <w:color w:val="auto"/>
              </w:rPr>
              <w:t>Net exchange rate differences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exchange-rate differences recognized in the consolidated statement of operations are included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880" w:type="dxa"/>
            <w:vAlign w:val="bottom"/>
          </w:tcPr>
          <w:p>
            <w:pPr>
              <w:spacing w:after="0"/>
              <w:rPr>
                <w:sz w:val="24"/>
                <w:szCs w:val="24"/>
                <w:color w:val="auto"/>
              </w:rPr>
            </w:pPr>
          </w:p>
        </w:tc>
        <w:tc>
          <w:tcPr>
            <w:tcW w:w="7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Other operating income and (expenses), net (Note 10)</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(2,061)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(2,991)</w:t>
            </w:r>
          </w:p>
        </w:tc>
        <w:tc>
          <w:tcPr>
            <w:tcW w:w="60" w:type="dxa"/>
            <w:vAlign w:val="bottom"/>
          </w:tcPr>
          <w:p>
            <w:pPr>
              <w:spacing w:after="0"/>
              <w:rPr>
                <w:sz w:val="16"/>
                <w:szCs w:val="16"/>
                <w:color w:val="auto"/>
              </w:rPr>
            </w:pPr>
          </w:p>
        </w:tc>
      </w:tr>
      <w:tr>
        <w:trPr>
          <w:trHeight w:val="234"/>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 and expenses (Note 11)</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14,306</w:t>
            </w: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7,825</w:t>
            </w: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Exchange-rate differences—net</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4,834</w:t>
            </w:r>
          </w:p>
        </w:tc>
        <w:tc>
          <w:tcPr>
            <w:tcW w:w="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for further information on the Group’s primary currency exposure.</w:t>
      </w:r>
    </w:p>
    <w:p>
      <w:pPr>
        <w:spacing w:after="0" w:line="11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major components of income tax (expense)/benefit for the year ended December 31, 2024 and 2023 are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1,871</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00" w:type="dxa"/>
            <w:vAlign w:val="bottom"/>
            <w:vMerge w:val="continue"/>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Relating to origination and reversal of temporary</w:t>
            </w:r>
          </w:p>
        </w:tc>
        <w:tc>
          <w:tcPr>
            <w:tcW w:w="1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(5,570)</w:t>
            </w:r>
          </w:p>
        </w:tc>
        <w:tc>
          <w:tcPr>
            <w:tcW w:w="1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w:t>
            </w:r>
          </w:p>
        </w:tc>
        <w:tc>
          <w:tcPr>
            <w:tcW w:w="1820" w:type="dxa"/>
            <w:vAlign w:val="bottom"/>
            <w:gridSpan w:val="3"/>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(expense)/benefit reported in the consolidated</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(5,570)</w:t>
            </w:r>
          </w:p>
        </w:tc>
        <w:tc>
          <w:tcPr>
            <w:tcW w:w="220" w:type="dxa"/>
            <w:vAlign w:val="bottom"/>
            <w:gridSpan w:val="2"/>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vMerge w:val="continue"/>
          </w:tcPr>
          <w:p>
            <w:pPr>
              <w:spacing w:after="0"/>
              <w:rPr>
                <w:sz w:val="16"/>
                <w:szCs w:val="16"/>
                <w:color w:val="auto"/>
              </w:rPr>
            </w:pPr>
          </w:p>
        </w:tc>
        <w:tc>
          <w:tcPr>
            <w:tcW w:w="1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(3,699)</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(8,895)</w:t>
            </w: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20" w:type="dxa"/>
            <w:vAlign w:val="bottom"/>
            <w:gridSpan w:val="3"/>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 of tax (expense)/benefit and the accounting loss multiplied by Sweden’s corporate tax rate: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3"/>
        </w:trPr>
        <w:tc>
          <w:tcPr>
            <w:tcW w:w="864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Accounting loss before tax</w:t>
            </w:r>
          </w:p>
        </w:tc>
        <w:tc>
          <w:tcPr>
            <w:tcW w:w="9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w w:val="90"/>
              </w:rPr>
              <w:t>(198,573)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(408,165)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Sweden’s corporate income tax rate of 20,6%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40,906</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84,082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rates in foreign jurisdictions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costs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unrecognized deferred taxes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(43,609)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changes in tax rates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expense/(benefit)</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tax relates to the following</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4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9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(6,562)</w:t>
            </w:r>
          </w:p>
        </w:tc>
        <w:tc>
          <w:tcPr>
            <w:tcW w:w="220" w:type="dxa"/>
            <w:vAlign w:val="bottom"/>
            <w:gridSpan w:val="2"/>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right-of-use asset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9,470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allowances for financial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credit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4,561</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Reflected in the consolidated statement of financial</w:t>
            </w: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position as follows: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net deferred tax is shown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2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10,203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5,860</w:t>
            </w:r>
          </w:p>
        </w:tc>
        <w:tc>
          <w:tcPr>
            <w:tcW w:w="20" w:type="dxa"/>
            <w:vAlign w:val="bottom"/>
          </w:tcPr>
          <w:p>
            <w:pPr>
              <w:spacing w:after="0"/>
              <w:rPr>
                <w:sz w:val="16"/>
                <w:szCs w:val="16"/>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 recognized in the consolidated statement of</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(5,570)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4,279</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4,561</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10,203</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some subsidiaries, a deferred income tax asset has been recognized to the extent that there are sufficient taxable temporary differences relating to the same taxation authority and the same taxable entity. For the Swedish subsidiaries, no deferred income tax asset was recognized since, according to the Group, the criteria for reporting deferred tax assets in IAS 12 were not met.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tax assets have not been recognized in respect of the following items: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70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4"/>
                <w:szCs w:val="24"/>
                <w:color w:val="auto"/>
                <w:vertAlign w:val="superscript"/>
              </w:rPr>
              <w:t>(1)</w:t>
            </w: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7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33,499</w:t>
            </w: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31,138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Provisions</w:t>
            </w:r>
            <w:r>
              <w:rPr>
                <w:rFonts w:ascii="Times New Roman" w:cs="Times New Roman" w:eastAsia="Times New Roman" w:hAnsi="Times New Roman"/>
                <w:sz w:val="24"/>
                <w:szCs w:val="24"/>
                <w:color w:val="auto"/>
                <w:vertAlign w:val="superscript"/>
              </w:rPr>
              <w:t>(2)</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216,667</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194,417</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carried forward</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18,967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12,196</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unrecognized deferred tax assets</w:t>
            </w: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269,587</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0" w:hanging="372"/>
        <w:spacing w:after="0" w:line="261"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impairment charges due to the decision to discontinue the construction of the production facility in Peterborough, UK. Refer to Note 16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for further details.</w:t>
      </w:r>
    </w:p>
    <w:p>
      <w:pPr>
        <w:ind w:left="380" w:right="20" w:hanging="372"/>
        <w:spacing w:after="0" w:line="26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Related to provisions due to the decision to discontinue the construction of the production facility in Peterborough, UK. Refer to Note 27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xml:space="preserve"> for further details.</w:t>
      </w:r>
    </w:p>
    <w:p>
      <w:pPr>
        <w:spacing w:after="0" w:line="18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2024, the Group’s accumulated loss carry-forwards amounted to $1,052.9 million (2023: $947.5 million). Tax loss carry-forwards as of December 31, 2024 were expected to expire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Expected expiry</w:t>
            </w:r>
          </w:p>
        </w:tc>
        <w:tc>
          <w:tcPr>
            <w:tcW w:w="12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Less than 5 years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Unlimited</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6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1,041,074</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1,052,907</w:t>
            </w:r>
          </w:p>
        </w:tc>
        <w:tc>
          <w:tcPr>
            <w:tcW w:w="20" w:type="dxa"/>
            <w:vAlign w:val="bottom"/>
          </w:tcPr>
          <w:p>
            <w:pPr>
              <w:spacing w:after="0"/>
              <w:rPr>
                <w:sz w:val="19"/>
                <w:szCs w:val="19"/>
                <w:color w:val="auto"/>
              </w:rPr>
            </w:pPr>
          </w:p>
        </w:tc>
      </w:tr>
    </w:tbl>
    <w:p>
      <w:pPr>
        <w:spacing w:after="0" w:line="39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unrecognized tax losses that arose in Sweden of $1,013.9 million (2023: $940.1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$208.9 million and $193.7 million for the years ended December 31, 2024 and 2023.</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Furthermore, the Group has recognized tax losses in other foreign jurisdictions amounting to $5.2 million (2023: $2.7 million). A deferred tax asset has been recognized in respect of these losses as at December 31, 2024 as it is likely that these will be able to be utilized in the foreseeable future. The measurement of deferred tax assets is subject to uncertainty and the actual result may diverge from judgments due to future changes in business climate, altered tax laws etc. An assessment is made at each closing date of the likelihood that the deferred tax asset will be utilized.</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2024,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applies judgment in identifying uncertainties over income tax treatments. Since the Company operates in a complex multinational environment, it periodically evaluates positions taken in the tax returns to validate whether it has any 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6" w:name="page47"/>
    <w:bookmarkEnd w:id="46"/>
    <w:p>
      <w:pPr>
        <w:ind w:left="1020" w:hanging="503"/>
        <w:spacing w:after="0"/>
        <w:tabs>
          <w:tab w:leader="none" w:pos="10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subsidiaries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had the following subsidiaries as at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Proportion of voting</w:t>
            </w:r>
          </w:p>
        </w:tc>
        <w:tc>
          <w:tcPr>
            <w:tcW w:w="8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Proportion of voting</w:t>
            </w: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Posted value in Oatly</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rights and shares held</w:t>
            </w:r>
          </w:p>
        </w:tc>
        <w:tc>
          <w:tcPr>
            <w:tcW w:w="17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rights and shares held</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8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13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Group AB 31</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indirectly) (%) 2024</w:t>
            </w:r>
          </w:p>
        </w:tc>
        <w:tc>
          <w:tcPr>
            <w:tcW w:w="8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indirectly) (%) 2023</w:t>
            </w:r>
          </w:p>
        </w:tc>
        <w:tc>
          <w:tcPr>
            <w:tcW w:w="1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2024</w:t>
            </w: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Direct ownership</w:t>
            </w: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10,414,372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UK Operations &amp; Supply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Ireland Limited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Switzerland AG</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Austria PTY LDT</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Norway AS</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Spain, S.L.U</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Denmark ApS</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Oy Oatly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Poland sp. z o.o.</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France SAS</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Singapore Operations &amp; Supply Pte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Pte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APAC Pte</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Inc</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de México, S.A. de C.V.</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Canada Inc</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Australia Pty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Hong Kong Holding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Thousands of Island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Super planting Shanghai Food and Beverage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Yaji (Shanghai) Catering Service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Oatly Hainan Trading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Dong Plant (Zhuhai) Food and Beverage Co., Ltd</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15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firstLine="449"/>
        <w:spacing w:after="0" w:line="282" w:lineRule="auto"/>
        <w:rPr>
          <w:sz w:val="20"/>
          <w:szCs w:val="20"/>
          <w:color w:val="auto"/>
        </w:rPr>
      </w:pPr>
      <w:r>
        <w:rPr>
          <w:rFonts w:ascii="Times New Roman" w:cs="Times New Roman" w:eastAsia="Times New Roman" w:hAnsi="Times New Roman"/>
          <w:sz w:val="18"/>
          <w:szCs w:val="18"/>
          <w:color w:val="auto"/>
        </w:rPr>
        <w:t>All subsidiaries are wholly owned except Super planting Shanghai Food and Beverage Co. Ltd which is 60% owned. The number of shares equals the number of voting rights.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24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Registration number</w:t>
            </w:r>
          </w:p>
        </w:tc>
        <w:tc>
          <w:tcPr>
            <w:tcW w:w="160" w:type="dxa"/>
            <w:vAlign w:val="bottom"/>
          </w:tcPr>
          <w:p>
            <w:pPr>
              <w:spacing w:after="0"/>
              <w:rPr>
                <w:sz w:val="15"/>
                <w:szCs w:val="15"/>
                <w:color w:val="auto"/>
              </w:rPr>
            </w:pPr>
          </w:p>
        </w:tc>
        <w:tc>
          <w:tcPr>
            <w:tcW w:w="2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Country of operation / registered office</w:t>
            </w:r>
          </w:p>
        </w:tc>
      </w:tr>
      <w:tr>
        <w:trPr>
          <w:trHeight w:val="191"/>
        </w:trPr>
        <w:tc>
          <w:tcPr>
            <w:tcW w:w="58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Direct ownership</w:t>
            </w: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556482-2988</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Sweden/Malmö</w:t>
            </w: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556446-1043</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Sweden/Malmö</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8038012</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Kingdom/Worthing</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UK Operations &amp; Supply Ltd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12847578</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Kingdom/London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Ireland Limited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775710</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Ireland/Dublin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27/459/31354</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Germany/Berlin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Switzerland AG</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CHE-181.778.500</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Schweiz/Appenzell</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Austria PTY LDT</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FN548816h</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Austria/Ried im Innkreis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Norway AS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818976062</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Norway/Oslo</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Spain, S.L.U</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M-763172</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Spain/Madrid</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Denmark ApS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42992836</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Denmark/Copenhagen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Oy Oatly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2858489-6</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Finland/Helsingfors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73642746</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Netherlands/Vlissingen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73642754</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Netherlands/Vlissingen</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Poland sp. z o.o.</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0000973894</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Poland/Warszawa</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France SAS</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948 863 709 RCSParis</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France/Paris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559163-7698</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Sweden/Malmö</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559163-7680</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Sweden/Malmö</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Singapore Operations &amp; Supply Pte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201931793R</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Singapore/Singapore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Pte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202009237Z</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Singapore/Singapore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APAC Pte</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202010927Z</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Singapore/Singapore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de México, S.A. de C.V.</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OME2401319Z5</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Mexico/Mexico City</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Inc</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5175500</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USA/Delaware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7713489</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USA/Delaware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7331326</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USA/Delaware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Canada Inc</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720693</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Canada/Saint John, NB</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556645-7213</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Sweden/Landskrona</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Australia Pty Ltd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644817327</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Australia/Melbourne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Hong Kong Holding Ltd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1558549</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Kong/China, Hong Kong</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91310000MA1G</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China/Shanghai</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91340500MA2WHW8X03</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China/Shanghai</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Thousands of Island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91330127MA2KJGFG2Q</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China/Shanghai</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Super planting Shanghai Food and Beverage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91310106MAC6K59H3R</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China/Shanghai</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Yaji (Shanghai) Catering Service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91310104MADF52NM36</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China/Shanghai</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Oatly Hainan Trading Co Ltd</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91460000MA5U11140P</w:t>
            </w:r>
          </w:p>
        </w:tc>
        <w:tc>
          <w:tcPr>
            <w:tcW w:w="1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China/Hainan</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Dong Plant (Zhuhai) Food and Beverage Co., Ltd.</w:t>
            </w:r>
          </w:p>
        </w:tc>
        <w:tc>
          <w:tcPr>
            <w:tcW w:w="2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91440400MACH0YG33W</w:t>
            </w:r>
          </w:p>
        </w:tc>
        <w:tc>
          <w:tcPr>
            <w:tcW w:w="16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China/Zhuhai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5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15.</w:t>
        <w:tab/>
        <w:t>Intangible assets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Other Intangible assets</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Ongoing</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gridSpan w:val="2"/>
            <w:vMerge w:val="continue"/>
          </w:tcPr>
          <w:p>
            <w:pPr>
              <w:spacing w:after="0"/>
              <w:rPr>
                <w:sz w:val="15"/>
                <w:szCs w:val="15"/>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112,904</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13,821</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5,495</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446</w:t>
            </w:r>
          </w:p>
        </w:tc>
        <w:tc>
          <w:tcPr>
            <w:tcW w:w="2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118,213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(10,972)</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(1,435)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(3,592)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(2,154)</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(5,746)</w:t>
            </w:r>
          </w:p>
        </w:tc>
        <w:tc>
          <w:tcPr>
            <w:tcW w:w="0" w:type="dxa"/>
            <w:vAlign w:val="bottom"/>
          </w:tcPr>
          <w:p>
            <w:pPr>
              <w:spacing w:after="0"/>
              <w:rPr>
                <w:sz w:val="1"/>
                <w:szCs w:val="1"/>
                <w:color w:val="auto"/>
              </w:rPr>
            </w:pPr>
          </w:p>
        </w:tc>
      </w:tr>
      <w:tr>
        <w:trPr>
          <w:trHeight w:val="191"/>
        </w:trPr>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(4,040)</w:t>
            </w:r>
          </w:p>
        </w:tc>
        <w:tc>
          <w:tcPr>
            <w:tcW w:w="2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(389)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(8,357)</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(2,493)</w:t>
            </w:r>
          </w:p>
        </w:tc>
        <w:tc>
          <w:tcPr>
            <w:tcW w:w="22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(1,598)</w:t>
            </w:r>
          </w:p>
        </w:tc>
        <w:tc>
          <w:tcPr>
            <w:tcW w:w="220" w:type="dxa"/>
            <w:vAlign w:val="bottom"/>
            <w:vMerge w:val="continue"/>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(4,091)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(10,083)</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118,213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3,985</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4,590</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3,164</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116,208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Goodwill is in its entirely related to the acquisition of Cereal Base CEBA AB in 2016.</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15.1. Test of goodwill impairment</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Chief Executive Officer assesses the operating performance based on the Group’s three operating segments: Europe &amp; International, North America and Greater China. Goodwill is monitored by the Chief Executive Officer at the level of the three operating segments. The goodwill existing as at December 31, 2024 and 2023 is entirely attributable to Europe &amp; International.</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tests whether goodwill has suffered any impairment on an annual basis, or more frequently if events or changes in circumstances indicate that it might be impaired. The Group performed its annual impairment test as of December 31, 2024 and 2023. For the 2024 and 2023 reporting period, the recoverable amount of the cash-generating unit (“CGU”) was determined based on a value in use calculation, which requires the use of assumptions. The calculations use cash flow projections based on financial budgets approved by Management covering a five-year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beyond the five-year period are extrapolated using an estimated growth rate of 2.0% (2023: 2.0%). The growth rate is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forecasts included in industry reports specific to the industry in which the CGU operates. The pre-tax discount rate used is 10.2% (2023: 10.2%).</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key assumptions used in value in use calculations:</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EBITDA margin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growth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discount 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has determined the values assigned to each of the above key assumptions as follows: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EBITDA margin: Based on past performance and management’s expectations for the future when continuing to scale the business.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growth rate: This is the weighted average growth rate used to extrapolate cash flows beyond the budget period. The rates are consistent with forecasts included in industry reports.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discount rate: Reflect specific risks relating to the relevant segment and the countries in which they operate.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recoverable amount exceeds the carrying amount of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reasonably possible changes in any of the key assumptions that would have resulted in an impairment of goodwill.</w:t>
      </w:r>
    </w:p>
    <w:p>
      <w:pPr>
        <w:spacing w:after="0" w:line="32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December 31, 2024 and December 31, 2023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40" w:type="dxa"/>
            <w:vAlign w:val="bottom"/>
            <w:gridSpan w:val="3"/>
          </w:tcPr>
          <w:p>
            <w:pPr>
              <w:spacing w:after="0"/>
              <w:rPr>
                <w:sz w:val="15"/>
                <w:szCs w:val="15"/>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00" w:type="dxa"/>
            <w:vAlign w:val="bottom"/>
            <w:vMerge w:val="continue"/>
          </w:tcPr>
          <w:p>
            <w:pPr>
              <w:spacing w:after="0"/>
              <w:rPr>
                <w:sz w:val="17"/>
                <w:szCs w:val="17"/>
                <w:color w:val="auto"/>
              </w:rPr>
            </w:pP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77,059</w:t>
            </w:r>
          </w:p>
        </w:tc>
        <w:tc>
          <w:tcPr>
            <w:tcW w:w="200" w:type="dxa"/>
            <w:vAlign w:val="bottom"/>
          </w:tcPr>
          <w:p>
            <w:pPr>
              <w:spacing w:after="0"/>
              <w:rPr>
                <w:sz w:val="17"/>
                <w:szCs w:val="17"/>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243,399</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225,940</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546,398</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2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5,498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15,245</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21,258</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42,001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19,938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16,550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(36,488)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14,414</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104,749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278,849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217,295</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00" w:type="dxa"/>
            <w:vAlign w:val="bottom"/>
            <w:vMerge w:val="continue"/>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4,223</w:t>
            </w: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17,779</w:t>
            </w:r>
          </w:p>
        </w:tc>
        <w:tc>
          <w:tcPr>
            <w:tcW w:w="220" w:type="dxa"/>
            <w:vAlign w:val="bottom"/>
            <w:vMerge w:val="continue"/>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16,044</w:t>
            </w:r>
          </w:p>
        </w:tc>
        <w:tc>
          <w:tcPr>
            <w:tcW w:w="220" w:type="dxa"/>
            <w:vAlign w:val="bottom"/>
            <w:vMerge w:val="continue"/>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38,046</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Sold</w:t>
            </w:r>
            <w:r>
              <w:rPr>
                <w:rFonts w:ascii="Times New Roman" w:cs="Times New Roman" w:eastAsia="Times New Roman" w:hAnsi="Times New Roman"/>
                <w:sz w:val="24"/>
                <w:szCs w:val="24"/>
                <w:color w:val="auto"/>
                <w:vertAlign w:val="superscript"/>
              </w:rPr>
              <w:t>(1)</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36"/>
        </w:trPr>
        <w:tc>
          <w:tcPr>
            <w:tcW w:w="58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(2)</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(91,584)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(5,901)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54,315</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00" w:type="dxa"/>
            <w:vAlign w:val="bottom"/>
            <w:vMerge w:val="continue"/>
          </w:tcPr>
          <w:p>
            <w:pPr>
              <w:spacing w:after="0"/>
              <w:rPr>
                <w:sz w:val="16"/>
                <w:szCs w:val="16"/>
                <w:color w:val="auto"/>
              </w:rPr>
            </w:pPr>
          </w:p>
        </w:tc>
        <w:tc>
          <w:tcPr>
            <w:tcW w:w="14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(9,369)</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(44,077)</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(53,446)</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420" w:type="dxa"/>
            <w:vAlign w:val="bottom"/>
            <w:gridSpan w:val="4"/>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 charge</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(5,636)</w:t>
            </w:r>
          </w:p>
        </w:tc>
        <w:tc>
          <w:tcPr>
            <w:tcW w:w="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(27,392)</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(33,028)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Disposals</w:t>
            </w:r>
          </w:p>
        </w:tc>
        <w:tc>
          <w:tcPr>
            <w:tcW w:w="1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668</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6"/>
        </w:trPr>
        <w:tc>
          <w:tcPr>
            <w:tcW w:w="58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(3)</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(152,358)</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(15,068)</w:t>
            </w:r>
          </w:p>
        </w:tc>
        <w:tc>
          <w:tcPr>
            <w:tcW w:w="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(153,060)</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Depreciation charge</w:t>
            </w:r>
          </w:p>
        </w:tc>
        <w:tc>
          <w:tcPr>
            <w:tcW w:w="118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00" w:type="dxa"/>
            <w:vAlign w:val="bottom"/>
            <w:vMerge w:val="continue"/>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(6,206)</w:t>
            </w:r>
          </w:p>
        </w:tc>
        <w:tc>
          <w:tcPr>
            <w:tcW w:w="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(27,822)</w:t>
            </w:r>
          </w:p>
        </w:tc>
        <w:tc>
          <w:tcPr>
            <w:tcW w:w="220" w:type="dxa"/>
            <w:vAlign w:val="bottom"/>
            <w:vMerge w:val="continue"/>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(34,028)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Sold</w:t>
            </w:r>
            <w:r>
              <w:rPr>
                <w:rFonts w:ascii="Times New Roman" w:cs="Times New Roman" w:eastAsia="Times New Roman" w:hAnsi="Times New Roman"/>
                <w:sz w:val="24"/>
                <w:szCs w:val="24"/>
                <w:color w:val="auto"/>
                <w:vertAlign w:val="superscript"/>
              </w:rPr>
              <w:t>(1)</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80,104</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80,114</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(2)</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75,291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76,990</w:t>
            </w:r>
          </w:p>
        </w:tc>
        <w:tc>
          <w:tcPr>
            <w:tcW w:w="0" w:type="dxa"/>
            <w:vAlign w:val="bottom"/>
          </w:tcPr>
          <w:p>
            <w:pPr>
              <w:spacing w:after="0"/>
              <w:rPr>
                <w:sz w:val="1"/>
                <w:szCs w:val="1"/>
                <w:color w:val="auto"/>
              </w:rPr>
            </w:pPr>
          </w:p>
        </w:tc>
      </w:tr>
      <w:tr>
        <w:trPr>
          <w:trHeight w:val="236"/>
        </w:trPr>
        <w:tc>
          <w:tcPr>
            <w:tcW w:w="58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(4)</w:t>
            </w: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(3,294)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(23,376)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(18,179)</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w:t>
            </w:r>
          </w:p>
        </w:tc>
        <w:tc>
          <w:tcPr>
            <w:tcW w:w="40" w:type="dxa"/>
            <w:vAlign w:val="bottom"/>
            <w:tcBorders>
              <w:bottom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206,370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64,235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81,435</w:t>
            </w:r>
          </w:p>
        </w:tc>
        <w:tc>
          <w:tcPr>
            <w:tcW w:w="40" w:type="dxa"/>
            <w:vAlign w:val="bottom"/>
            <w:tcBorders>
              <w:bottom w:val="single" w:sz="8" w:color="auto"/>
            </w:tcBorders>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176,628</w:t>
            </w:r>
          </w:p>
        </w:tc>
        <w:tc>
          <w:tcPr>
            <w:tcW w:w="2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36,136</w:t>
            </w:r>
          </w:p>
        </w:tc>
        <w:tc>
          <w:tcPr>
            <w:tcW w:w="2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294,199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0" w:hanging="372"/>
        <w:spacing w:after="0" w:line="261"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sold assets due to the decision to discontinue the construction of the production facilities in Peterborough, UK and Dallas-Fort Worth, Texas.</w:t>
      </w:r>
    </w:p>
    <w:p>
      <w:pPr>
        <w:ind w:left="380" w:hanging="372"/>
        <w:spacing w:after="0" w:line="250"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disposal of assets due to the decision to discontinue the construction of the production facilities in Peterborough, UK and Dallas-Fort Worth, Texas.</w:t>
      </w:r>
    </w:p>
    <w:p>
      <w:pPr>
        <w:ind w:left="380" w:hanging="372"/>
        <w:spacing w:after="0" w:line="250"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$152.4 million, $152.2 million relates to impairment charges due to the decision to discontinue the construction of the production facilities in Peterborough, UK and Dallas-Fort Worth, Texas.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$37.3 million, $19.1 million relates to impairment charges due to the closure of the production facility in Singapore, and $17.6 million relates to impairment charges due to the decision to discontinue the construction of the production facility in China (Asia III).</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additions during the year ended December 31, 2024 is mainly related to investment in existing production facilities.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depreciation expense for years ended December 31, 2024, 2023 and 2022 was $34.0 million, $33.0 million and $32.0 million, respectively.</w:t>
      </w:r>
    </w:p>
    <w:p>
      <w:pPr>
        <w:spacing w:after="0" w:line="22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Part of the Group’s property, plant and equipment are pledged to secure the Group’s liabilities to credit institutions. Refer to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details.</w:t>
      </w:r>
    </w:p>
    <w:p>
      <w:pPr>
        <w:spacing w:after="0" w:line="26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Test of impairment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4 </w:t>
      </w:r>
      <w:r>
        <w:rPr>
          <w:rFonts w:ascii="Times New Roman" w:cs="Times New Roman" w:eastAsia="Times New Roman" w:hAnsi="Times New Roman"/>
          <w:sz w:val="18"/>
          <w:szCs w:val="18"/>
          <w:i w:val="1"/>
          <w:iCs w:val="1"/>
          <w:color w:val="auto"/>
        </w:rPr>
        <w:t>Significant accounting judgments, estimates and assessments</w:t>
      </w:r>
      <w:r>
        <w:rPr>
          <w:rFonts w:ascii="Times New Roman" w:cs="Times New Roman" w:eastAsia="Times New Roman" w:hAnsi="Times New Roman"/>
          <w:sz w:val="18"/>
          <w:szCs w:val="18"/>
          <w:color w:val="auto"/>
        </w:rPr>
        <w:t xml:space="preserve">, Management decided, for the 2024 and 2023 reporting periods, to perform impairment tests for the non-financial assets in all the three operating segments, not only for the segment containing goodwill. Refer to Note 15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disclosure of impairment test for the operating segment Europe &amp; International. The Group performed the impairment tests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w:t>
      </w:r>
    </w:p>
    <w:p>
      <w:pPr>
        <w:spacing w:after="0" w:line="18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For North America and Greater China the recoverable amount for the cash generating units were established through calculation of the value in use, which require the use of assumptions, refer Note 15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disclosure on the assumptions used. The calculations use cash flow projections based on financial budgets approved by management covering a five-year period.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Cash flows beyond the five-year period are extrapolated using an estimated growth rate of 2%. The growth rate is consistent with forecasts included in industry reports specific to the industry in which the CGU operates. The pre-tax discount rate used for North America was 10.6% (2023:10.8%) and for Greater China 9.2% (2023:9.7%).</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recoverable amount exceeds the carrying amount of non-financial assets for both North America and Greater China.</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 - Greater China</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recoverable amount of the Greater China CGU would equal the carrying amount if the pre-tax discount rate increased by 1.0 percentage points or if the long-term EBITDA margin decreased by 1.1 percentage points.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 – North America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reasonably possible changes in any of the key assumptions that would have resulted in an impairment for North America.</w:t>
      </w:r>
    </w:p>
    <w:p>
      <w:pPr>
        <w:spacing w:after="0" w:line="200" w:lineRule="exact"/>
        <w:rPr>
          <w:sz w:val="20"/>
          <w:szCs w:val="20"/>
          <w:color w:val="auto"/>
        </w:rPr>
      </w:pPr>
    </w:p>
    <w:p>
      <w:pPr>
        <w:spacing w:after="0" w:line="23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note provides information for leases where the Group is a lessee.</w:t>
      </w:r>
    </w:p>
    <w:p>
      <w:pPr>
        <w:spacing w:after="0" w:line="200" w:lineRule="exact"/>
        <w:rPr>
          <w:sz w:val="20"/>
          <w:szCs w:val="20"/>
          <w:color w:val="auto"/>
        </w:rPr>
      </w:pPr>
    </w:p>
    <w:p>
      <w:pPr>
        <w:spacing w:after="0" w:line="237" w:lineRule="exact"/>
        <w:rPr>
          <w:sz w:val="20"/>
          <w:szCs w:val="20"/>
          <w:color w:val="auto"/>
        </w:rPr>
      </w:pPr>
    </w:p>
    <w:p>
      <w:pPr>
        <w:ind w:left="10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17.1.</w:t>
        <w:tab/>
        <w:t>The Group’s leasing activities and how these are accounted for</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392"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Amounts recognized in the consolidated statement of financial position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color w:val="auto"/>
        </w:rPr>
        <w:t>The consolidated statement of financial position discloses the following amounts relating to leases: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45,555</w:t>
            </w: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45,083</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600" w:type="dxa"/>
            <w:vAlign w:val="bottom"/>
          </w:tcPr>
          <w:p>
            <w:pPr>
              <w:spacing w:after="0"/>
              <w:rPr>
                <w:sz w:val="24"/>
                <w:szCs w:val="24"/>
                <w:color w:val="auto"/>
              </w:rPr>
            </w:pPr>
          </w:p>
        </w:tc>
        <w:tc>
          <w:tcPr>
            <w:tcW w:w="16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3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20" w:type="dxa"/>
            <w:vAlign w:val="bottom"/>
            <w:gridSpan w:val="2"/>
          </w:tcPr>
          <w:p>
            <w:pPr>
              <w:spacing w:after="0"/>
              <w:rPr>
                <w:sz w:val="15"/>
                <w:szCs w:val="15"/>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00" w:type="dxa"/>
            <w:vAlign w:val="bottom"/>
            <w:vMerge w:val="continue"/>
          </w:tcPr>
          <w:p>
            <w:pPr>
              <w:spacing w:after="0"/>
              <w:rPr>
                <w:sz w:val="17"/>
                <w:szCs w:val="17"/>
                <w:color w:val="auto"/>
              </w:rPr>
            </w:pPr>
          </w:p>
        </w:tc>
        <w:tc>
          <w:tcPr>
            <w:tcW w:w="1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100,113</w:t>
            </w:r>
          </w:p>
        </w:tc>
        <w:tc>
          <w:tcPr>
            <w:tcW w:w="200" w:type="dxa"/>
            <w:vAlign w:val="bottom"/>
          </w:tcPr>
          <w:p>
            <w:pPr>
              <w:spacing w:after="0"/>
              <w:rPr>
                <w:sz w:val="17"/>
                <w:szCs w:val="17"/>
                <w:color w:val="auto"/>
              </w:rPr>
            </w:pPr>
          </w:p>
        </w:tc>
        <w:tc>
          <w:tcPr>
            <w:tcW w:w="156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30,525</w:t>
            </w:r>
          </w:p>
        </w:tc>
        <w:tc>
          <w:tcPr>
            <w:tcW w:w="14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130,638</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Increases</w:t>
            </w:r>
          </w:p>
        </w:tc>
        <w:tc>
          <w:tcPr>
            <w:tcW w:w="1400" w:type="dxa"/>
            <w:vAlign w:val="bottom"/>
            <w:tcBorders>
              <w:top w:val="single" w:sz="8" w:color="auto"/>
            </w:tcBorders>
            <w:gridSpan w:val="3"/>
          </w:tcPr>
          <w:p>
            <w:pPr>
              <w:jc w:val="right"/>
              <w:ind w:right="20"/>
              <w:spacing w:after="0" w:line="171" w:lineRule="exact"/>
              <w:rPr>
                <w:sz w:val="20"/>
                <w:szCs w:val="20"/>
                <w:color w:val="auto"/>
              </w:rPr>
            </w:pPr>
            <w:r>
              <w:rPr>
                <w:rFonts w:ascii="Times New Roman" w:cs="Times New Roman" w:eastAsia="Times New Roman" w:hAnsi="Times New Roman"/>
                <w:sz w:val="18"/>
                <w:szCs w:val="18"/>
                <w:color w:val="auto"/>
              </w:rPr>
              <w:t>16,700</w:t>
            </w:r>
          </w:p>
        </w:tc>
        <w:tc>
          <w:tcPr>
            <w:tcW w:w="200" w:type="dxa"/>
            <w:vAlign w:val="bottom"/>
          </w:tcPr>
          <w:p>
            <w:pPr>
              <w:spacing w:after="0"/>
              <w:rPr>
                <w:sz w:val="14"/>
                <w:szCs w:val="14"/>
                <w:color w:val="auto"/>
              </w:rPr>
            </w:pPr>
          </w:p>
        </w:tc>
        <w:tc>
          <w:tcPr>
            <w:tcW w:w="1360" w:type="dxa"/>
            <w:vAlign w:val="bottom"/>
            <w:tcBorders>
              <w:top w:val="single" w:sz="8" w:color="auto"/>
            </w:tcBorders>
            <w:gridSpan w:val="4"/>
          </w:tcPr>
          <w:p>
            <w:pPr>
              <w:jc w:val="right"/>
              <w:spacing w:after="0" w:line="171" w:lineRule="exact"/>
              <w:rPr>
                <w:sz w:val="20"/>
                <w:szCs w:val="20"/>
                <w:color w:val="auto"/>
              </w:rPr>
            </w:pPr>
            <w:r>
              <w:rPr>
                <w:rFonts w:ascii="Times New Roman" w:cs="Times New Roman" w:eastAsia="Times New Roman" w:hAnsi="Times New Roman"/>
                <w:sz w:val="18"/>
                <w:szCs w:val="18"/>
                <w:color w:val="auto"/>
              </w:rPr>
              <w:t>2,578</w:t>
            </w:r>
          </w:p>
        </w:tc>
        <w:tc>
          <w:tcPr>
            <w:tcW w:w="200" w:type="dxa"/>
            <w:vAlign w:val="bottom"/>
          </w:tcPr>
          <w:p>
            <w:pPr>
              <w:spacing w:after="0"/>
              <w:rPr>
                <w:sz w:val="14"/>
                <w:szCs w:val="14"/>
                <w:color w:val="auto"/>
              </w:rPr>
            </w:pPr>
          </w:p>
        </w:tc>
        <w:tc>
          <w:tcPr>
            <w:tcW w:w="1380" w:type="dxa"/>
            <w:vAlign w:val="bottom"/>
            <w:tcBorders>
              <w:top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19,278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(27,255)</w:t>
            </w: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(1,775)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3,015</w:t>
            </w:r>
          </w:p>
        </w:tc>
        <w:tc>
          <w:tcPr>
            <w:tcW w:w="200" w:type="dxa"/>
            <w:vAlign w:val="bottom"/>
          </w:tcPr>
          <w:p>
            <w:pPr>
              <w:spacing w:after="0"/>
              <w:rPr>
                <w:sz w:val="20"/>
                <w:szCs w:val="20"/>
                <w:color w:val="auto"/>
              </w:rPr>
            </w:pPr>
          </w:p>
        </w:tc>
        <w:tc>
          <w:tcPr>
            <w:tcW w:w="15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92,573</w:t>
            </w:r>
          </w:p>
        </w:tc>
        <w:tc>
          <w:tcPr>
            <w:tcW w:w="200" w:type="dxa"/>
            <w:vAlign w:val="bottom"/>
          </w:tcPr>
          <w:p>
            <w:pPr>
              <w:spacing w:after="0"/>
              <w:rPr>
                <w:sz w:val="18"/>
                <w:szCs w:val="18"/>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31,782</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Increases</w:t>
            </w: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600" w:type="dxa"/>
            <w:vAlign w:val="bottom"/>
            <w:vMerge w:val="continue"/>
          </w:tcPr>
          <w:p>
            <w:pPr>
              <w:spacing w:after="0"/>
              <w:rPr>
                <w:sz w:val="13"/>
                <w:szCs w:val="13"/>
                <w:color w:val="auto"/>
              </w:rPr>
            </w:pPr>
          </w:p>
        </w:tc>
        <w:tc>
          <w:tcPr>
            <w:tcW w:w="1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8"/>
                <w:szCs w:val="18"/>
                <w:color w:val="auto"/>
              </w:rPr>
              <w:t>1,643</w:t>
            </w:r>
          </w:p>
        </w:tc>
        <w:tc>
          <w:tcPr>
            <w:tcW w:w="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18"/>
                <w:szCs w:val="18"/>
                <w:color w:val="auto"/>
              </w:rPr>
              <w:t>1,263</w:t>
            </w:r>
          </w:p>
        </w:tc>
        <w:tc>
          <w:tcPr>
            <w:tcW w:w="200" w:type="dxa"/>
            <w:vAlign w:val="bottom"/>
            <w:vMerge w:val="continue"/>
          </w:tcPr>
          <w:p>
            <w:pPr>
              <w:spacing w:after="0"/>
              <w:rPr>
                <w:sz w:val="13"/>
                <w:szCs w:val="13"/>
                <w:color w:val="auto"/>
              </w:rPr>
            </w:pPr>
          </w:p>
        </w:tc>
        <w:tc>
          <w:tcPr>
            <w:tcW w:w="1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8"/>
                <w:szCs w:val="18"/>
                <w:color w:val="auto"/>
              </w:rPr>
              <w:t>2,906</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(2)</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(36,065)</w:t>
            </w: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(3,376)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(39,441)</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(2,062)</w:t>
            </w: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(1,491)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200" w:type="dxa"/>
            <w:vAlign w:val="bottom"/>
          </w:tcPr>
          <w:p>
            <w:pPr>
              <w:spacing w:after="0"/>
              <w:rPr>
                <w:sz w:val="18"/>
                <w:szCs w:val="18"/>
                <w:color w:val="auto"/>
              </w:rPr>
            </w:pPr>
          </w:p>
        </w:tc>
        <w:tc>
          <w:tcPr>
            <w:tcW w:w="1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28,178</w:t>
            </w:r>
          </w:p>
        </w:tc>
        <w:tc>
          <w:tcPr>
            <w:tcW w:w="200" w:type="dxa"/>
            <w:vAlign w:val="bottom"/>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0" w:type="dxa"/>
            <w:vAlign w:val="bottom"/>
            <w:vMerge w:val="continue"/>
          </w:tcPr>
          <w:p>
            <w:pPr>
              <w:spacing w:after="0"/>
              <w:rPr>
                <w:sz w:val="16"/>
                <w:szCs w:val="16"/>
                <w:color w:val="auto"/>
              </w:rPr>
            </w:pPr>
          </w:p>
        </w:tc>
        <w:tc>
          <w:tcPr>
            <w:tcW w:w="16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(13,098)</w:t>
            </w:r>
          </w:p>
        </w:tc>
        <w:tc>
          <w:tcPr>
            <w:tcW w:w="15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(8,942)</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(22,040)</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600" w:type="dxa"/>
            <w:vAlign w:val="bottom"/>
            <w:gridSpan w:val="4"/>
            <w:vMerge w:val="continue"/>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(8,921)</w:t>
            </w:r>
          </w:p>
        </w:tc>
        <w:tc>
          <w:tcPr>
            <w:tcW w:w="220" w:type="dxa"/>
            <w:vAlign w:val="bottom"/>
            <w:gridSpan w:val="2"/>
          </w:tcPr>
          <w:p>
            <w:pPr>
              <w:spacing w:after="0"/>
              <w:rPr>
                <w:sz w:val="16"/>
                <w:szCs w:val="16"/>
                <w:color w:val="auto"/>
              </w:rPr>
            </w:pPr>
          </w:p>
        </w:tc>
        <w:tc>
          <w:tcPr>
            <w:tcW w:w="1360" w:type="dxa"/>
            <w:vAlign w:val="bottom"/>
            <w:tcBorders>
              <w:top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(5,156)</w:t>
            </w:r>
          </w:p>
        </w:tc>
        <w:tc>
          <w:tcPr>
            <w:tcW w:w="200" w:type="dxa"/>
            <w:vAlign w:val="bottom"/>
          </w:tcPr>
          <w:p>
            <w:pPr>
              <w:spacing w:after="0"/>
              <w:rPr>
                <w:sz w:val="16"/>
                <w:szCs w:val="16"/>
                <w:color w:val="auto"/>
              </w:rPr>
            </w:pPr>
          </w:p>
        </w:tc>
        <w:tc>
          <w:tcPr>
            <w:tcW w:w="13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(14,077)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Decreases</w:t>
            </w:r>
          </w:p>
        </w:tc>
        <w:tc>
          <w:tcPr>
            <w:tcW w:w="14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4,687</w:t>
            </w:r>
          </w:p>
        </w:tc>
        <w:tc>
          <w:tcPr>
            <w:tcW w:w="200" w:type="dxa"/>
            <w:vAlign w:val="bottom"/>
          </w:tcPr>
          <w:p>
            <w:pPr>
              <w:spacing w:after="0"/>
              <w:rPr>
                <w:sz w:val="17"/>
                <w:szCs w:val="17"/>
                <w:color w:val="auto"/>
              </w:rPr>
            </w:pPr>
          </w:p>
        </w:tc>
        <w:tc>
          <w:tcPr>
            <w:tcW w:w="1560" w:type="dxa"/>
            <w:vAlign w:val="bottom"/>
            <w:gridSpan w:val="5"/>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1,651</w:t>
            </w:r>
          </w:p>
        </w:tc>
        <w:tc>
          <w:tcPr>
            <w:tcW w:w="144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36"/>
        </w:trPr>
        <w:tc>
          <w:tcPr>
            <w:tcW w:w="6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(3)</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(5,355)</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(23,139)</w:t>
            </w:r>
          </w:p>
        </w:tc>
        <w:tc>
          <w:tcPr>
            <w:tcW w:w="220" w:type="dxa"/>
            <w:vAlign w:val="bottom"/>
            <w:gridSpan w:val="2"/>
          </w:tcPr>
          <w:p>
            <w:pPr>
              <w:spacing w:after="0"/>
              <w:rPr>
                <w:sz w:val="18"/>
                <w:szCs w:val="18"/>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(12,823)</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0" w:type="dxa"/>
            <w:vAlign w:val="bottom"/>
            <w:vMerge w:val="continue"/>
          </w:tcPr>
          <w:p>
            <w:pPr>
              <w:spacing w:after="0"/>
              <w:rPr>
                <w:sz w:val="15"/>
                <w:szCs w:val="15"/>
                <w:color w:val="auto"/>
              </w:rPr>
            </w:pPr>
          </w:p>
        </w:tc>
        <w:tc>
          <w:tcPr>
            <w:tcW w:w="1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rPr>
              <w:t>(7,418)</w:t>
            </w:r>
          </w:p>
        </w:tc>
        <w:tc>
          <w:tcPr>
            <w:tcW w:w="220" w:type="dxa"/>
            <w:vAlign w:val="bottom"/>
            <w:gridSpan w:val="2"/>
            <w:vMerge w:val="continue"/>
          </w:tcPr>
          <w:p>
            <w:pPr>
              <w:spacing w:after="0"/>
              <w:rPr>
                <w:sz w:val="15"/>
                <w:szCs w:val="15"/>
                <w:color w:val="auto"/>
              </w:rPr>
            </w:pPr>
          </w:p>
        </w:tc>
        <w:tc>
          <w:tcPr>
            <w:tcW w:w="136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(4,390)</w:t>
            </w:r>
          </w:p>
        </w:tc>
        <w:tc>
          <w:tcPr>
            <w:tcW w:w="200" w:type="dxa"/>
            <w:vAlign w:val="bottom"/>
            <w:vMerge w:val="continue"/>
          </w:tcPr>
          <w:p>
            <w:pPr>
              <w:spacing w:after="0"/>
              <w:rPr>
                <w:sz w:val="15"/>
                <w:szCs w:val="15"/>
                <w:color w:val="auto"/>
              </w:rPr>
            </w:pPr>
          </w:p>
        </w:tc>
        <w:tc>
          <w:tcPr>
            <w:tcW w:w="1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rPr>
              <w:t>(11,808)</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Decreases</w:t>
            </w:r>
          </w:p>
        </w:tc>
        <w:tc>
          <w:tcPr>
            <w:tcW w:w="14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9,865</w:t>
            </w:r>
          </w:p>
        </w:tc>
        <w:tc>
          <w:tcPr>
            <w:tcW w:w="200" w:type="dxa"/>
            <w:vAlign w:val="bottom"/>
          </w:tcPr>
          <w:p>
            <w:pPr>
              <w:spacing w:after="0"/>
              <w:rPr>
                <w:sz w:val="17"/>
                <w:szCs w:val="17"/>
                <w:color w:val="auto"/>
              </w:rPr>
            </w:pPr>
          </w:p>
        </w:tc>
        <w:tc>
          <w:tcPr>
            <w:tcW w:w="1560" w:type="dxa"/>
            <w:vAlign w:val="bottom"/>
            <w:gridSpan w:val="5"/>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2,622</w:t>
            </w:r>
          </w:p>
        </w:tc>
        <w:tc>
          <w:tcPr>
            <w:tcW w:w="144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36"/>
        </w:trPr>
        <w:tc>
          <w:tcPr>
            <w:tcW w:w="6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(4)</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(4,809)</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Pr>
          <w:p>
            <w:pPr>
              <w:spacing w:after="0"/>
              <w:rPr>
                <w:sz w:val="20"/>
                <w:szCs w:val="20"/>
                <w:color w:val="auto"/>
              </w:rPr>
            </w:pPr>
          </w:p>
        </w:tc>
        <w:tc>
          <w:tcPr>
            <w:tcW w:w="15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200" w:type="dxa"/>
            <w:vAlign w:val="bottom"/>
          </w:tcPr>
          <w:p>
            <w:pPr>
              <w:spacing w:after="0"/>
              <w:rPr>
                <w:sz w:val="18"/>
                <w:szCs w:val="18"/>
                <w:color w:val="auto"/>
              </w:rPr>
            </w:pPr>
          </w:p>
        </w:tc>
        <w:tc>
          <w:tcPr>
            <w:tcW w:w="1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(13,795)</w:t>
            </w:r>
          </w:p>
        </w:tc>
        <w:tc>
          <w:tcPr>
            <w:tcW w:w="200" w:type="dxa"/>
            <w:vAlign w:val="bottom"/>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0" w:type="dxa"/>
            <w:vAlign w:val="bottom"/>
            <w:vMerge w:val="continue"/>
          </w:tcPr>
          <w:p>
            <w:pPr>
              <w:spacing w:after="0"/>
              <w:rPr>
                <w:sz w:val="16"/>
                <w:szCs w:val="16"/>
                <w:color w:val="auto"/>
              </w:rPr>
            </w:pPr>
          </w:p>
        </w:tc>
        <w:tc>
          <w:tcPr>
            <w:tcW w:w="1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69,434</w:t>
            </w:r>
          </w:p>
        </w:tc>
        <w:tc>
          <w:tcPr>
            <w:tcW w:w="200" w:type="dxa"/>
            <w:vAlign w:val="bottom"/>
          </w:tcPr>
          <w:p>
            <w:pPr>
              <w:spacing w:after="0"/>
              <w:rPr>
                <w:sz w:val="16"/>
                <w:szCs w:val="16"/>
                <w:color w:val="auto"/>
              </w:rPr>
            </w:pPr>
          </w:p>
        </w:tc>
        <w:tc>
          <w:tcPr>
            <w:tcW w:w="156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18,959</w:t>
            </w:r>
          </w:p>
        </w:tc>
        <w:tc>
          <w:tcPr>
            <w:tcW w:w="14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88,393</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200" w:type="dxa"/>
            <w:vAlign w:val="bottom"/>
          </w:tcPr>
          <w:p>
            <w:pPr>
              <w:spacing w:after="0"/>
              <w:rPr>
                <w:sz w:val="18"/>
                <w:szCs w:val="18"/>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14,383</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change of lease term due to the decision to discontinue the construction of the Group’s production facility in Peterborough, UK.</w:t>
      </w:r>
    </w:p>
    <w:p>
      <w:pPr>
        <w:spacing w:after="0" w:line="3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terminated lease contract due to the discontinued construction of the Group’s production facility in Peterborough, UK.</w:t>
      </w:r>
    </w:p>
    <w:p>
      <w:pPr>
        <w:spacing w:after="0" w:line="27" w:lineRule="exact"/>
        <w:rPr>
          <w:rFonts w:ascii="Times New Roman" w:cs="Times New Roman" w:eastAsia="Times New Roman" w:hAnsi="Times New Roman"/>
          <w:sz w:val="18"/>
          <w:szCs w:val="18"/>
          <w:color w:val="auto"/>
        </w:rPr>
      </w:pPr>
    </w:p>
    <w:p>
      <w:pPr>
        <w:ind w:left="520" w:right="60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asset impairment charge of $3.7 million due to the decision to discontinue the construction of the Group’s production facility in Peterborough, UK.</w:t>
      </w:r>
    </w:p>
    <w:p>
      <w:pPr>
        <w:ind w:left="520" w:right="80" w:hanging="512"/>
        <w:spacing w:after="0" w:line="27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asset impairment charge of $3.9 million due to the decision to discontinue the construction of the Group’s second production facility in China (Asia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6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17.3.  Amounts recognized in the consolidated statement of operations</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 charge of right-of-use assets</w:t>
            </w:r>
          </w:p>
        </w:tc>
        <w:tc>
          <w:tcPr>
            <w:tcW w:w="20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4"/>
                <w:szCs w:val="24"/>
                <w:color w:val="auto"/>
              </w:rPr>
            </w:pPr>
          </w:p>
        </w:tc>
        <w:tc>
          <w:tcPr>
            <w:tcW w:w="20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Land and buildings</w:t>
            </w:r>
          </w:p>
        </w:tc>
        <w:tc>
          <w:tcPr>
            <w:tcW w:w="2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(12,227)</w:t>
            </w:r>
          </w:p>
        </w:tc>
        <w:tc>
          <w:tcPr>
            <w:tcW w:w="280" w:type="dxa"/>
            <w:vAlign w:val="bottom"/>
          </w:tcPr>
          <w:p>
            <w:pPr>
              <w:spacing w:after="0"/>
              <w:rPr>
                <w:sz w:val="16"/>
                <w:szCs w:val="16"/>
                <w:color w:val="auto"/>
              </w:rPr>
            </w:pPr>
          </w:p>
        </w:tc>
        <w:tc>
          <w:tcPr>
            <w:tcW w:w="2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(14,276)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(16,617)</w:t>
            </w:r>
          </w:p>
        </w:tc>
        <w:tc>
          <w:tcPr>
            <w:tcW w:w="28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(included in finance expenses)</w:t>
            </w: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20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(4,682)</w:t>
            </w:r>
          </w:p>
        </w:tc>
        <w:tc>
          <w:tcPr>
            <w:tcW w:w="280" w:type="dxa"/>
            <w:vAlign w:val="bottom"/>
            <w:vMerge w:val="continue"/>
          </w:tcPr>
          <w:p>
            <w:pPr>
              <w:spacing w:after="0"/>
              <w:rPr>
                <w:sz w:val="15"/>
                <w:szCs w:val="15"/>
                <w:color w:val="auto"/>
              </w:rPr>
            </w:pPr>
          </w:p>
        </w:tc>
        <w:tc>
          <w:tcPr>
            <w:tcW w:w="20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(6,779)</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low-value assets that are not shown above as short-term</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cash outflow for leases in 2024 was $24.5 million (2023: 19.4 million).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December 31, 2024, but the Group is committed to:</w:t>
      </w:r>
    </w:p>
    <w:p>
      <w:pPr>
        <w:spacing w:after="0" w:line="117" w:lineRule="exact"/>
        <w:rPr>
          <w:sz w:val="20"/>
          <w:szCs w:val="20"/>
          <w:color w:val="auto"/>
        </w:rPr>
      </w:pPr>
    </w:p>
    <w:p>
      <w:pPr>
        <w:ind w:left="1020" w:right="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$3.5 million for a term of six years. The lease will commence during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18.</w:t>
            </w:r>
          </w:p>
        </w:tc>
        <w:tc>
          <w:tcPr>
            <w:tcW w:w="7780" w:type="dxa"/>
            <w:vAlign w:val="bottom"/>
            <w:gridSpan w:val="2"/>
          </w:tcPr>
          <w:p>
            <w:pPr>
              <w:jc w:val="right"/>
              <w:ind w:right="5360"/>
              <w:spacing w:after="0"/>
              <w:rPr>
                <w:sz w:val="20"/>
                <w:szCs w:val="20"/>
                <w:color w:val="auto"/>
              </w:rPr>
            </w:pPr>
            <w:r>
              <w:rPr>
                <w:rFonts w:ascii="Times New Roman" w:cs="Times New Roman" w:eastAsia="Times New Roman" w:hAnsi="Times New Roman"/>
                <w:sz w:val="18"/>
                <w:szCs w:val="18"/>
                <w:b w:val="1"/>
                <w:bCs w:val="1"/>
                <w:color w:val="auto"/>
              </w:rPr>
              <w:t>Other non-current receivables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940" w:type="dxa"/>
            <w:vAlign w:val="bottom"/>
          </w:tcPr>
          <w:p>
            <w:pPr>
              <w:spacing w:after="0"/>
              <w:rPr>
                <w:sz w:val="24"/>
                <w:szCs w:val="24"/>
                <w:color w:val="auto"/>
              </w:rPr>
            </w:pPr>
          </w:p>
        </w:tc>
        <w:tc>
          <w:tcPr>
            <w:tcW w:w="7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Promissory note</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24,867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22,093</w:t>
            </w:r>
          </w:p>
        </w:tc>
        <w:tc>
          <w:tcPr>
            <w:tcW w:w="20" w:type="dxa"/>
            <w:vAlign w:val="bottom"/>
          </w:tcPr>
          <w:p>
            <w:pPr>
              <w:spacing w:after="0"/>
              <w:rPr>
                <w:sz w:val="16"/>
                <w:szCs w:val="16"/>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14,634</w:t>
            </w:r>
          </w:p>
        </w:tc>
        <w:tc>
          <w:tcPr>
            <w:tcW w:w="1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15,782</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6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r>
      <w:tr>
        <w:trPr>
          <w:trHeight w:val="234"/>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3,615</w:t>
            </w: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7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44,331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44,378</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(respectively, the “Ogden Facility” and the “Dallas-Fort Worth Facility,” and together, the “Facilities”), to YYF. The note has a maturity date of May 31, 2028. The nominal interest rate is 8% for the first year and then increases by 200 basis points each year. The interest is capitalized semi-annually, and the effective interest rate is 12.56%.</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Facilities due to the YYF Transaction. Due to the decision to discontinue the construction of the production facility in Dallas-Fort Worth, Texas, an impairment charge of $2.5 million was recorded during the year ended December 31, 2023. The impairment charge was included in Other operating income and (expenses), net in the consolidated statement of operations.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YYF Transaction, see Note 35 </w:t>
      </w:r>
      <w:r>
        <w:rPr>
          <w:rFonts w:ascii="Times New Roman" w:cs="Times New Roman" w:eastAsia="Times New Roman" w:hAnsi="Times New Roman"/>
          <w:sz w:val="18"/>
          <w:szCs w:val="18"/>
          <w:i w:val="1"/>
          <w:iCs w:val="1"/>
          <w:color w:val="auto"/>
        </w:rPr>
        <w:t>Non-current assets held for sale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19.</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instruments per category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through</w:t>
            </w:r>
          </w:p>
        </w:tc>
        <w:tc>
          <w:tcPr>
            <w:tcW w:w="25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0" w:type="dxa"/>
            <w:vAlign w:val="bottom"/>
          </w:tcPr>
          <w:p>
            <w:pPr>
              <w:spacing w:after="0"/>
              <w:rPr>
                <w:sz w:val="1"/>
                <w:szCs w:val="1"/>
                <w:color w:val="auto"/>
              </w:rPr>
            </w:pPr>
          </w:p>
        </w:tc>
      </w:t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 in the consolidated statement of financial position</w:t>
            </w:r>
          </w:p>
        </w:tc>
        <w:tc>
          <w:tcPr>
            <w:tcW w:w="120" w:type="dxa"/>
            <w:vAlign w:val="bottom"/>
          </w:tcPr>
          <w:p>
            <w:pPr>
              <w:spacing w:after="0"/>
              <w:rPr>
                <w:sz w:val="15"/>
                <w:szCs w:val="15"/>
                <w:color w:val="auto"/>
              </w:rPr>
            </w:pPr>
          </w:p>
        </w:tc>
        <w:tc>
          <w:tcPr>
            <w:tcW w:w="1760" w:type="dxa"/>
            <w:vAlign w:val="bottom"/>
            <w:gridSpan w:val="4"/>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44,206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43,351</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103,366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112,951</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8,297</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22,764</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20"/>
                <w:szCs w:val="20"/>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98,923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249,299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254,792</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through</w:t>
            </w:r>
          </w:p>
        </w:tc>
        <w:tc>
          <w:tcPr>
            <w:tcW w:w="25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0" w:type="dxa"/>
            <w:vAlign w:val="bottom"/>
          </w:tcPr>
          <w:p>
            <w:pPr>
              <w:spacing w:after="0"/>
              <w:rPr>
                <w:sz w:val="1"/>
                <w:szCs w:val="1"/>
                <w:color w:val="auto"/>
              </w:rPr>
            </w:pPr>
          </w:p>
        </w:tc>
      </w:t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in the consolidated statement of financial position</w:t>
            </w:r>
          </w:p>
        </w:tc>
        <w:tc>
          <w:tcPr>
            <w:tcW w:w="120" w:type="dxa"/>
            <w:vAlign w:val="bottom"/>
          </w:tcPr>
          <w:p>
            <w:pPr>
              <w:spacing w:after="0"/>
              <w:rPr>
                <w:sz w:val="15"/>
                <w:szCs w:val="15"/>
                <w:color w:val="auto"/>
              </w:rPr>
            </w:pPr>
          </w:p>
        </w:tc>
        <w:tc>
          <w:tcPr>
            <w:tcW w:w="1760" w:type="dxa"/>
            <w:vAlign w:val="bottom"/>
            <w:gridSpan w:val="4"/>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324,395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323,528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121,973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120,305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Pr>
          <w:p>
            <w:pPr>
              <w:spacing w:after="0"/>
              <w:rPr>
                <w:sz w:val="18"/>
                <w:szCs w:val="18"/>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60,152</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64,368</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0"/>
                <w:szCs w:val="20"/>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79,435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90,692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324,397</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261,560</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change in fair value recorded in the profit and loss for 2024 was a gain of $31.3 million (2023: gain of $97.1 million), consisting primarily of fair value changes on Convertible Notes. The fair value changes are included in Finance income and (expenses), net in the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Level 1: 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Level 2: 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Level 3: If one or more of the significant inputs is not based on observable market data, the instrument is included in Level 3. This is the case for unlisted equity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15"/>
                <w:szCs w:val="15"/>
                <w:color w:val="auto"/>
              </w:rPr>
            </w:pPr>
          </w:p>
        </w:tc>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1"/>
        </w:trPr>
        <w:tc>
          <w:tcPr>
            <w:tcW w:w="6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2023</w:t>
            </w:r>
          </w:p>
        </w:tc>
        <w:tc>
          <w:tcPr>
            <w:tcW w:w="120" w:type="dxa"/>
            <w:vAlign w:val="bottom"/>
          </w:tcPr>
          <w:p>
            <w:pPr>
              <w:spacing w:after="0"/>
              <w:rPr>
                <w:sz w:val="24"/>
                <w:szCs w:val="24"/>
                <w:color w:val="auto"/>
              </w:rPr>
            </w:pPr>
          </w:p>
        </w:tc>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1"/>
        </w:trPr>
        <w:tc>
          <w:tcPr>
            <w:tcW w:w="6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2024 and 2023.</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until December 31, 2024. See Note 18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26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6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Issues of Convertible Notes</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324,950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(74,078)</w:t>
            </w: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other comprehensive loss</w:t>
            </w: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520" w:type="dxa"/>
            <w:vAlign w:val="bottom"/>
          </w:tcPr>
          <w:p>
            <w:pPr>
              <w:spacing w:after="0"/>
              <w:rPr>
                <w:sz w:val="24"/>
                <w:szCs w:val="24"/>
                <w:color w:val="auto"/>
              </w:rPr>
            </w:pPr>
          </w:p>
        </w:tc>
        <w:tc>
          <w:tcPr>
            <w:tcW w:w="2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Carrying amount</w:t>
            </w:r>
          </w:p>
        </w:tc>
        <w:tc>
          <w:tcPr>
            <w:tcW w:w="18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324,395</w:t>
            </w:r>
          </w:p>
        </w:tc>
        <w:tc>
          <w:tcPr>
            <w:tcW w:w="220" w:type="dxa"/>
            <w:vAlign w:val="bottom"/>
          </w:tcPr>
          <w:p>
            <w:pPr>
              <w:spacing w:after="0"/>
              <w:rPr>
                <w:sz w:val="17"/>
                <w:szCs w:val="17"/>
                <w:color w:val="auto"/>
              </w:rPr>
            </w:pPr>
          </w:p>
        </w:tc>
        <w:tc>
          <w:tcPr>
            <w:tcW w:w="15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323,528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Includes: Cumulative fair value changes on Convertible Notes attributable to changes in credit risk,</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the fair value reserve</w:t>
            </w:r>
          </w:p>
        </w:tc>
        <w:tc>
          <w:tcPr>
            <w:tcW w:w="2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2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(223,314)</w:t>
            </w:r>
          </w:p>
        </w:tc>
        <w:tc>
          <w:tcPr>
            <w:tcW w:w="0" w:type="dxa"/>
            <w:vAlign w:val="bottom"/>
          </w:tcPr>
          <w:p>
            <w:pPr>
              <w:spacing w:after="0"/>
              <w:rPr>
                <w:sz w:val="1"/>
                <w:szCs w:val="1"/>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2040" w:type="dxa"/>
            <w:vAlign w:val="bottom"/>
            <w:gridSpan w:val="3"/>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Conversion price ($)</w:t>
            </w:r>
            <w:r>
              <w:rPr>
                <w:rFonts w:ascii="Times New Roman" w:cs="Times New Roman" w:eastAsia="Times New Roman" w:hAnsi="Times New Roman"/>
                <w:sz w:val="24"/>
                <w:szCs w:val="24"/>
                <w:color w:val="auto"/>
                <w:vertAlign w:val="superscript"/>
              </w:rPr>
              <w:t>(1)</w:t>
            </w:r>
          </w:p>
        </w:tc>
        <w:tc>
          <w:tcPr>
            <w:tcW w:w="16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1.36-1.89</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1.36-2.52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0.6628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 share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bl>
    <w:p>
      <w:pPr>
        <w:jc w:val="both"/>
        <w:ind w:firstLine="8"/>
        <w:spacing w:after="0" w:line="255" w:lineRule="auto"/>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Convertible Notes are convertible at the option of each holder at a conversion price of $1.81-1.89 per ordinary share or per ADS, subject to customary anti-dilution adjustments and a conversion rate reset on March 23, 2025. For further details on the Convertible Notes and the conversion price reset mechanism, see Note 28 </w:t>
      </w:r>
      <w:r>
        <w:rPr>
          <w:rFonts w:ascii="Times New Roman" w:cs="Times New Roman" w:eastAsia="Times New Roman" w:hAnsi="Times New Roman"/>
          <w:sz w:val="18"/>
          <w:szCs w:val="18"/>
          <w:i w:val="1"/>
          <w:iCs w:val="1"/>
          <w:color w:val="auto"/>
        </w:rPr>
        <w:t>Convertible Notes.</w:t>
      </w:r>
    </w:p>
    <w:p>
      <w:pPr>
        <w:spacing w:after="0" w:line="18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7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Share price decrease 30%</w:t>
            </w:r>
          </w:p>
        </w:tc>
        <w:tc>
          <w:tcPr>
            <w:tcW w:w="9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303,849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284,266</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price increase 30%</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346,372</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357,969</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319,311</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313,437</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329,108</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333,614</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323,810</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321,889</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324,954</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325,089</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333,154</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332,199</w:t>
            </w:r>
          </w:p>
        </w:tc>
      </w:tr>
      <w:tr>
        <w:trPr>
          <w:trHeight w:val="23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315,973</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315,256</w:t>
            </w:r>
          </w:p>
        </w:tc>
      </w:tr>
      <w:tr>
        <w:trPr>
          <w:trHeight w:val="540"/>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w:t>
            </w:r>
          </w:p>
        </w:tc>
        <w:tc>
          <w:tcPr>
            <w:tcW w:w="7800" w:type="dxa"/>
            <w:vAlign w:val="bottom"/>
            <w:gridSpan w:val="3"/>
          </w:tcPr>
          <w:p>
            <w:pPr>
              <w:jc w:val="right"/>
              <w:ind w:right="67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7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Raw materials and consumables</w:t>
            </w:r>
          </w:p>
        </w:tc>
        <w:tc>
          <w:tcPr>
            <w:tcW w:w="980" w:type="dxa"/>
            <w:vAlign w:val="bottom"/>
            <w:tcBorders>
              <w:top w:val="single" w:sz="8" w:color="auto"/>
            </w:tcBorders>
            <w:gridSpan w:val="2"/>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12,565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16,500</w:t>
            </w:r>
          </w:p>
        </w:tc>
        <w:tc>
          <w:tcPr>
            <w:tcW w:w="20" w:type="dxa"/>
            <w:vAlign w:val="bottom"/>
          </w:tcPr>
          <w:p>
            <w:pPr>
              <w:spacing w:after="0"/>
              <w:rPr>
                <w:sz w:val="16"/>
                <w:szCs w:val="16"/>
                <w:color w:val="auto"/>
              </w:rPr>
            </w:pPr>
          </w:p>
        </w:tc>
      </w:tr>
      <w:tr>
        <w:trPr>
          <w:trHeight w:val="23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20" w:type="dxa"/>
            <w:vAlign w:val="bottom"/>
          </w:tcPr>
          <w:p>
            <w:pPr>
              <w:spacing w:after="0"/>
              <w:rPr>
                <w:sz w:val="20"/>
                <w:szCs w:val="20"/>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51,382</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65,602</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67,882</w:t>
            </w:r>
          </w:p>
        </w:tc>
        <w:tc>
          <w:tcPr>
            <w:tcW w:w="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Inventories recognized as an expense during the year ended December 31, 2024 amounted to $555.7 million (2023: $599.0 million) and were included in cost of goods sold in the consolidated statement of operations.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during the year ended December 31, 2024 amounted to $3.1 million (2023: $17.0 million). The write-downs were recognized as an expense during the years ended December 31, 2024 and 2023 and included in cost of goods sold in the consolidated statement of operations.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7800" w:type="dxa"/>
            <w:vAlign w:val="bottom"/>
            <w:gridSpan w:val="2"/>
          </w:tcPr>
          <w:p>
            <w:pPr>
              <w:jc w:val="right"/>
              <w:ind w:right="628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7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Trade receivables</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104,144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114,171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vMerge w:val="restart"/>
          </w:tcPr>
          <w:p>
            <w:pPr>
              <w:jc w:val="right"/>
              <w:ind w:right="1896"/>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EUR</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31,660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31,523</w:t>
            </w:r>
          </w:p>
        </w:tc>
        <w:tc>
          <w:tcPr>
            <w:tcW w:w="20" w:type="dxa"/>
            <w:vAlign w:val="bottom"/>
          </w:tcPr>
          <w:p>
            <w:pPr>
              <w:spacing w:after="0"/>
              <w:rPr>
                <w:sz w:val="16"/>
                <w:szCs w:val="16"/>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29,931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27,828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19,670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20,909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13,616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SEK</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2,701</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5,939</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5,788</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7,307</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112,951</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more information on aging schedule and the allowance for expected credit losses, please see Note 3.1.2 </w:t>
      </w: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22.</w:t>
            </w:r>
          </w:p>
        </w:tc>
        <w:tc>
          <w:tcPr>
            <w:tcW w:w="7840" w:type="dxa"/>
            <w:vAlign w:val="bottom"/>
            <w:gridSpan w:val="2"/>
          </w:tcPr>
          <w:p>
            <w:pPr>
              <w:jc w:val="right"/>
              <w:ind w:right="5720"/>
              <w:spacing w:after="0"/>
              <w:rPr>
                <w:sz w:val="20"/>
                <w:szCs w:val="20"/>
                <w:color w:val="auto"/>
              </w:rPr>
            </w:pPr>
            <w:r>
              <w:rPr>
                <w:rFonts w:ascii="Times New Roman" w:cs="Times New Roman" w:eastAsia="Times New Roman" w:hAnsi="Times New Roman"/>
                <w:sz w:val="18"/>
                <w:szCs w:val="18"/>
                <w:b w:val="1"/>
                <w:bCs w:val="1"/>
                <w:color w:val="auto"/>
              </w:rPr>
              <w:t>Other current receivables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880" w:type="dxa"/>
            <w:vAlign w:val="bottom"/>
          </w:tcPr>
          <w:p>
            <w:pPr>
              <w:spacing w:after="0"/>
              <w:rPr>
                <w:sz w:val="24"/>
                <w:szCs w:val="24"/>
                <w:color w:val="auto"/>
              </w:rPr>
            </w:pPr>
          </w:p>
        </w:tc>
        <w:tc>
          <w:tcPr>
            <w:tcW w:w="7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Value added tax</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8,954</w:t>
            </w:r>
          </w:p>
        </w:tc>
        <w:tc>
          <w:tcPr>
            <w:tcW w:w="20" w:type="dxa"/>
            <w:vAlign w:val="bottom"/>
          </w:tcPr>
          <w:p>
            <w:pPr>
              <w:spacing w:after="0"/>
              <w:rPr>
                <w:sz w:val="16"/>
                <w:szCs w:val="16"/>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derivatives</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22,221</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15,738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33,820</w:t>
            </w:r>
          </w:p>
        </w:tc>
        <w:tc>
          <w:tcPr>
            <w:tcW w:w="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2023, other included a receivable of $12.2 million related to production equipment returned to a supplier due to the decision to discontinue the construction of the production facility in Peterborough, UK. The receivable was settled during the year ended December 31, 2024.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YYF Transaction, see Note 35 </w:t>
      </w:r>
      <w:r>
        <w:rPr>
          <w:rFonts w:ascii="Times New Roman" w:cs="Times New Roman" w:eastAsia="Times New Roman" w:hAnsi="Times New Roman"/>
          <w:sz w:val="18"/>
          <w:szCs w:val="18"/>
          <w:i w:val="1"/>
          <w:iCs w:val="1"/>
          <w:color w:val="auto"/>
        </w:rPr>
        <w:t>Non-current assets held for sale.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23.</w:t>
            </w:r>
          </w:p>
        </w:tc>
        <w:tc>
          <w:tcPr>
            <w:tcW w:w="7880" w:type="dxa"/>
            <w:vAlign w:val="bottom"/>
            <w:gridSpan w:val="2"/>
          </w:tcPr>
          <w:p>
            <w:pPr>
              <w:jc w:val="right"/>
              <w:ind w:right="6400"/>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880" w:type="dxa"/>
            <w:vAlign w:val="bottom"/>
          </w:tcPr>
          <w:p>
            <w:pPr>
              <w:spacing w:after="0"/>
              <w:rPr>
                <w:sz w:val="24"/>
                <w:szCs w:val="24"/>
                <w:color w:val="auto"/>
              </w:rPr>
            </w:pPr>
          </w:p>
        </w:tc>
        <w:tc>
          <w:tcPr>
            <w:tcW w:w="7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Prepaid financing expenses</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2,312</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4,006</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selling and marketing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insurance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10,715</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9,402</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16,928</w:t>
            </w: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consolidated statement of financial position and the consolidated statement of cash flows include the following items in “cash and cash equivalents”: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Short-term deposits</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170,000</w:t>
            </w:r>
          </w:p>
        </w:tc>
        <w:tc>
          <w:tcPr>
            <w:tcW w:w="20" w:type="dxa"/>
            <w:vAlign w:val="bottom"/>
          </w:tcPr>
          <w:p>
            <w:pPr>
              <w:spacing w:after="0"/>
              <w:rPr>
                <w:sz w:val="16"/>
                <w:szCs w:val="16"/>
                <w:color w:val="auto"/>
              </w:rPr>
            </w:pP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58,923</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79,299</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98,923</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249,299</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Short-term deposits are time deposits and structured deposits, with maturities of 1 to 3 months. The expected change in value is assessed as insignificant since the amount received cannot be less than the amount deposited.</w:t>
      </w:r>
    </w:p>
    <w:p>
      <w:pPr>
        <w:spacing w:after="0" w:line="26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69,497 thousand warrants to secure the future delivery of shares under the 2021 Plan. During May 2024, the Company exercised 3,667 thousand warrants (May 2023: 2,882 thousand warrants, May 2022: 650 thousand warrants). As of December 31, 2024 and 2023, there were 62,298 thousand and 65,965 thousand warrants outstanding, respectively.</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Upon exercise of the warrants in May 2024, 3,667 thousand ordinary shares were allotted and issued, and 2,910 thousand ordinary shares were converted to American Depositary Shares to be delivered to participants under the 2021 Incentive Award Plan related to the vesting of the May 2021, May 2022, May 2023 and July 2023 grants. In November 2024, an additional 590 thousand were converted to American Depositary Shares to be delivered to participants under the 2021 Incentive Award Plan related to the vesting of the November 2021, November 2022 and May 2023 grants. The remaining balance is held as treasury shares to enable the Company’s timely delivery of shares upon the exercise of outstanding share options and to meet future vesting of the RSUs.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598,560 thousand and 595,060 thousand ordinary shares were outstanding, respectively, and the par value per share was $0.00018 (SEK 0.0015). The Company had 417 thousand treasury shares as of December 31, 2024 and 249 thousand treasury shares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other contributed capital of $1,628.0 million consists of share premium, shareholders contribution and proceeds from warrant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2023, other reserves of $(233.2) million consists of fair value reserve of $(72.7) million related to fair value gains and losses on the Convertible Notes attributable to changes in the Group’s credit risk, and foreign currency translation reserve of $(160.5)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accumulated deficit of $(1,249.3) million and $(1,061.0) million, respectively, consists of accumulated losses and share-based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2024, non-controlling interests amounted to $1.4 million.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7800" w:type="dxa"/>
            <w:vAlign w:val="bottom"/>
            <w:gridSpan w:val="2"/>
          </w:tcPr>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Liabilities to credit institutions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880" w:type="dxa"/>
            <w:vAlign w:val="bottom"/>
          </w:tcPr>
          <w:p>
            <w:pPr>
              <w:spacing w:after="0"/>
              <w:rPr>
                <w:sz w:val="24"/>
                <w:szCs w:val="24"/>
                <w:color w:val="auto"/>
              </w:rPr>
            </w:pPr>
          </w:p>
        </w:tc>
        <w:tc>
          <w:tcPr>
            <w:tcW w:w="7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116,216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114,249</w:t>
            </w:r>
          </w:p>
        </w:tc>
        <w:tc>
          <w:tcPr>
            <w:tcW w:w="20" w:type="dxa"/>
            <w:vAlign w:val="bottom"/>
          </w:tcPr>
          <w:p>
            <w:pPr>
              <w:spacing w:after="0"/>
              <w:rPr>
                <w:sz w:val="16"/>
                <w:szCs w:val="16"/>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 to credit institutions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5,757</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6,056</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120,305</w:t>
            </w:r>
          </w:p>
        </w:tc>
        <w:tc>
          <w:tcPr>
            <w:tcW w:w="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Liabilities to credit institutions balance amounted to $122.0 million and $120.3 million, respectively, and was related to outstanding amounts under the TLB Credit Agreement (as defined below) and the EIF Facility (as defined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European Investment Fund guaranteed three-year term loan facility with Svensk Exportkredit (the “EIF Facility”) was entered into in October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In October 2022, the EIF Facility was amended to extend the term for another three years, with a maturity date in</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October 2025. The loan facility and interest margin remained unchanged. As of December 31, 2024 and December 31, 2023, the Group had €1.3 million (equivalent of $1.3 million) and €2.5 million (equivalent of $2.8 million), respectively, outstanding on the EIF Facility, including accrued interest.</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April 2023, the Company entered into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December 31, 2024, and December 31, 2023, the Group had $120.7 million and $117.5 million, respectively, outstanding under the TLB Credit Agreement, including accrued interest and net after original issue discount and transaction costs.</w:t>
      </w:r>
    </w:p>
    <w:p>
      <w:pPr>
        <w:spacing w:after="0" w:line="194"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8"/>
          <w:szCs w:val="18"/>
          <w:color w:val="auto"/>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December 31, 2024 and December 31, 2023, the Group had no utilized loan amounts under the amended SRCF Agreement.</w:t>
      </w:r>
    </w:p>
    <w:p>
      <w:pPr>
        <w:spacing w:after="0" w:line="188"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8"/>
          <w:szCs w:val="18"/>
          <w:color w:val="auto"/>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28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more information on the Company’s Convertible Notes.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2" w:lineRule="auto"/>
        <w:tabs>
          <w:tab w:leader="none" w:pos="2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changes in facilities and borrowings after the reporting period, see Note 36 </w:t>
      </w:r>
      <w:r>
        <w:rPr>
          <w:rFonts w:ascii="Times New Roman" w:cs="Times New Roman" w:eastAsia="Times New Roman" w:hAnsi="Times New Roman"/>
          <w:sz w:val="18"/>
          <w:szCs w:val="18"/>
          <w:i w:val="1"/>
          <w:iCs w:val="1"/>
          <w:color w:val="auto"/>
        </w:rPr>
        <w:t>Events after the end of the reporting period.</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 EIF Facility, TLB Credit Agreement and the SRCF Agreement benefit from the same guarantees. Refer to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minimum EBITDA covenant that applies to the TLB Credit Agreement, the SRCF Agreement and the EIF Facility is tested in respect of the LTM period ending on each quarter date. Minimum liquidity that applies to the TLB Credit Agreement, the SRCF Agreement and the EIF Facility and the tangible solvency ratio applying to the SRCF Agreement and the EIF Facility are tested on each quarter date.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27.</w:t>
            </w: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0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Decommissioning</w:t>
            </w:r>
          </w:p>
        </w:tc>
        <w:tc>
          <w:tcPr>
            <w:tcW w:w="10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Legal settlement</w:t>
            </w: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35,263</w:t>
            </w:r>
          </w:p>
        </w:tc>
        <w:tc>
          <w:tcPr>
            <w:tcW w:w="120" w:type="dxa"/>
            <w:vAlign w:val="bottom"/>
          </w:tcPr>
          <w:p>
            <w:pPr>
              <w:spacing w:after="0"/>
              <w:rPr>
                <w:sz w:val="16"/>
                <w:szCs w:val="16"/>
                <w:color w:val="auto"/>
              </w:rPr>
            </w:pPr>
          </w:p>
        </w:tc>
        <w:tc>
          <w:tcPr>
            <w:tcW w:w="14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1,531</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9,250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(36,896)</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differences</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w:t>
            </w:r>
          </w:p>
        </w:tc>
        <w:tc>
          <w:tcPr>
            <w:tcW w:w="5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60" w:type="dxa"/>
            <w:vAlign w:val="bottom"/>
            <w:vMerge w:val="continue"/>
          </w:tcPr>
          <w:p>
            <w:pPr>
              <w:spacing w:after="0"/>
              <w:rPr>
                <w:sz w:val="15"/>
                <w:szCs w:val="15"/>
                <w:color w:val="auto"/>
              </w:rPr>
            </w:pPr>
          </w:p>
        </w:tc>
        <w:tc>
          <w:tcPr>
            <w:tcW w:w="5640" w:type="dxa"/>
            <w:vAlign w:val="bottom"/>
          </w:tcPr>
          <w:p>
            <w:pPr>
              <w:spacing w:after="0"/>
              <w:rPr>
                <w:sz w:val="15"/>
                <w:szCs w:val="15"/>
                <w:color w:val="auto"/>
              </w:rPr>
            </w:pPr>
          </w:p>
        </w:tc>
        <w:tc>
          <w:tcPr>
            <w:tcW w:w="13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14,857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56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firstLine="449"/>
        <w:spacing w:after="0" w:line="274" w:lineRule="auto"/>
        <w:rPr>
          <w:sz w:val="20"/>
          <w:szCs w:val="20"/>
          <w:color w:val="auto"/>
        </w:rPr>
      </w:pPr>
      <w:r>
        <w:rPr>
          <w:rFonts w:ascii="Times New Roman" w:cs="Times New Roman" w:eastAsia="Times New Roman" w:hAnsi="Times New Roman"/>
          <w:sz w:val="18"/>
          <w:szCs w:val="18"/>
          <w:color w:val="auto"/>
        </w:rPr>
        <w:t>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organizational restructuring plan was drawn up and announced to the employees during 2024.</w:t>
      </w:r>
    </w:p>
    <w:p>
      <w:pPr>
        <w:spacing w:after="0" w:line="16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had $29.7 million in cash outflows primarily relating to the continued exit of the production facility in Peterborough, UK.</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restructuring provision recorded in 2023 related principally to decommissioning and other exit costs for the discontinued construction of the production facilities in Peterborough, UK and Dallas-Fort Worth,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Decommissioning</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 provision recognized for decommissioning costs which relates to restoration costs for leased production facilities. The decommissioning was settled at the end of the 2024 due to the closure of the Group’s production facility in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 legal settlement provision recognized in 2023 was paid during the second quarter of 2024. For information regarding the legal settlement, see Note 34 </w:t>
      </w:r>
      <w:r>
        <w:rPr>
          <w:rFonts w:ascii="Times New Roman" w:cs="Times New Roman" w:eastAsia="Times New Roman" w:hAnsi="Times New Roman"/>
          <w:sz w:val="18"/>
          <w:szCs w:val="18"/>
          <w:i w:val="1"/>
          <w:iCs w:val="1"/>
          <w:color w:val="auto"/>
        </w:rPr>
        <w:t>Commitments and contingencies.</w:t>
      </w:r>
    </w:p>
    <w:p>
      <w:pPr>
        <w:spacing w:after="0" w:line="37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(the notes issued on March 23, 2023, the “U.S. Notes” and the notes issued on April 18, 2023, the “Swedish Notes”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Company’s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As a result of the ADS Ratio Change, the conversion price of the U.S. Notes was proportionately adjusted from $1.81 to $36.20. The conversion price of the U.S. Notes may be reset again on March 23, 2025, if the average of the daily volume-weighted average prices of the ADSs for the 30 consecutive trading days immediately preceding March 23, 2025, times 1.17 is below $36.20. The conversion price of the U.S. Notes, before considering customary anti-dilution adjustments, cannot be reset to lower than $27.20 on March 23, 2025.</w:t>
      </w:r>
    </w:p>
    <w:p>
      <w:pPr>
        <w:spacing w:after="0" w:line="18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will interpret the definition of “Daily VWAP” therein to assume the trading price of 1/20 of an ADS. The conversion price of the Swedish Notes may be reset again on March 23, 2025, if the “Daily VWAP” of 1/20 of an ADS for the 30 consecutive trading days immediately preceding March 23, 2025, times 1.17 is below $1.81. The conversion price of the Swedish Notes, before considering customary anti-dilution adjustments, cannot be reset to lower than $1.36 on March 23, 2025.</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its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the Intercreditor Agreement which includes customary ranking, enforcement and turnover provisions intended to govern the relationship between the creditor groups and which affect e.g. the Convertible Notes.</w:t>
      </w:r>
    </w:p>
    <w:p>
      <w:pPr>
        <w:spacing w:after="0" w:line="16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1" w:lineRule="auto"/>
        <w:tabs>
          <w:tab w:leader="none" w:pos="3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may be reset again on March 23, 2025, if the average of the daily volume-weighted average prices of the ADSs for the 30 consecutive trading days immediately preceding March 23, 2025, times 1.17 is below $37.80. The conversion price of the HH Notes, before considering customary anti-dilution adjustments, cannot be reset to lower than $28.20 on March 23, 2025. 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9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19 </w:t>
      </w:r>
      <w:r>
        <w:rPr>
          <w:rFonts w:ascii="Times New Roman" w:cs="Times New Roman" w:eastAsia="Times New Roman" w:hAnsi="Times New Roman"/>
          <w:sz w:val="18"/>
          <w:szCs w:val="18"/>
          <w:i w:val="1"/>
          <w:iCs w:val="1"/>
          <w:color w:val="auto"/>
        </w:rPr>
        <w:t>Financial instruments per category.</w:t>
      </w:r>
    </w:p>
    <w:p>
      <w:pPr>
        <w:spacing w:after="0" w:line="115"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3"/>
        </w:trPr>
        <w:tc>
          <w:tcPr>
            <w:tcW w:w="8760" w:type="dxa"/>
            <w:vAlign w:val="bottom"/>
            <w:gridSpan w:val="2"/>
          </w:tcPr>
          <w:p>
            <w:pPr>
              <w:ind w:left="8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Value added tax</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5,290</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10,203</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withholding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13,873</w:t>
            </w: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7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Accrued variable consideration</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24,549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19,649</w:t>
            </w:r>
          </w:p>
        </w:tc>
        <w:tc>
          <w:tcPr>
            <w:tcW w:w="20" w:type="dxa"/>
            <w:vAlign w:val="bottom"/>
          </w:tcPr>
          <w:p>
            <w:pPr>
              <w:spacing w:after="0"/>
              <w:rPr>
                <w:sz w:val="16"/>
                <w:szCs w:val="16"/>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24,284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30,646</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12,701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26,140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10,762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9,218</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10,050</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22,205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25,535</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103,719</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121,338</w:t>
            </w:r>
          </w:p>
        </w:tc>
        <w:tc>
          <w:tcPr>
            <w:tcW w:w="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31.</w:t>
            </w:r>
          </w:p>
        </w:tc>
        <w:tc>
          <w:tcPr>
            <w:tcW w:w="7800" w:type="dxa"/>
            <w:vAlign w:val="bottom"/>
            <w:gridSpan w:val="2"/>
          </w:tcPr>
          <w:p>
            <w:pPr>
              <w:jc w:val="right"/>
              <w:ind w:right="5720"/>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Entity with significant influence over the Group</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CR Verlinvest Health Investment Limited (Org No 2380741), headquartered in Hong Kong, the People’s Republic of China, owns 45.4% of the ordinary shares in the Group (2023: 45.7%). Related parties are CR Verlinvest Health Investment Limited and its subsidiaries, as well as the Board of Directors and key management (senior executives and their associates) in the Group. Information about key management compensation is found in Note 8 </w:t>
      </w:r>
      <w:r>
        <w:rPr>
          <w:rFonts w:ascii="Times New Roman" w:cs="Times New Roman" w:eastAsia="Times New Roman" w:hAnsi="Times New Roman"/>
          <w:sz w:val="18"/>
          <w:szCs w:val="18"/>
          <w:i w:val="1"/>
          <w:iCs w:val="1"/>
          <w:color w:val="auto"/>
        </w:rPr>
        <w:t>Employee and personnel costs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Interests in subsidiaries are set out in Note 14 </w:t>
      </w:r>
      <w:r>
        <w:rPr>
          <w:rFonts w:ascii="Times New Roman" w:cs="Times New Roman" w:eastAsia="Times New Roman" w:hAnsi="Times New Roman"/>
          <w:sz w:val="18"/>
          <w:szCs w:val="18"/>
          <w:i w:val="1"/>
          <w:iCs w:val="1"/>
          <w:color w:val="auto"/>
        </w:rPr>
        <w:t>Investments in subsidiaries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2024, $1.4 million (2023: $1.0 million) has been recognized in the consolidated statement of operations for compensation to the Board of Directors.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Oatly expensed $1.2 million (2023: $1.1 million) pursuant to a Distribution Agreement with the distribution company Chef Sam, of which Bernard Hours, a member of the Board of Directors, was a 33% owner prior to divesting such ownership interest during the third quarter of 2024.</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S.A, with a fair value of $174.0 million. As of December 31, 2024, the fair value of the outstanding Convertible Notes to related parties amounted to $158.9 million. The Convertible Notes were issued with the terms and conditions described in Note 28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2" w:name="page63"/>
    <w:bookmarkEnd w:id="62"/>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liabilities attributable to financing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credit</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institutions</w:t>
            </w:r>
          </w:p>
        </w:tc>
        <w:tc>
          <w:tcPr>
            <w:tcW w:w="13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00" w:type="dxa"/>
            <w:vAlign w:val="bottom"/>
            <w:vMerge w:val="continue"/>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52,590</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99,108</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151,698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(74,078)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other</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4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72,656</w:t>
            </w:r>
          </w:p>
        </w:tc>
        <w:tc>
          <w:tcPr>
            <w:tcW w:w="2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72,656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Remeasurement - leases</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120,305</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89,002</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vMerge w:val="continue"/>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(2,678)</w:t>
            </w:r>
          </w:p>
        </w:tc>
        <w:tc>
          <w:tcPr>
            <w:tcW w:w="240" w:type="dxa"/>
            <w:vAlign w:val="bottom"/>
            <w:vMerge w:val="continue"/>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(19,645)</w:t>
            </w:r>
          </w:p>
        </w:tc>
        <w:tc>
          <w:tcPr>
            <w:tcW w:w="220" w:type="dxa"/>
            <w:vAlign w:val="bottom"/>
            <w:vMerge w:val="continue"/>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(22,323)</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 of operations</w:t>
            </w:r>
          </w:p>
        </w:tc>
        <w:tc>
          <w:tcPr>
            <w:tcW w:w="14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Cancellation - leases</w:t>
            </w:r>
            <w:r>
              <w:rPr>
                <w:rFonts w:ascii="Times New Roman" w:cs="Times New Roman" w:eastAsia="Times New Roman" w:hAnsi="Times New Roman"/>
                <w:sz w:val="24"/>
                <w:szCs w:val="24"/>
                <w:color w:val="auto"/>
                <w:vertAlign w:val="superscript"/>
              </w:rPr>
              <w:t>(2)</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45,083</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2500" w:hanging="512"/>
        <w:spacing w:after="0" w:line="263"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related to change of lease term due to the decision to discontinue the construction of the production facility in Peterborough, UK.</w:t>
      </w: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is primarily related to terminated lease contract due to the continued exit of the production facility in Peterborough, UK.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classifies interest paid as cash flows from operating activities.</w:t>
      </w:r>
    </w:p>
    <w:p>
      <w:pPr>
        <w:spacing w:after="0" w:line="329"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shares outstanding during the period (net of treasury shares).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9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0"/>
              </w:rPr>
              <w:t>(201,949)</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(416,874)</w:t>
            </w:r>
          </w:p>
        </w:tc>
        <w:tc>
          <w:tcPr>
            <w:tcW w:w="60" w:type="dxa"/>
            <w:vAlign w:val="bottom"/>
          </w:tcPr>
          <w:p>
            <w:pPr>
              <w:spacing w:after="0"/>
              <w:rPr>
                <w:sz w:val="16"/>
                <w:szCs w:val="16"/>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(thousands)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596,886</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593,601</w:t>
            </w:r>
          </w:p>
        </w:tc>
        <w:tc>
          <w:tcPr>
            <w:tcW w:w="60" w:type="dxa"/>
            <w:vAlign w:val="bottom"/>
          </w:tcPr>
          <w:p>
            <w:pPr>
              <w:spacing w:after="0"/>
              <w:rPr>
                <w:sz w:val="18"/>
                <w:szCs w:val="18"/>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U.S.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(0.70)</w:t>
            </w: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vMerge w:val="continue"/>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16,403,397</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8,415,816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Stock options</w:t>
            </w:r>
          </w:p>
        </w:tc>
        <w:tc>
          <w:tcPr>
            <w:tcW w:w="18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11,606,280</w:t>
            </w:r>
          </w:p>
        </w:tc>
        <w:tc>
          <w:tcPr>
            <w:tcW w:w="16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21,289,191</w:t>
            </w:r>
          </w:p>
        </w:tc>
        <w:tc>
          <w:tcPr>
            <w:tcW w:w="0" w:type="dxa"/>
            <w:vAlign w:val="bottom"/>
          </w:tcPr>
          <w:p>
            <w:pPr>
              <w:spacing w:after="0"/>
              <w:rPr>
                <w:sz w:val="1"/>
                <w:szCs w:val="1"/>
                <w:color w:val="auto"/>
              </w:rPr>
            </w:pPr>
          </w:p>
        </w:tc>
      </w:tr>
      <w:tr>
        <w:trPr>
          <w:trHeight w:val="31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400,616,344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400,616,344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8"/>
        <w:spacing w:after="0" w:line="281"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28 </w:t>
      </w: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a description of RSUs and stock options.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3" w:name="page64"/>
    <w:bookmarkEnd w:id="63"/>
    <w:p>
      <w:pPr>
        <w:ind w:left="1020" w:hanging="503"/>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twelve months ended December 31, 2024, volume adjustments related to co-packer arrangements in Europe &amp; International and North America resulted in volume shortfall expenses of $6.4 million. The shortfall expenses are presented in cost of goods sold in the consolidated statement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 may be involved in various claims and legal proceedings related to claims arising out of the operations. In July and September 2021, three securities class action complaints were filed under the captions </w:t>
      </w:r>
      <w:r>
        <w:rPr>
          <w:rFonts w:ascii="Times New Roman" w:cs="Times New Roman" w:eastAsia="Times New Roman" w:hAnsi="Times New Roman"/>
          <w:sz w:val="18"/>
          <w:szCs w:val="18"/>
          <w:i w:val="1"/>
          <w:iCs w:val="1"/>
          <w:color w:val="auto"/>
        </w:rPr>
        <w:t>Jochims v. Oatly Group AB et al</w:t>
      </w:r>
      <w:r>
        <w:rPr>
          <w:rFonts w:ascii="Times New Roman" w:cs="Times New Roman" w:eastAsia="Times New Roman" w:hAnsi="Times New Roman"/>
          <w:sz w:val="18"/>
          <w:szCs w:val="18"/>
          <w:color w:val="auto"/>
        </w:rPr>
        <w:t xml:space="preserve">., Case No. 1:21-cv-06360-AKH, </w:t>
      </w:r>
      <w:r>
        <w:rPr>
          <w:rFonts w:ascii="Times New Roman" w:cs="Times New Roman" w:eastAsia="Times New Roman" w:hAnsi="Times New Roman"/>
          <w:sz w:val="18"/>
          <w:szCs w:val="18"/>
          <w:i w:val="1"/>
          <w:iCs w:val="1"/>
          <w:color w:val="auto"/>
        </w:rPr>
        <w:t>Bentley v. Oatly Group AB et al</w:t>
      </w:r>
      <w:r>
        <w:rPr>
          <w:rFonts w:ascii="Times New Roman" w:cs="Times New Roman" w:eastAsia="Times New Roman" w:hAnsi="Times New Roman"/>
          <w:sz w:val="18"/>
          <w:szCs w:val="18"/>
          <w:color w:val="auto"/>
        </w:rPr>
        <w:t>., Case No. 1:21-cv-06485-AKH, and</w:t>
      </w:r>
      <w:r>
        <w:rPr>
          <w:rFonts w:ascii="Times New Roman" w:cs="Times New Roman" w:eastAsia="Times New Roman" w:hAnsi="Times New Roman"/>
          <w:sz w:val="18"/>
          <w:szCs w:val="18"/>
          <w:i w:val="1"/>
          <w:iCs w:val="1"/>
          <w:color w:val="auto"/>
        </w:rPr>
        <w:t xml:space="preserve"> Kostendt v. Oatly Group AB et al</w:t>
      </w:r>
      <w:r>
        <w:rPr>
          <w:rFonts w:ascii="Times New Roman" w:cs="Times New Roman" w:eastAsia="Times New Roman" w:hAnsi="Times New Roman"/>
          <w:sz w:val="18"/>
          <w:szCs w:val="18"/>
          <w:color w:val="auto"/>
        </w:rPr>
        <w:t>., Case No. 1:21-cv-07904-AKH,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States District Court for the Southern District of New York against the Company and certain of its officers and directors. Those actions were consolidated under the caption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Consolidated Civil Action No. 1:21-cv-06360-AKH. The operative consolidated complaint alleged violations of the Securities Exchange Act of 1934, SEC Rule 10b-5, and the Securities Act of 1933. In February 2022, a securities class action complaint was filed under the caption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xml:space="preserve">., Index No. 151432/2022 in the New York County Supreme Court against the Company and certain of its officers and directors, alleging violations of the Securities Act of 1933. In May 2022, the New York County Supreme Court granted a stay of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xml:space="preserve">. pending final adjudication of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In October 2023, the parties reached a settlement in principle of both matters requiring the Company to pay $9.25 million, which was contingent upon court approval, among other things. In July 2024 the United States District Court for the Southern District of New York approved the settlement of </w:t>
      </w:r>
      <w:r>
        <w:rPr>
          <w:rFonts w:ascii="Times New Roman" w:cs="Times New Roman" w:eastAsia="Times New Roman" w:hAnsi="Times New Roman"/>
          <w:sz w:val="18"/>
          <w:szCs w:val="18"/>
          <w:i w:val="1"/>
          <w:iCs w:val="1"/>
          <w:color w:val="auto"/>
        </w:rPr>
        <w:t>In re Oatly Group AB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and in August 2024, the New York County Supreme Court approved the settlement of</w:t>
      </w:r>
      <w:r>
        <w:rPr>
          <w:rFonts w:ascii="Times New Roman" w:cs="Times New Roman" w:eastAsia="Times New Roman" w:hAnsi="Times New Roman"/>
          <w:sz w:val="18"/>
          <w:szCs w:val="18"/>
          <w:i w:val="1"/>
          <w:iCs w:val="1"/>
          <w:color w:val="auto"/>
        </w:rPr>
        <w:t xml:space="preserve"> Hipple v. Oatly Group AB et al</w:t>
      </w:r>
      <w:r>
        <w:rPr>
          <w:rFonts w:ascii="Times New Roman" w:cs="Times New Roman" w:eastAsia="Times New Roman" w:hAnsi="Times New Roman"/>
          <w:sz w:val="18"/>
          <w:szCs w:val="18"/>
          <w:color w:val="auto"/>
        </w:rPr>
        <w:t>., effectively concluding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pending class actions.</w:t>
      </w:r>
    </w:p>
    <w:p>
      <w:pPr>
        <w:spacing w:after="0" w:line="291"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 held for sale</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30, 2022, Oatly, Inc., and its wholly owned subsidiary, Oatly US Operations &amp; Supply Inc., entered into an asset purchase agreement (the “Asset Purchase Agreement”) with Ya YA Foods USA LLC (“YYF”), and parent Aseptic Beverage Holdings LP, a Delaware limited partnership (“Buyer Parent”), to establish a strategic partnership pursuant to which Oatly, Inc. would sell the Facilities to YYF. Subject to the terms and conditions of the Asset Purchase Agreement, YYF would acquire a majority of the assets that were used in the operation of the Facilities and assume the obligations arising under the real property leases and certain contracts for and related to the Facilities. The assets subject to the Asset Purchase Agreement were included in the Americas reportable segment. As of December 31, 2022, these assets met the criteria for classification as held for sale. As part of the transaction and reclassification to held for sale, an impairment of $38.3 million was recognized to reduce the carrying amount of the assets to their fair value less costs of disposal.</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January 25, 2023, a consent letter was entered into in connection with the SRCF Agreement pursuant to which the lenders under the SRCF Agreement agreed that the YYF Transaction shall constitute a permitted disposal for the purposes of the SRCF Agreement.</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March 1, 2023, the YYF Transaction closed, and the Company and its wholly owned subsidiary, Oatly US Operations &amp; Supply Inc. sold the Facilities to YYF in connection with the establishment of a strategic manufacturing alliance with YYF, pursuant to the terms of that certain asset purchase agreement with YYF and Buyer Parent, dated December 30, 2022 (collectively, the “YYF Transaction”). Pursuant to the terms and conditions of the Asset Purchase Agreement, YYF acquired a majority of the assets that are used in the operation of the Facilities and assumed the Company’s obligations arising under the real property leases and certain contracts for and related to the Facilities. The Company continues to own all intellectual property related to production of oat base, the Company’s principal, proprietary ingredient for all Oatly products, and the Company continues to own and operate its own equipment, fixtures and supplies associated with its production of oat base at the Facilities. In connection with the YYF Transaction, YYF and the Company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also have entered into a contract manufacturing agreement pursuant to which YYF will manufacture certain finished products for the Company, using oat base supplied by Oatly (the “Co-Pack Agreement”).</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As consideration for the YYF Transaction, the Company received an aggregate purchase price of approximately $102.6 million. Of this aggregate purchase price, $86.5 million is attributable to the Ogden Facility, of which (a) $72.0 million was paid to the Company through a combination of $52.0 million cash and $20.0 million in the form of a promissory note from the Buyer Parent to the Company, and (b) $14.5 million is in the form of a credit toward future use of shared assets at the Ogden Facility. The remaining $16.1 million of the aggregate purchase price is attributable to the Dallas-Fort Worth Facility, of which (a) $13.6 million is a credit toward future capital expenditures associated with completion of oat base capacity at the Dallas-Fort Worth Facility, and (b) $2.5 million is in the form of a credit toward future use of shared assets at the Dallas-Fort Worth Facility. As part of the consideration for the Transaction, the Buyer Parent issued a promissory note for $20 million to the Company due May 31, 2028 (the “Note”). The interest rate of the Note begins at 8% and escalates an additional 2% each year. The Note is guaranteed by the founder and chief executive officer of the Buyer Parent. The Buyer Parent’s obligation under the Note may be offset by amounts owed to YYF under the Co-Pack Agreement only if such amounts are not paid in accordance with the Co-Pack Agreement. The Note also contains other customary terms and conditions.</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Following certain events during the fourth quarter of 2023, the Company decided to discontinue the construction of the production facility in Dallas-Fort Worth, Texas. For the twelve months ended December 31, 2023, the Company recorded an impairment charge of $13.9 million related to the credit toward future capital expenditures, and an impairment charge of $2.5 million related to the credit toward future use of shared assets at the Dallas-Fort Worth Facility. The impairment charges are included in Other operating income and (expenses), net in the consolidated statement of operations. See Note 18 </w:t>
      </w:r>
      <w:r>
        <w:rPr>
          <w:rFonts w:ascii="Times New Roman" w:cs="Times New Roman" w:eastAsia="Times New Roman" w:hAnsi="Times New Roman"/>
          <w:sz w:val="18"/>
          <w:szCs w:val="18"/>
          <w:i w:val="1"/>
          <w:iCs w:val="1"/>
          <w:color w:val="auto"/>
        </w:rPr>
        <w:t>Other non-current receivables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Other current receivables</w:t>
      </w:r>
      <w:r>
        <w:rPr>
          <w:rFonts w:ascii="Times New Roman" w:cs="Times New Roman" w:eastAsia="Times New Roman" w:hAnsi="Times New Roman"/>
          <w:sz w:val="18"/>
          <w:szCs w:val="18"/>
          <w:color w:val="auto"/>
        </w:rPr>
        <w:t xml:space="preserve"> for further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2024 the Company concluded the project of exiting the production facility in Dallas-Forth Worth, Texas.</w:t>
      </w:r>
    </w:p>
    <w:p>
      <w:pPr>
        <w:spacing w:after="0" w:line="32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end of the reporting period</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11, 2025, the Group’s Sustainable Revolving Credit Facility Agreement and Term Loan 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amended Sustainable Revolving Credit Facility Agreement and Term Loan B Credit Agreement impose limitations on drawdowns under the Sustainable Revolving Credit Facility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72"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Sustainable Revolving Credit Facility Agreement on February 11, 2025.</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its ADSs to ordinary shares was changed from one ADS representing one ordinary share to one ADS representing twenty ordinary shares.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$4.1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Since the end of the fiscal year, we have observed significant uncertainties and changes in tariffs due to the ongoing uncertainty in the global economy and related trade conflicts. Trade conflicts, tariffs, and other trade barriers can affect the price of oats and other ingredients used in our products, and may have a negative impact on our operations, financial position, and results. We will closely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monitor the effects of trade conflicts, tariffs, and other trade barriers on our business and take appropriate measures to mitigate any impact.</w:t>
      </w:r>
    </w:p>
    <w:p>
      <w:pPr>
        <w:sectPr>
          <w:pgSz w:w="11900" w:h="16838" w:orient="portrait"/>
          <w:cols w:equalWidth="0" w:num="1">
            <w:col w:w="10139"/>
          </w:cols>
          <w:pgMar w:left="320" w:top="12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PARENT COMPANY INCOME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31 December (in thousands of SEK)</w:t>
            </w:r>
          </w:p>
        </w:tc>
        <w:tc>
          <w:tcPr>
            <w:tcW w:w="120" w:type="dxa"/>
            <w:vAlign w:val="bottom"/>
          </w:tcPr>
          <w:p>
            <w:pPr>
              <w:spacing w:after="0"/>
              <w:rPr>
                <w:sz w:val="15"/>
                <w:szCs w:val="15"/>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38,39</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40,937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17,401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1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41,356</w:t>
            </w:r>
          </w:p>
        </w:tc>
        <w:tc>
          <w:tcPr>
            <w:tcW w:w="1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expenses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40,51</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(164,333)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(229,232)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(23,894)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(77,511)</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(96,558)</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(153,850)</w:t>
            </w:r>
          </w:p>
        </w:tc>
        <w:tc>
          <w:tcPr>
            <w:tcW w:w="200" w:type="dxa"/>
            <w:vAlign w:val="bottom"/>
            <w:gridSpan w:val="2"/>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from financial items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 and similar items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695,104</w:t>
            </w: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759,811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shares in subsidiaries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(1,574,500)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(8,882,000)</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and similar income items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(387,915)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(472,117)</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after financial items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(1,421,161)</w:t>
            </w:r>
          </w:p>
        </w:tc>
        <w:tc>
          <w:tcPr>
            <w:tcW w:w="200" w:type="dxa"/>
            <w:vAlign w:val="bottom"/>
            <w:gridSpan w:val="2"/>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(8,976,145)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Profit/(loss) before tax and year-end appropriations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(1,421,161)</w:t>
            </w:r>
          </w:p>
        </w:tc>
        <w:tc>
          <w:tcPr>
            <w:tcW w:w="2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(8,976,145)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Year-end appropriations</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114,550</w:t>
            </w:r>
          </w:p>
        </w:tc>
        <w:tc>
          <w:tcPr>
            <w:tcW w:w="1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Profit/(loss) for the year</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80" w:type="dxa"/>
            <w:vAlign w:val="bottom"/>
            <w:vMerge w:val="restart"/>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(1,306,611)</w:t>
            </w:r>
          </w:p>
        </w:tc>
        <w:tc>
          <w:tcPr>
            <w:tcW w:w="18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(9,057,145)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 the Parent Company, there are no items that are reported as other comprehensive income, which is why the total comprehensive income for the period corresponds to the profit for the period.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color w:val="auto"/>
        </w:rPr>
        <w:t>PARENT COMPANY STATEMENT OF FINANCIAL POSITION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at December 31 (in thousands of SEK)</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14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Shares in group companies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4,137,925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group companies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6,550,000</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10,687,925</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11,536,351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 assets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group companies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131,535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receivables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144,464</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161,988</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10,849,913</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11,578,334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26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equity</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Unrestricted equity</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13,126,053</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(6,390,106)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Profit/(loss) for the year</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(1,306,611)</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(9,057,145)</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5,430,233</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6,590,723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6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provisions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6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3,568,704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group companies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1,798,014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5,419,680</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10,849,913</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11,578,334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4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b w:val="1"/>
          <w:bCs w:val="1"/>
          <w:color w:val="auto"/>
        </w:rPr>
        <w:t>PARENT COMPANY STATEMENT OF CHANGES IN EQUITY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Attributable to shareholders of the parent</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SEK)</w:t>
            </w:r>
          </w:p>
        </w:tc>
        <w:tc>
          <w:tcPr>
            <w:tcW w:w="120" w:type="dxa"/>
            <w:vAlign w:val="bottom"/>
            <w:vMerge w:val="restart"/>
          </w:tcPr>
          <w:p>
            <w:pPr>
              <w:spacing w:after="0"/>
              <w:rPr>
                <w:sz w:val="10"/>
                <w:szCs w:val="10"/>
                <w:color w:val="auto"/>
              </w:rPr>
            </w:pPr>
          </w:p>
        </w:tc>
        <w:tc>
          <w:tcPr>
            <w:tcW w:w="2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Not</w:t>
            </w: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220" w:type="dxa"/>
            <w:vAlign w:val="bottom"/>
          </w:tcPr>
          <w:p>
            <w:pPr>
              <w:spacing w:after="0"/>
              <w:rPr>
                <w:sz w:val="10"/>
                <w:szCs w:val="10"/>
                <w:color w:val="auto"/>
              </w:rPr>
            </w:pPr>
          </w:p>
        </w:tc>
        <w:tc>
          <w:tcPr>
            <w:tcW w:w="10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premium</w:t>
            </w:r>
          </w:p>
        </w:tc>
        <w:tc>
          <w:tcPr>
            <w:tcW w:w="220" w:type="dxa"/>
            <w:vAlign w:val="bottom"/>
          </w:tcPr>
          <w:p>
            <w:pPr>
              <w:spacing w:after="0"/>
              <w:rPr>
                <w:sz w:val="10"/>
                <w:szCs w:val="10"/>
                <w:color w:val="auto"/>
              </w:rPr>
            </w:pPr>
          </w:p>
        </w:tc>
        <w:tc>
          <w:tcPr>
            <w:tcW w:w="11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2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Profit of the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w:t>
            </w:r>
          </w:p>
        </w:tc>
        <w:tc>
          <w:tcPr>
            <w:tcW w:w="2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Opening equity, January 1, 2023</w:t>
            </w:r>
          </w:p>
        </w:tc>
        <w:tc>
          <w:tcPr>
            <w:tcW w:w="120" w:type="dxa"/>
            <w:vAlign w:val="bottom"/>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13,126,053</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2,078,293</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219,666</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15,424,899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share issue</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222,969</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of last year's profit or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219,666</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(219,666)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Profit/(loss) for the year and 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(9,057,145)</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(9,057,145)</w:t>
            </w:r>
          </w:p>
        </w:tc>
        <w:tc>
          <w:tcPr>
            <w:tcW w:w="0" w:type="dxa"/>
            <w:vAlign w:val="bottom"/>
          </w:tcPr>
          <w:p>
            <w:pPr>
              <w:spacing w:after="0"/>
              <w:rPr>
                <w:sz w:val="1"/>
                <w:szCs w:val="1"/>
                <w:color w:val="auto"/>
              </w:rPr>
            </w:pPr>
          </w:p>
        </w:tc>
      </w:tr>
      <w:tr>
        <w:trPr>
          <w:trHeight w:val="221"/>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equity, December 31, 2023</w:t>
            </w: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892</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13,126,053</w:t>
            </w:r>
          </w:p>
        </w:tc>
        <w:tc>
          <w:tcPr>
            <w:tcW w:w="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2,520,923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(9,057,145)</w:t>
            </w:r>
          </w:p>
        </w:tc>
        <w:tc>
          <w:tcPr>
            <w:tcW w:w="22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6,590,723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8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5"/>
                <w:szCs w:val="15"/>
                <w:color w:val="auto"/>
              </w:rPr>
            </w:pPr>
          </w:p>
        </w:tc>
        <w:tc>
          <w:tcPr>
            <w:tcW w:w="1240" w:type="dxa"/>
            <w:vAlign w:val="bottom"/>
            <w:gridSpan w:val="2"/>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share issue</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146,121</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of last year's profit or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(9,057,145)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9,057,145</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Profit/(loss) for the year and 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(1,306,611)</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(1,306,611)</w:t>
            </w:r>
          </w:p>
        </w:tc>
        <w:tc>
          <w:tcPr>
            <w:tcW w:w="0" w:type="dxa"/>
            <w:vAlign w:val="bottom"/>
          </w:tcPr>
          <w:p>
            <w:pPr>
              <w:spacing w:after="0"/>
              <w:rPr>
                <w:sz w:val="1"/>
                <w:szCs w:val="1"/>
                <w:color w:val="auto"/>
              </w:rPr>
            </w:pPr>
          </w:p>
        </w:tc>
      </w:tr>
      <w:tr>
        <w:trPr>
          <w:trHeight w:val="221"/>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equity, December 31, 2024</w:t>
            </w: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13,126,053</w:t>
            </w:r>
          </w:p>
        </w:tc>
        <w:tc>
          <w:tcPr>
            <w:tcW w:w="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(6,390,105)</w:t>
            </w:r>
          </w:p>
        </w:tc>
        <w:tc>
          <w:tcPr>
            <w:tcW w:w="22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(1,306,611)</w:t>
            </w:r>
          </w:p>
        </w:tc>
        <w:tc>
          <w:tcPr>
            <w:tcW w:w="22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5,430,233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PARENT COMPANY STATEMENT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(in thousands of SEK)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0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87"/>
        </w:trPr>
        <w:tc>
          <w:tcPr>
            <w:tcW w:w="55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Profit/(loss)after financial items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(1,421,161)</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(8,976,145)</w:t>
            </w:r>
          </w:p>
        </w:tc>
      </w:tr>
      <w:tr>
        <w:trPr>
          <w:trHeight w:val="2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1,173,955</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8,710,826</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Cost for share-based remuneration</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11,089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12,074</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Change in Other provisions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(104,445)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104,445</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Impairment of shares in subsidiaries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1,574,500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8,882,000</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Finance income</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(695,104)</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(759,836)</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Finance expenses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387,915</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472,142</w:t>
            </w:r>
          </w:p>
        </w:tc>
        <w:tc>
          <w:tcPr>
            <w:tcW w:w="12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(1,464)</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paid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(2,449)</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Cash flow used in operating activities before changes in working capital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(251,049)</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(264,194)</w:t>
            </w:r>
          </w:p>
        </w:tc>
        <w:tc>
          <w:tcPr>
            <w:tcW w:w="120" w:type="dxa"/>
            <w:vAlign w:val="bottom"/>
          </w:tcPr>
          <w:p>
            <w:pPr>
              <w:spacing w:after="0"/>
              <w:rPr>
                <w:sz w:val="18"/>
                <w:szCs w:val="18"/>
                <w:color w:val="auto"/>
              </w:rPr>
            </w:pPr>
          </w:p>
        </w:tc>
      </w:tr>
      <w:tr>
        <w:trPr>
          <w:trHeight w:val="191"/>
        </w:trPr>
        <w:tc>
          <w:tcPr>
            <w:tcW w:w="5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 from changes in working capital</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current receivables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655,303</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641,886</w:t>
            </w:r>
          </w:p>
        </w:tc>
        <w:tc>
          <w:tcPr>
            <w:tcW w:w="12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accounts payable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(4,634)</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(21,820)</w:t>
            </w: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current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(390,412)</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(364,919)</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(used in)/from operating activities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9,208</w:t>
            </w:r>
          </w:p>
        </w:tc>
        <w:tc>
          <w:tcPr>
            <w:tcW w:w="2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(9,047)</w:t>
            </w:r>
          </w:p>
        </w:tc>
      </w:tr>
      <w:tr>
        <w:trPr>
          <w:trHeight w:val="22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contribution paid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(3,189,197)</w:t>
            </w: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used in investing activities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(3,189,197)</w:t>
            </w:r>
          </w:p>
        </w:tc>
        <w:tc>
          <w:tcPr>
            <w:tcW w:w="120" w:type="dxa"/>
            <w:vAlign w:val="bottom"/>
          </w:tcPr>
          <w:p>
            <w:pPr>
              <w:spacing w:after="0"/>
              <w:rPr>
                <w:sz w:val="18"/>
                <w:szCs w:val="18"/>
                <w:color w:val="auto"/>
              </w:rPr>
            </w:pPr>
          </w:p>
        </w:tc>
      </w:tr>
      <w:tr>
        <w:trPr>
          <w:trHeight w:val="191"/>
        </w:trPr>
        <w:tc>
          <w:tcPr>
            <w:tcW w:w="5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convertible notes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3,376,240</w:t>
            </w:r>
          </w:p>
        </w:tc>
        <w:tc>
          <w:tcPr>
            <w:tcW w:w="12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transaction costs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(189,777)</w:t>
            </w: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3,186,463</w:t>
            </w:r>
          </w:p>
        </w:tc>
        <w:tc>
          <w:tcPr>
            <w:tcW w:w="120" w:type="dxa"/>
            <w:vAlign w:val="bottom"/>
          </w:tcPr>
          <w:p>
            <w:pPr>
              <w:spacing w:after="0"/>
              <w:rPr>
                <w:sz w:val="18"/>
                <w:szCs w:val="18"/>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for the year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9,208</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(11,780)</w:t>
            </w:r>
          </w:p>
        </w:tc>
        <w:tc>
          <w:tcPr>
            <w:tcW w:w="120" w:type="dxa"/>
            <w:vAlign w:val="bottom"/>
          </w:tcPr>
          <w:p>
            <w:pPr>
              <w:spacing w:after="0"/>
              <w:rPr>
                <w:sz w:val="18"/>
                <w:szCs w:val="18"/>
                <w:color w:val="auto"/>
              </w:rPr>
            </w:pPr>
          </w:p>
        </w:tc>
      </w:tr>
      <w:tr>
        <w:trPr>
          <w:trHeight w:val="4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January 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120" w:type="dxa"/>
            <w:vAlign w:val="bottom"/>
          </w:tcPr>
          <w:p>
            <w:pPr>
              <w:spacing w:after="0"/>
              <w:rPr>
                <w:sz w:val="24"/>
                <w:szCs w:val="24"/>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(26,815)</w:t>
            </w: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17,524</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7,895</w:t>
            </w:r>
          </w:p>
        </w:tc>
        <w:tc>
          <w:tcPr>
            <w:tcW w:w="120" w:type="dxa"/>
            <w:vAlign w:val="bottom"/>
          </w:tcPr>
          <w:p>
            <w:pPr>
              <w:spacing w:after="0"/>
              <w:rPr>
                <w:sz w:val="18"/>
                <w:szCs w:val="18"/>
                <w:color w:val="auto"/>
              </w:rPr>
            </w:pPr>
          </w:p>
        </w:tc>
      </w:tr>
      <w:tr>
        <w:trPr>
          <w:trHeight w:val="426"/>
        </w:trPr>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0" w:name="page71"/>
    <w:bookmarkEnd w:id="70"/>
    <w:p>
      <w:pPr>
        <w:ind w:left="1020" w:hanging="503"/>
        <w:spacing w:after="0"/>
        <w:tabs>
          <w:tab w:leader="none" w:pos="10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accounting policies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accounting policies used in the preparation of this annual report are set out below. These policies have been consistently applied unless otherwise stated. All amounts are in thousands of SEK unless otherwise stated. Certain monetary amounts included in this Annual Report for the Parent Company have been subject to rounding adjustments. Accordingly, figures shown as totals in certain tables may not be the arithmetic aggregation of the figures that precede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preparation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Company’s accounting and valuation policies comply with the Swedish Annual Accounts Act and Swedish Financial Reporting Board recommendation RFR 2 Accounting for Legal Entities. The application of RFR 2 Notes requires that the Parent Company as legal entity shall apply all IFRS adopted by the EU and statements to the extent that this is possible within the framework of the Annual Accounts Act and the Pension Obligations Vesting Act and with consideration to the relationship between accounting and taxation.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applies other accounting policies than the Group in the cases stated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formats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income statement and balance sheet are presented in accordance with the presentation format prescribed in the Swedish Annual Accounts Act. The presentation format for the statement of changes in equity is also consistent with the Group’s format but shall also include the columns stated in the Swedish Annual Accounts Act. Moreover, there is a difference in terms, compared with the consolidated accounts, mainly regarding financial income and expenses, and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Participations in subsidiaries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Participations in subsidiaries are recognized using the cost method, which means that the investments are recognized in the balance sheet at cost less any impairment. The cost includes acquisition-related costs and any contingent consideration. The recoverable amount is calculated if there is an indication of impairment of participations in subsidiaries. If this value is lower than the carrying amount, an impairment loss is recognized. Impairment is recognized under Profit from participations in Group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contributions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Shareholders’ contributions paid are recognized in the Parent Company as an increase in the carrying amount of the holding and in the receiving company as an increase in equity.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contributions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Group contributions are recognized in accordance with the alternate rules in RFR 2, which mean that Group contributions made and received are recognized as appropriations in profit or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identified as measured at fair value through profit and loss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IFRS 9 p. 5.7.7 is not applied in the Parent Company. Changes in the value of liabilities that at initial recognition is identified to be measured at fair value in accordance with p. 4.2.2 or 4.3.5 in IFRS 9 are reported in the profit and loss in the Parent Company in 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Parent Company has chosen not to apply IFRS 16 Leases but has instead chosen to apply RFR 2. This choice means that no right-of-use assets and lease liabilities are recognized in the balance sheet, but lease payments are recognized as a cost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by geographic market/country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receives revenue from the transfer of services at a point in time in the following geographic regions: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per market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48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Sweden</w:t>
            </w:r>
          </w:p>
        </w:tc>
        <w:tc>
          <w:tcPr>
            <w:tcW w:w="3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40,937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15,144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200" w:type="dxa"/>
            <w:vAlign w:val="bottom"/>
          </w:tcPr>
          <w:p>
            <w:pPr>
              <w:spacing w:after="0"/>
              <w:rPr>
                <w:sz w:val="20"/>
                <w:szCs w:val="20"/>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0" w:type="dxa"/>
            <w:vAlign w:val="bottom"/>
          </w:tcPr>
          <w:p>
            <w:pPr>
              <w:spacing w:after="0"/>
              <w:rPr>
                <w:sz w:val="18"/>
                <w:szCs w:val="18"/>
                <w:color w:val="auto"/>
              </w:rPr>
            </w:pPr>
          </w:p>
        </w:tc>
        <w:tc>
          <w:tcPr>
            <w:tcW w:w="1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40,937</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00" w:type="dxa"/>
            <w:vAlign w:val="bottom"/>
            <w:vMerge w:val="restart"/>
          </w:tcPr>
          <w:p>
            <w:pPr>
              <w:jc w:val="right"/>
              <w:ind w:right="1899"/>
              <w:spacing w:after="0"/>
              <w:rPr>
                <w:sz w:val="20"/>
                <w:szCs w:val="20"/>
                <w:color w:val="auto"/>
              </w:rPr>
            </w:pPr>
            <w:r>
              <w:rPr>
                <w:rFonts w:ascii="Times New Roman" w:cs="Times New Roman" w:eastAsia="Times New Roman" w:hAnsi="Times New Roman"/>
                <w:sz w:val="18"/>
                <w:szCs w:val="18"/>
                <w:color w:val="auto"/>
              </w:rPr>
              <w:t>68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8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39.</w:t>
            </w:r>
          </w:p>
        </w:tc>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Intra-Group purchases and sales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4"/>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4"/>
                <w:szCs w:val="24"/>
                <w:color w:val="auto"/>
              </w:rPr>
            </w:pPr>
          </w:p>
        </w:tc>
      </w:tr>
      <w:tr>
        <w:trPr>
          <w:trHeight w:val="191"/>
        </w:trPr>
        <w:tc>
          <w:tcPr>
            <w:tcW w:w="7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Percentage of total purchases during the year from other Group companies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total sales during the year to other Group companies</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40.</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Renumeration to the auditors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EY</w:t>
            </w:r>
          </w:p>
        </w:tc>
        <w:tc>
          <w:tcPr>
            <w:tcW w:w="68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54,897</w:t>
            </w: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54,304</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56,324</w:t>
            </w: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services refer to the examination of the annual accounts and accounting records, as well as the administration of the Board of Directors and the CEO, other tasks incumbent on the Company’s auditor as well as advice and other assistance occasioned by observations made in the course of such examination or the performance of such other tasks.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41.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income and expenses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Interest income from Group companies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665,702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376,512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interest income</w:t>
            </w:r>
          </w:p>
        </w:tc>
        <w:tc>
          <w:tcPr>
            <w:tcW w:w="16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7"/>
                <w:szCs w:val="17"/>
                <w:color w:val="auto"/>
              </w:rPr>
            </w:pPr>
          </w:p>
        </w:tc>
        <w:tc>
          <w:tcPr>
            <w:tcW w:w="16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36"/>
        </w:trPr>
        <w:tc>
          <w:tcPr>
            <w:tcW w:w="770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Fair value changes on Convertible Notes</w:t>
            </w:r>
            <w:r>
              <w:rPr>
                <w:rFonts w:ascii="Times New Roman" w:cs="Times New Roman" w:eastAsia="Times New Roman" w:hAnsi="Times New Roman"/>
                <w:sz w:val="24"/>
                <w:szCs w:val="24"/>
                <w:color w:val="auto"/>
                <w:vertAlign w:val="superscript"/>
              </w:rPr>
              <w:t>(1)</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18,286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381,704</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11,046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interest income and similar profit/loss items</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695,104</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 to Group companies</w:t>
            </w: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00" w:type="dxa"/>
            <w:vAlign w:val="bottom"/>
            <w:gridSpan w:val="2"/>
            <w:vMerge w:val="continue"/>
          </w:tcPr>
          <w:p>
            <w:pPr>
              <w:spacing w:after="0"/>
              <w:rPr>
                <w:sz w:val="15"/>
                <w:szCs w:val="15"/>
                <w:color w:val="auto"/>
              </w:rPr>
            </w:pPr>
          </w:p>
        </w:tc>
        <w:tc>
          <w:tcPr>
            <w:tcW w:w="16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27,648</w:t>
            </w:r>
          </w:p>
        </w:tc>
        <w:tc>
          <w:tcPr>
            <w:tcW w:w="220" w:type="dxa"/>
            <w:vAlign w:val="bottom"/>
            <w:gridSpan w:val="2"/>
            <w:vMerge w:val="continue"/>
          </w:tcPr>
          <w:p>
            <w:pPr>
              <w:spacing w:after="0"/>
              <w:rPr>
                <w:sz w:val="15"/>
                <w:szCs w:val="15"/>
                <w:color w:val="auto"/>
              </w:rPr>
            </w:pPr>
          </w:p>
        </w:tc>
        <w:tc>
          <w:tcPr>
            <w:tcW w:w="16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17,320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358,163</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234,291</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expenses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Exchange-rate differences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30,704</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189,777</w:t>
            </w: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expenses and similar profit/loss items</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387,915</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 xml:space="preserve">See Note 58 </w:t>
      </w:r>
      <w:r>
        <w:rPr>
          <w:rFonts w:ascii="Times New Roman" w:cs="Times New Roman" w:eastAsia="Times New Roman" w:hAnsi="Times New Roman"/>
          <w:sz w:val="17"/>
          <w:szCs w:val="17"/>
          <w:i w:val="1"/>
          <w:iCs w:val="1"/>
          <w:color w:val="auto"/>
        </w:rPr>
        <w:t>Convertible Notes</w:t>
      </w:r>
      <w:r>
        <w:rPr>
          <w:rFonts w:ascii="Times New Roman" w:cs="Times New Roman" w:eastAsia="Times New Roman" w:hAnsi="Times New Roman"/>
          <w:sz w:val="17"/>
          <w:szCs w:val="17"/>
          <w:color w:val="auto"/>
        </w:rPr>
        <w:t xml:space="preserve"> for more detailed information about reported revaluation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(expense)/benefit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reported tax</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tax expenses and loss in the accounts, multiplied by current corporate tax rate: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Profit/(Loss) after financial items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(1,306,611)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(9,057,145)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At Sweden’s corporate income tax rate of 20.6%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269,162</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1,865,772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costs related to impairment of shares in subsidiaries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(324,347)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(1,829,692)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costs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non-taxable income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Tax losses and other temporary differences for which deferred tax assets are not recognized</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negative interest, net</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57,626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(34,352)</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reported tax</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are recognized on tax loss carry-forwards or other deficits to the extent that it is probable that these can be used against future taxable profits. No deferred tax assets have been recognized, since the Parent Company does not believe that the criteria in IAS 12 for recognizing deferred tax have been met.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43.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 benefits, etc.</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are based on costs recognized in the Parent Company income statement.</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Salaries, other benefits and social security contributions – employees and board members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xml:space="preserve">Salaries and other remuneration </w:t>
            </w:r>
            <w:r>
              <w:rPr>
                <w:rFonts w:ascii="Times New Roman" w:cs="Times New Roman" w:eastAsia="Times New Roman" w:hAnsi="Times New Roman"/>
                <w:sz w:val="18"/>
                <w:szCs w:val="18"/>
                <w:i w:val="1"/>
                <w:iCs w:val="1"/>
                <w:color w:val="auto"/>
              </w:rPr>
              <w:t>(of which bonus)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(13,574) (542)</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(46,660) (749)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costs—defined contribution plans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employee and board member benefits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(22,789)</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Salaries, other benefits and social security contributions – Board members, Chief Executive</w:t>
            </w: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7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Officer and other Senior Executives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Pr>
          <w:p>
            <w:pPr>
              <w:jc w:val="right"/>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0" w:type="dxa"/>
            <w:vAlign w:val="bottom"/>
          </w:tcPr>
          <w:p>
            <w:pPr>
              <w:jc w:val="right"/>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70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Salaries and other remuneration </w:t>
            </w:r>
            <w:r>
              <w:rPr>
                <w:rFonts w:ascii="Times New Roman" w:cs="Times New Roman" w:eastAsia="Times New Roman" w:hAnsi="Times New Roman"/>
                <w:sz w:val="18"/>
                <w:szCs w:val="18"/>
                <w:i w:val="1"/>
                <w:iCs w:val="1"/>
                <w:color w:val="auto"/>
              </w:rPr>
              <w:t>(of which bonus)</w:t>
            </w:r>
            <w:r>
              <w:rPr>
                <w:rFonts w:ascii="Times New Roman" w:cs="Times New Roman" w:eastAsia="Times New Roman" w:hAnsi="Times New Roman"/>
                <w:sz w:val="24"/>
                <w:szCs w:val="24"/>
                <w:color w:val="auto"/>
                <w:vertAlign w:val="superscript"/>
              </w:rPr>
              <w:t>(1)(2)</w:t>
            </w:r>
          </w:p>
        </w:tc>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700" w:type="dxa"/>
            <w:vAlign w:val="bottom"/>
            <w:gridSpan w:val="2"/>
            <w:vMerge w:val="continue"/>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(13,295) (542)</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(40,355) (725)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Social security costs</w:t>
            </w:r>
          </w:p>
        </w:tc>
        <w:tc>
          <w:tcPr>
            <w:tcW w:w="18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(2,053)</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(15,319)</w:t>
            </w:r>
          </w:p>
        </w:tc>
        <w:tc>
          <w:tcPr>
            <w:tcW w:w="0" w:type="dxa"/>
            <w:vAlign w:val="bottom"/>
          </w:tcPr>
          <w:p>
            <w:pPr>
              <w:spacing w:after="0"/>
              <w:rPr>
                <w:sz w:val="1"/>
                <w:szCs w:val="1"/>
                <w:color w:val="auto"/>
              </w:rPr>
            </w:pPr>
          </w:p>
        </w:tc>
      </w:tr>
      <w:tr>
        <w:trPr>
          <w:trHeight w:val="236"/>
        </w:trPr>
        <w:tc>
          <w:tcPr>
            <w:tcW w:w="770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Share-based payments</w:t>
            </w:r>
            <w:r>
              <w:rPr>
                <w:rFonts w:ascii="Times New Roman" w:cs="Times New Roman" w:eastAsia="Times New Roman" w:hAnsi="Times New Roman"/>
                <w:sz w:val="24"/>
                <w:szCs w:val="24"/>
                <w:color w:val="auto"/>
                <w:vertAlign w:val="superscript"/>
              </w:rPr>
              <w:t>(3)</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costs—defined contribution plans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renumeration to Board Members, CEO and other senior executives</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(23,952)</w:t>
            </w:r>
          </w:p>
        </w:tc>
        <w:tc>
          <w:tcPr>
            <w:tcW w:w="2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(55,341)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2023, severance pay of $2.5 million is included in short-term employee benefits.</w:t>
      </w:r>
    </w:p>
    <w:p>
      <w:pPr>
        <w:spacing w:after="0" w:line="36" w:lineRule="exact"/>
        <w:rPr>
          <w:rFonts w:ascii="Times New Roman" w:cs="Times New Roman" w:eastAsia="Times New Roman" w:hAnsi="Times New Roman"/>
          <w:sz w:val="18"/>
          <w:szCs w:val="18"/>
          <w:color w:val="auto"/>
        </w:rPr>
      </w:pPr>
    </w:p>
    <w:p>
      <w:pPr>
        <w:ind w:left="520" w:right="20" w:hanging="512"/>
        <w:spacing w:after="0" w:line="272" w:lineRule="auto"/>
        <w:tabs>
          <w:tab w:leader="none" w:pos="3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CEO remuneration was paid during 2024. The current CEO is employed by another company within the Group and receives compensation from there.</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Group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further details.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0"/>
        </w:trPr>
        <w:tc>
          <w:tcPr>
            <w:tcW w:w="83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Salaries, other benefits and social security expenses - Board members, Chief Executive Officer and other Senior Executives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salary/renumera</w:t>
            </w: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20" w:type="dxa"/>
            <w:vAlign w:val="bottom"/>
            <w:vMerge w:val="restart"/>
          </w:tcPr>
          <w:p>
            <w:pPr>
              <w:spacing w:after="0"/>
              <w:rPr>
                <w:sz w:val="12"/>
                <w:szCs w:val="12"/>
                <w:color w:val="auto"/>
              </w:rPr>
            </w:pPr>
          </w:p>
        </w:tc>
        <w:tc>
          <w:tcPr>
            <w:tcW w:w="12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tion to the</w:t>
            </w: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remunera</w:t>
            </w: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remunerati</w:t>
            </w: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60" w:type="dxa"/>
            <w:vAlign w:val="bottom"/>
          </w:tcPr>
          <w:p>
            <w:pPr>
              <w:spacing w:after="0"/>
              <w:rPr>
                <w:sz w:val="12"/>
                <w:szCs w:val="12"/>
                <w:color w:val="auto"/>
              </w:rPr>
            </w:pP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2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tion</w:t>
            </w:r>
            <w:r>
              <w:rPr>
                <w:rFonts w:ascii="Times New Roman" w:cs="Times New Roman" w:eastAsia="Times New Roman" w:hAnsi="Times New Roman"/>
                <w:sz w:val="19"/>
                <w:szCs w:val="19"/>
                <w:b w:val="1"/>
                <w:bCs w:val="1"/>
                <w:color w:val="auto"/>
                <w:w w:val="94"/>
                <w:vertAlign w:val="superscript"/>
              </w:rPr>
              <w:t>(1)</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on</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6"/>
              </w:rPr>
              <w:t>n expense</w:t>
            </w:r>
            <w:r>
              <w:rPr>
                <w:rFonts w:ascii="Times New Roman" w:cs="Times New Roman" w:eastAsia="Times New Roman" w:hAnsi="Times New Roman"/>
                <w:sz w:val="19"/>
                <w:szCs w:val="19"/>
                <w:b w:val="1"/>
                <w:bCs w:val="1"/>
                <w:color w:val="auto"/>
                <w:w w:val="96"/>
                <w:vertAlign w:val="superscript"/>
              </w:rPr>
              <w:t>(3)</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8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Board member Martin Brok</w:t>
            </w: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180" w:type="dxa"/>
            <w:vAlign w:val="bottom"/>
            <w:gridSpan w:val="2"/>
            <w:vMerge w:val="continue"/>
          </w:tcPr>
          <w:p>
            <w:pPr>
              <w:spacing w:after="0"/>
              <w:rPr>
                <w:sz w:val="15"/>
                <w:szCs w:val="15"/>
                <w:color w:val="auto"/>
              </w:rPr>
            </w:pPr>
          </w:p>
        </w:tc>
        <w:tc>
          <w:tcPr>
            <w:tcW w:w="12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8"/>
                <w:szCs w:val="18"/>
                <w:color w:val="auto"/>
              </w:rPr>
              <w:t>(946)</w:t>
            </w:r>
          </w:p>
        </w:tc>
        <w:tc>
          <w:tcPr>
            <w:tcW w:w="88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181" w:lineRule="exact"/>
              <w:rPr>
                <w:sz w:val="20"/>
                <w:szCs w:val="20"/>
                <w:color w:val="auto"/>
              </w:rPr>
            </w:pPr>
            <w:r>
              <w:rPr>
                <w:rFonts w:ascii="Times New Roman" w:cs="Times New Roman" w:eastAsia="Times New Roman" w:hAnsi="Times New Roman"/>
                <w:sz w:val="15"/>
                <w:szCs w:val="15"/>
                <w:color w:val="auto"/>
              </w:rPr>
              <w:t xml:space="preserve">(1,201) </w:t>
            </w:r>
            <w:r>
              <w:rPr>
                <w:rFonts w:ascii="Times New Roman" w:cs="Times New Roman" w:eastAsia="Times New Roman" w:hAnsi="Times New Roman"/>
                <w:sz w:val="20"/>
                <w:szCs w:val="20"/>
                <w:color w:val="auto"/>
                <w:vertAlign w:val="superscript"/>
              </w:rPr>
              <w:t>)</w:t>
            </w:r>
          </w:p>
        </w:tc>
        <w:tc>
          <w:tcPr>
            <w:tcW w:w="8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9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Board member Hannah Jones</w:t>
            </w: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(4</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180" w:type="dxa"/>
            <w:vAlign w:val="bottom"/>
            <w:gridSpan w:val="2"/>
            <w:vMerge w:val="continue"/>
          </w:tcPr>
          <w:p>
            <w:pPr>
              <w:spacing w:after="0"/>
              <w:rPr>
                <w:sz w:val="15"/>
                <w:szCs w:val="15"/>
                <w:color w:val="auto"/>
              </w:rPr>
            </w:pPr>
          </w:p>
        </w:tc>
        <w:tc>
          <w:tcPr>
            <w:tcW w:w="12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8"/>
                <w:szCs w:val="18"/>
                <w:color w:val="auto"/>
              </w:rPr>
              <w:t>(905)</w:t>
            </w:r>
          </w:p>
        </w:tc>
        <w:tc>
          <w:tcPr>
            <w:tcW w:w="88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181" w:lineRule="exact"/>
              <w:rPr>
                <w:sz w:val="20"/>
                <w:szCs w:val="20"/>
                <w:color w:val="auto"/>
              </w:rPr>
            </w:pPr>
            <w:r>
              <w:rPr>
                <w:rFonts w:ascii="Times New Roman" w:cs="Times New Roman" w:eastAsia="Times New Roman" w:hAnsi="Times New Roman"/>
                <w:sz w:val="15"/>
                <w:szCs w:val="15"/>
                <w:color w:val="auto"/>
              </w:rPr>
              <w:t xml:space="preserve">(1,201) </w:t>
            </w:r>
            <w:r>
              <w:rPr>
                <w:rFonts w:ascii="Times New Roman" w:cs="Times New Roman" w:eastAsia="Times New Roman" w:hAnsi="Times New Roman"/>
                <w:sz w:val="20"/>
                <w:szCs w:val="20"/>
                <w:color w:val="auto"/>
                <w:vertAlign w:val="superscript"/>
              </w:rPr>
              <w:t>)</w:t>
            </w:r>
          </w:p>
        </w:tc>
        <w:tc>
          <w:tcPr>
            <w:tcW w:w="8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9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Board member Frances Rathke</w:t>
            </w: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(4</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216" w:lineRule="exact"/>
              <w:rPr>
                <w:sz w:val="20"/>
                <w:szCs w:val="20"/>
                <w:color w:val="auto"/>
              </w:rPr>
            </w:pPr>
            <w:r>
              <w:rPr>
                <w:rFonts w:ascii="Times New Roman" w:cs="Times New Roman" w:eastAsia="Times New Roman" w:hAnsi="Times New Roman"/>
                <w:sz w:val="18"/>
                <w:szCs w:val="18"/>
                <w:color w:val="auto"/>
              </w:rPr>
              <w:t xml:space="preserve">(1,201) </w:t>
            </w:r>
            <w:r>
              <w:rPr>
                <w:rFonts w:ascii="Times New Roman" w:cs="Times New Roman" w:eastAsia="Times New Roman" w:hAnsi="Times New Roman"/>
                <w:sz w:val="24"/>
                <w:szCs w:val="24"/>
                <w:color w:val="auto"/>
                <w:vertAlign w:val="superscript"/>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Ann Chung</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5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 of the Board Eric Melloul</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250" w:lineRule="exact"/>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24"/>
                <w:szCs w:val="24"/>
                <w:color w:val="auto"/>
                <w:vertAlign w:val="superscript"/>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Lai Shu Tuen-Muk</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Yawen Wu</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5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Bernard Hours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250" w:lineRule="exact"/>
              <w:rPr>
                <w:sz w:val="20"/>
                <w:szCs w:val="20"/>
                <w:color w:val="auto"/>
              </w:rPr>
            </w:pPr>
            <w:r>
              <w:rPr>
                <w:rFonts w:ascii="Times New Roman" w:cs="Times New Roman" w:eastAsia="Times New Roman" w:hAnsi="Times New Roman"/>
                <w:sz w:val="18"/>
                <w:szCs w:val="18"/>
                <w:color w:val="auto"/>
              </w:rPr>
              <w:t xml:space="preserve">(1,201) </w:t>
            </w:r>
            <w:r>
              <w:rPr>
                <w:rFonts w:ascii="Times New Roman" w:cs="Times New Roman" w:eastAsia="Times New Roman" w:hAnsi="Times New Roman"/>
                <w:sz w:val="24"/>
                <w:szCs w:val="24"/>
                <w:color w:val="auto"/>
                <w:vertAlign w:val="superscript"/>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Xin Wang</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180"/>
        </w:trPr>
        <w:tc>
          <w:tcPr>
            <w:tcW w:w="51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Board member Gregory Christenson</w:t>
            </w:r>
          </w:p>
        </w:tc>
        <w:tc>
          <w:tcPr>
            <w:tcW w:w="12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8"/>
                <w:szCs w:val="18"/>
                <w:color w:val="auto"/>
              </w:rPr>
              <w:t>(480)</w:t>
            </w:r>
          </w:p>
        </w:tc>
        <w:tc>
          <w:tcPr>
            <w:tcW w:w="88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181" w:lineRule="exact"/>
              <w:rPr>
                <w:sz w:val="20"/>
                <w:szCs w:val="20"/>
                <w:color w:val="auto"/>
              </w:rPr>
            </w:pPr>
            <w:r>
              <w:rPr>
                <w:rFonts w:ascii="Times New Roman" w:cs="Times New Roman" w:eastAsia="Times New Roman" w:hAnsi="Times New Roman"/>
                <w:sz w:val="15"/>
                <w:szCs w:val="15"/>
                <w:color w:val="auto"/>
              </w:rPr>
              <w:t xml:space="preserve">(905) </w:t>
            </w:r>
            <w:r>
              <w:rPr>
                <w:rFonts w:ascii="Times New Roman" w:cs="Times New Roman" w:eastAsia="Times New Roman" w:hAnsi="Times New Roman"/>
                <w:sz w:val="20"/>
                <w:szCs w:val="20"/>
                <w:color w:val="auto"/>
                <w:vertAlign w:val="superscript"/>
              </w:rPr>
              <w:t>)</w:t>
            </w:r>
          </w:p>
        </w:tc>
        <w:tc>
          <w:tcPr>
            <w:tcW w:w="8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9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Board member Steven Chu</w:t>
            </w:r>
            <w:r>
              <w:rPr>
                <w:rFonts w:ascii="Times New Roman" w:cs="Times New Roman" w:eastAsia="Times New Roman" w:hAnsi="Times New Roman"/>
                <w:sz w:val="24"/>
                <w:szCs w:val="24"/>
                <w:color w:val="auto"/>
                <w:vertAlign w:val="superscript"/>
              </w:rPr>
              <w:t>(6)</w:t>
            </w: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(4</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8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4"/>
              <w:spacing w:after="0" w:line="196" w:lineRule="exact"/>
              <w:rPr>
                <w:sz w:val="20"/>
                <w:szCs w:val="20"/>
                <w:color w:val="auto"/>
              </w:rPr>
            </w:pPr>
            <w:r>
              <w:rPr>
                <w:rFonts w:ascii="Times New Roman" w:cs="Times New Roman" w:eastAsia="Times New Roman" w:hAnsi="Times New Roman"/>
                <w:sz w:val="17"/>
                <w:szCs w:val="17"/>
                <w:color w:val="auto"/>
              </w:rPr>
              <w:t xml:space="preserve">(297) </w:t>
            </w:r>
            <w:r>
              <w:rPr>
                <w:rFonts w:ascii="Times New Roman" w:cs="Times New Roman" w:eastAsia="Times New Roman" w:hAnsi="Times New Roman"/>
                <w:sz w:val="22"/>
                <w:szCs w:val="22"/>
                <w:color w:val="auto"/>
                <w:vertAlign w:val="superscript"/>
              </w:rPr>
              <w:t>)</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Board member Toni Petersson</w:t>
            </w:r>
            <w:r>
              <w:rPr>
                <w:rFonts w:ascii="Times New Roman" w:cs="Times New Roman" w:eastAsia="Times New Roman" w:hAnsi="Times New Roman"/>
                <w:sz w:val="24"/>
                <w:szCs w:val="24"/>
                <w:color w:val="auto"/>
                <w:vertAlign w:val="superscript"/>
              </w:rPr>
              <w:t>(6)</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senior executives (1 person)</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1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representatives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remuneration to board members, CEO and other senior</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80" w:type="dxa"/>
            <w:vAlign w:val="bottom"/>
            <w:gridSpan w:val="2"/>
            <w:vMerge w:val="continue"/>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(12,084)</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(542)</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(669)</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(769)</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(7,835)</w:t>
            </w:r>
          </w:p>
        </w:tc>
        <w:tc>
          <w:tcPr>
            <w:tcW w:w="16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(21,899)</w:t>
            </w:r>
          </w:p>
        </w:tc>
        <w:tc>
          <w:tcPr>
            <w:tcW w:w="0" w:type="dxa"/>
            <w:vAlign w:val="bottom"/>
          </w:tcPr>
          <w:p>
            <w:pPr>
              <w:spacing w:after="0"/>
              <w:rPr>
                <w:sz w:val="1"/>
                <w:szCs w:val="1"/>
                <w:color w:val="auto"/>
              </w:rPr>
            </w:pPr>
          </w:p>
        </w:tc>
      </w:tr>
      <w:tr>
        <w:trPr>
          <w:trHeight w:val="198"/>
        </w:trPr>
        <w:tc>
          <w:tcPr>
            <w:tcW w:w="5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executives</w:t>
            </w:r>
          </w:p>
        </w:tc>
        <w:tc>
          <w:tcPr>
            <w:tcW w:w="12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CEO employed by another company within the Group and receives salary from this company.</w:t>
      </w:r>
    </w:p>
    <w:p>
      <w:pPr>
        <w:spacing w:after="0" w:line="266" w:lineRule="exact"/>
        <w:rPr>
          <w:sz w:val="20"/>
          <w:szCs w:val="20"/>
          <w:color w:val="auto"/>
        </w:rPr>
      </w:pPr>
    </w:p>
    <w:p>
      <w:pPr>
        <w:ind w:left="520" w:right="40" w:hanging="512"/>
        <w:spacing w:after="0" w:line="266" w:lineRule="auto"/>
        <w:tabs>
          <w:tab w:leader="none" w:pos="3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remuneration relates to bonus compensation awarded by the Company’s remuneration committee in its discretion for recognition of the executive’s performance and advancement of the Company’s strategic business plan.</w:t>
      </w: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remuneration is primarily comprised of car benefit, holiday allowance and health insurance.</w:t>
      </w:r>
    </w:p>
    <w:p>
      <w:pPr>
        <w:spacing w:after="0" w:line="49" w:lineRule="exact"/>
        <w:rPr>
          <w:rFonts w:ascii="Times New Roman" w:cs="Times New Roman" w:eastAsia="Times New Roman" w:hAnsi="Times New Roman"/>
          <w:sz w:val="18"/>
          <w:szCs w:val="18"/>
          <w:color w:val="auto"/>
        </w:rPr>
      </w:pPr>
    </w:p>
    <w:p>
      <w:pPr>
        <w:ind w:left="520" w:hanging="512"/>
        <w:spacing w:after="0" w:line="273" w:lineRule="auto"/>
        <w:tabs>
          <w:tab w:leader="none" w:pos="3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expense recognized, in accordance with IFRS 2, in our consolidated statement of operations, based on the grant date fair value, rather than the amounts paid to or realized by the named individual.</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2023 and 2024.</w:t>
      </w:r>
    </w:p>
    <w:p>
      <w:pPr>
        <w:spacing w:after="0" w:line="3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2024.</w:t>
      </w:r>
    </w:p>
    <w:p>
      <w:pPr>
        <w:spacing w:after="0" w:line="4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Chu and Mr. Petersson stepped down from the Board of Directors, effective May 15,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74" w:name="page75"/>
    <w:bookmarkEnd w:id="74"/>
    <w:p>
      <w:pPr>
        <w:ind w:right="2300"/>
        <w:spacing w:after="0" w:line="264" w:lineRule="auto"/>
        <w:rPr>
          <w:sz w:val="20"/>
          <w:szCs w:val="20"/>
          <w:color w:val="auto"/>
        </w:rPr>
      </w:pPr>
      <w:r>
        <w:rPr>
          <w:rFonts w:ascii="Times New Roman" w:cs="Times New Roman" w:eastAsia="Times New Roman" w:hAnsi="Times New Roman"/>
          <w:sz w:val="18"/>
          <w:szCs w:val="18"/>
          <w:b w:val="1"/>
          <w:bCs w:val="1"/>
          <w:color w:val="auto"/>
        </w:rPr>
        <w:t>Salaries, other benefits and social security contributions – Board members, Chief Executive Officer and other Senior Executives cont.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540"/>
              <w:spacing w:after="0" w:line="123"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060" w:type="dxa"/>
            <w:vAlign w:val="bottom"/>
            <w:gridSpan w:val="5"/>
          </w:tcPr>
          <w:p>
            <w:pPr>
              <w:jc w:val="center"/>
              <w:ind w:right="440"/>
              <w:spacing w:after="0" w:line="123"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920" w:type="dxa"/>
            <w:vAlign w:val="bottom"/>
            <w:gridSpan w:val="4"/>
          </w:tcPr>
          <w:p>
            <w:pPr>
              <w:jc w:val="right"/>
              <w:ind w:right="540"/>
              <w:spacing w:after="0" w:line="123"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0"/>
                <w:szCs w:val="10"/>
                <w:color w:val="auto"/>
              </w:rPr>
            </w:pPr>
          </w:p>
        </w:tc>
        <w:tc>
          <w:tcPr>
            <w:tcW w:w="1060" w:type="dxa"/>
            <w:vAlign w:val="bottom"/>
            <w:gridSpan w:val="6"/>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rPr>
              <w:t>Share-based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3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salary/renumerat</w:t>
            </w:r>
          </w:p>
        </w:tc>
        <w:tc>
          <w:tcPr>
            <w:tcW w:w="1980" w:type="dxa"/>
            <w:vAlign w:val="bottom"/>
            <w:gridSpan w:val="9"/>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remunera    remuneratio</w:t>
            </w:r>
          </w:p>
        </w:tc>
        <w:tc>
          <w:tcPr>
            <w:tcW w:w="6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13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ion to the Board</w:t>
            </w:r>
          </w:p>
        </w:tc>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tion</w:t>
            </w:r>
          </w:p>
        </w:tc>
        <w:tc>
          <w:tcPr>
            <w:tcW w:w="9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 expense</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Board member Steven Chu</w:t>
            </w: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(1,375)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Frances Rathke</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Hannah Jones</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Bernard Hours</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Mattias Klintemar</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Martin Brok</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 of the Board Eric Melloul</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Yawen Wu</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Ann Kim Chung</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Calvin Tuen-Muk Lai Shu</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Eric Xin Wang</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Tim Zhang</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CEO/Board member Toni Petersson</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(3,426)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(13,127)</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(10,905)</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senior executives (4 persons)</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(7,351)</w:t>
            </w:r>
          </w:p>
        </w:tc>
        <w:tc>
          <w:tcPr>
            <w:tcW w:w="20" w:type="dxa"/>
            <w:vAlign w:val="bottom"/>
          </w:tcPr>
          <w:p>
            <w:pPr>
              <w:spacing w:after="0"/>
              <w:rPr>
                <w:sz w:val="18"/>
                <w:szCs w:val="18"/>
                <w:color w:val="auto"/>
              </w:rPr>
            </w:pPr>
          </w:p>
        </w:tc>
        <w:tc>
          <w:tcPr>
            <w:tcW w:w="8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(7,824)</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(10,017)</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1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representatives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remuneration to board members, CEO and other senior</w:t>
            </w: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40" w:type="dxa"/>
            <w:vAlign w:val="bottom"/>
            <w:gridSpan w:val="2"/>
            <w:vMerge w:val="continue"/>
          </w:tcPr>
          <w:p>
            <w:pPr>
              <w:spacing w:after="0"/>
              <w:rPr>
                <w:sz w:val="16"/>
                <w:szCs w:val="16"/>
                <w:color w:val="auto"/>
              </w:rPr>
            </w:pPr>
          </w:p>
        </w:tc>
        <w:tc>
          <w:tcPr>
            <w:tcW w:w="134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(18,679)</w:t>
            </w:r>
          </w:p>
        </w:tc>
        <w:tc>
          <w:tcPr>
            <w:tcW w:w="20" w:type="dxa"/>
            <w:vAlign w:val="bottom"/>
          </w:tcPr>
          <w:p>
            <w:pPr>
              <w:spacing w:after="0"/>
              <w:rPr>
                <w:sz w:val="16"/>
                <w:szCs w:val="16"/>
                <w:color w:val="auto"/>
              </w:rPr>
            </w:pPr>
          </w:p>
        </w:tc>
        <w:tc>
          <w:tcPr>
            <w:tcW w:w="8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(20,951)</w:t>
            </w:r>
          </w:p>
        </w:tc>
        <w:tc>
          <w:tcPr>
            <w:tcW w:w="80" w:type="dxa"/>
            <w:vAlign w:val="bottom"/>
          </w:tcPr>
          <w:p>
            <w:pPr>
              <w:spacing w:after="0"/>
              <w:rPr>
                <w:sz w:val="16"/>
                <w:szCs w:val="16"/>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(23,402)</w:t>
            </w:r>
          </w:p>
        </w:tc>
        <w:tc>
          <w:tcPr>
            <w:tcW w:w="20" w:type="dxa"/>
            <w:vAlign w:val="bottom"/>
          </w:tcPr>
          <w:p>
            <w:pPr>
              <w:spacing w:after="0"/>
              <w:rPr>
                <w:sz w:val="16"/>
                <w:szCs w:val="16"/>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(65,971)</w:t>
            </w:r>
          </w:p>
        </w:tc>
        <w:tc>
          <w:tcPr>
            <w:tcW w:w="0" w:type="dxa"/>
            <w:vAlign w:val="bottom"/>
          </w:tcPr>
          <w:p>
            <w:pPr>
              <w:spacing w:after="0"/>
              <w:rPr>
                <w:sz w:val="1"/>
                <w:szCs w:val="1"/>
                <w:color w:val="auto"/>
              </w:rPr>
            </w:pPr>
          </w:p>
        </w:tc>
      </w:tr>
      <w:tr>
        <w:trPr>
          <w:trHeight w:val="198"/>
        </w:trPr>
        <w:tc>
          <w:tcPr>
            <w:tcW w:w="5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executives</w:t>
            </w:r>
          </w:p>
        </w:tc>
        <w:tc>
          <w:tcPr>
            <w:tcW w:w="13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For disclosures concerning the notice period for senior executives, refer to Group Note 8 </w:t>
            </w:r>
            <w:r>
              <w:rPr>
                <w:rFonts w:ascii="Times New Roman" w:cs="Times New Roman" w:eastAsia="Times New Roman" w:hAnsi="Times New Roman"/>
                <w:sz w:val="18"/>
                <w:szCs w:val="18"/>
                <w:i w:val="1"/>
                <w:iCs w:val="1"/>
                <w:color w:val="auto"/>
              </w:rPr>
              <w:t>Employee and personnel costs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number of employees by geographic division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820" w:type="dxa"/>
            <w:vAlign w:val="bottom"/>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Men</w:t>
            </w:r>
          </w:p>
        </w:tc>
        <w:tc>
          <w:tcPr>
            <w:tcW w:w="220" w:type="dxa"/>
            <w:vAlign w:val="bottom"/>
          </w:tcPr>
          <w:p>
            <w:pPr>
              <w:spacing w:after="0"/>
              <w:rPr>
                <w:sz w:val="12"/>
                <w:szCs w:val="12"/>
                <w:color w:val="auto"/>
              </w:rPr>
            </w:pPr>
          </w:p>
        </w:tc>
        <w:tc>
          <w:tcPr>
            <w:tcW w:w="7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Women</w:t>
            </w:r>
          </w:p>
        </w:tc>
        <w:tc>
          <w:tcPr>
            <w:tcW w:w="220" w:type="dxa"/>
            <w:vAlign w:val="bottom"/>
          </w:tcPr>
          <w:p>
            <w:pPr>
              <w:spacing w:after="0"/>
              <w:rPr>
                <w:sz w:val="12"/>
                <w:szCs w:val="12"/>
                <w:color w:val="auto"/>
              </w:rPr>
            </w:pPr>
          </w:p>
        </w:tc>
        <w:tc>
          <w:tcPr>
            <w:tcW w:w="700" w:type="dxa"/>
            <w:vAlign w:val="bottom"/>
            <w:gridSpan w:val="5"/>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7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Men</w:t>
            </w:r>
          </w:p>
        </w:tc>
        <w:tc>
          <w:tcPr>
            <w:tcW w:w="180" w:type="dxa"/>
            <w:vAlign w:val="bottom"/>
          </w:tcPr>
          <w:p>
            <w:pPr>
              <w:spacing w:after="0"/>
              <w:rPr>
                <w:sz w:val="12"/>
                <w:szCs w:val="12"/>
                <w:color w:val="auto"/>
              </w:rPr>
            </w:pPr>
          </w:p>
        </w:tc>
        <w:tc>
          <w:tcPr>
            <w:tcW w:w="72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Women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Gender distribution in management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820" w:type="dxa"/>
            <w:vAlign w:val="bottom"/>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Men</w:t>
            </w:r>
          </w:p>
        </w:tc>
        <w:tc>
          <w:tcPr>
            <w:tcW w:w="220" w:type="dxa"/>
            <w:vAlign w:val="bottom"/>
          </w:tcPr>
          <w:p>
            <w:pPr>
              <w:spacing w:after="0"/>
              <w:rPr>
                <w:sz w:val="12"/>
                <w:szCs w:val="12"/>
                <w:color w:val="auto"/>
              </w:rPr>
            </w:pPr>
          </w:p>
        </w:tc>
        <w:tc>
          <w:tcPr>
            <w:tcW w:w="7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Women</w:t>
            </w:r>
          </w:p>
        </w:tc>
        <w:tc>
          <w:tcPr>
            <w:tcW w:w="220" w:type="dxa"/>
            <w:vAlign w:val="bottom"/>
          </w:tcPr>
          <w:p>
            <w:pPr>
              <w:spacing w:after="0"/>
              <w:rPr>
                <w:sz w:val="12"/>
                <w:szCs w:val="12"/>
                <w:color w:val="auto"/>
              </w:rPr>
            </w:pPr>
          </w:p>
        </w:tc>
        <w:tc>
          <w:tcPr>
            <w:tcW w:w="700" w:type="dxa"/>
            <w:vAlign w:val="bottom"/>
            <w:gridSpan w:val="5"/>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7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Men</w:t>
            </w:r>
          </w:p>
        </w:tc>
        <w:tc>
          <w:tcPr>
            <w:tcW w:w="180" w:type="dxa"/>
            <w:vAlign w:val="bottom"/>
          </w:tcPr>
          <w:p>
            <w:pPr>
              <w:spacing w:after="0"/>
              <w:rPr>
                <w:sz w:val="12"/>
                <w:szCs w:val="12"/>
                <w:color w:val="auto"/>
              </w:rPr>
            </w:pPr>
          </w:p>
        </w:tc>
        <w:tc>
          <w:tcPr>
            <w:tcW w:w="72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Women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Board members</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and other Senior Executives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remuneration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 2021</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Extraordinary General Meeting of the Company held on May 6, 2021 (the “EGM”) adopted a long-term incentive program for the Company’s board members, management and employees, including qualified consultants who work full time for the Group and over a longer period, called LTI 2021. For more information on the terms of the program, see Group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2016 - 2020</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Parent Company granted warrants to employees and to a company controlled by related parties (see Group Note 31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during the years 2016 – 2020. The outstanding warrants as of January 1, 2023 have either been exercised or forfeited 2023.</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and in the previous years 2023-2021 respectively, the Parent Company accounted for the estimated and reported value of equity-settled programs issued to employees in other companies in the Group as a capital injection to subsidiaries. The value of shares in subsidiaries increases with the corresponding amount recorded as an increase in equity of the Parent Company. Shareholder contributions regarding share-based payments amounted in total TSEK 733,650 at the end of the financial year 2024. The accumulated amount for the end of the financial year 2023 was TSEK 600,381. The accumulated amount for the end of the financial year 2022 was TSEK 386,140 and TSEK 131,110 for the end of the financial year 2021.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Share-based payment expenses accounted for in the Parent Company’s income statement amounted to TSEK 9,538 in 2024 and TSEK 8,728 in 2023.</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44.</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Legal settlement</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(95,817)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gain/(losses)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(6,979)</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See Note 56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xml:space="preserve"> for more information regarding legal settlement costs.</w:t>
            </w: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45.</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Appropriations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Group contribution to Oatly AB</w:t>
            </w:r>
          </w:p>
        </w:tc>
        <w:tc>
          <w:tcPr>
            <w:tcW w:w="16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6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(81,000)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contribution received from Oatly EMEA AB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114,550</w:t>
            </w:r>
          </w:p>
        </w:tc>
        <w:tc>
          <w:tcPr>
            <w:tcW w:w="2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114,550</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in Group companies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4,986,351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8,936,467</w:t>
            </w:r>
          </w:p>
        </w:tc>
        <w:tc>
          <w:tcPr>
            <w:tcW w:w="60" w:type="dxa"/>
            <w:vAlign w:val="bottom"/>
          </w:tcPr>
          <w:p>
            <w:pPr>
              <w:spacing w:after="0"/>
              <w:rPr>
                <w:sz w:val="16"/>
                <w:szCs w:val="16"/>
                <w:color w:val="auto"/>
              </w:rPr>
            </w:pPr>
          </w:p>
        </w:tc>
      </w:tr>
      <w:tr>
        <w:trPr>
          <w:trHeight w:val="218"/>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726,073</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4,931,885</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(1,574,500)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(8,882,000)</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4,137,924</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4,986,351</w:t>
            </w:r>
          </w:p>
        </w:tc>
        <w:tc>
          <w:tcPr>
            <w:tcW w:w="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 2024 and 2023, impairments of shares were recognized regarding the parent company's reported holdings in CEBA AB. For compilation of holdings regarding shares in subsidiary companies, please refer to Group Note 14 </w:t>
      </w:r>
      <w:r>
        <w:rPr>
          <w:rFonts w:ascii="Times New Roman" w:cs="Times New Roman" w:eastAsia="Times New Roman" w:hAnsi="Times New Roman"/>
          <w:sz w:val="18"/>
          <w:szCs w:val="18"/>
          <w:i w:val="1"/>
          <w:iCs w:val="1"/>
          <w:color w:val="auto"/>
        </w:rPr>
        <w:t>Investments in subsidiaries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receivables from Group companies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6,550,000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8,277,759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receivables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(1,727,759)</w:t>
            </w: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48.</w:t>
            </w: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Current receivables</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vMerge w:val="continue"/>
          </w:tcPr>
          <w:p>
            <w:pPr>
              <w:spacing w:after="0"/>
              <w:rPr>
                <w:sz w:val="24"/>
                <w:szCs w:val="24"/>
                <w:color w:val="auto"/>
              </w:rPr>
            </w:pPr>
          </w:p>
        </w:tc>
        <w:tc>
          <w:tcPr>
            <w:tcW w:w="67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VAT receivables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3,217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Tax account</w:t>
            </w:r>
          </w:p>
        </w:tc>
        <w:tc>
          <w:tcPr>
            <w:tcW w:w="6740" w:type="dxa"/>
            <w:vAlign w:val="bottom"/>
          </w:tcPr>
          <w:p>
            <w:pPr>
              <w:spacing w:after="0"/>
              <w:rPr>
                <w:sz w:val="18"/>
                <w:szCs w:val="18"/>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3,743</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6,960</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accrued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48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Prepaid insurance premiums</w:t>
            </w:r>
          </w:p>
        </w:tc>
        <w:tc>
          <w:tcPr>
            <w:tcW w:w="3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5,162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5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5,968</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50.</w:t>
            </w:r>
          </w:p>
        </w:tc>
        <w:tc>
          <w:tcPr>
            <w:tcW w:w="3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Cash and bank balances</w:t>
            </w:r>
          </w:p>
        </w:tc>
        <w:tc>
          <w:tcPr>
            <w:tcW w:w="3200" w:type="dxa"/>
            <w:vAlign w:val="bottom"/>
            <w:vMerge w:val="restart"/>
          </w:tcPr>
          <w:p>
            <w:pPr>
              <w:jc w:val="right"/>
              <w:ind w:right="1896"/>
              <w:spacing w:after="0"/>
              <w:rPr>
                <w:sz w:val="20"/>
                <w:szCs w:val="20"/>
                <w:color w:val="auto"/>
              </w:rPr>
            </w:pPr>
            <w:r>
              <w:rPr>
                <w:rFonts w:ascii="Times New Roman" w:cs="Times New Roman" w:eastAsia="Times New Roman" w:hAnsi="Times New Roman"/>
                <w:sz w:val="18"/>
                <w:szCs w:val="18"/>
                <w:color w:val="auto"/>
              </w:rPr>
              <w:t>73</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80" w:type="dxa"/>
            <w:vAlign w:val="bottom"/>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Bank deposits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0" w:type="dxa"/>
            <w:vAlign w:val="bottom"/>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17,524</w:t>
            </w: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7,895</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related to leases</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Parent Company rents vehicles under non-cancellable operating leases. The lease terms vary between one and three years, and most leases can be extended at the end of the lease term for a fee that is in accordance with a market-based fee.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totaling TSEK 0 (2023: 405 TSEK) were included in profit or loss for the 2024 financial year.</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the end of 2023, there were no non-cancellable operating lease agreements remaining in the parent company, and no future aggregate minimum lease payments for non-cancellable lease agreements exist.</w:t>
      </w:r>
    </w:p>
    <w:p>
      <w:pPr>
        <w:spacing w:after="0" w:line="252"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liabilities attributable to financing activities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Opening balance, January 1, 2023</w:t>
            </w:r>
          </w:p>
        </w:tc>
        <w:tc>
          <w:tcPr>
            <w:tcW w:w="1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3,376,240</w:t>
            </w:r>
          </w:p>
        </w:tc>
        <w:tc>
          <w:tcPr>
            <w:tcW w:w="6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234,921</w:t>
            </w:r>
          </w:p>
        </w:tc>
        <w:tc>
          <w:tcPr>
            <w:tcW w:w="60" w:type="dxa"/>
            <w:vAlign w:val="bottom"/>
          </w:tcPr>
          <w:p>
            <w:pPr>
              <w:spacing w:after="0"/>
              <w:rPr>
                <w:sz w:val="18"/>
                <w:szCs w:val="18"/>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(381,704)</w:t>
            </w: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balance, December 31, 2023</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3,228,827</w:t>
            </w:r>
          </w:p>
        </w:tc>
        <w:tc>
          <w:tcPr>
            <w:tcW w:w="60" w:type="dxa"/>
            <w:vAlign w:val="bottom"/>
          </w:tcPr>
          <w:p>
            <w:pPr>
              <w:spacing w:after="0"/>
              <w:rPr>
                <w:sz w:val="18"/>
                <w:szCs w:val="18"/>
                <w:color w:val="auto"/>
              </w:rPr>
            </w:pP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flows</w:t>
            </w:r>
          </w:p>
        </w:tc>
        <w:tc>
          <w:tcPr>
            <w:tcW w:w="6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358,163</w:t>
            </w:r>
          </w:p>
        </w:tc>
        <w:tc>
          <w:tcPr>
            <w:tcW w:w="60" w:type="dxa"/>
            <w:vAlign w:val="bottom"/>
          </w:tcPr>
          <w:p>
            <w:pPr>
              <w:spacing w:after="0"/>
              <w:rPr>
                <w:sz w:val="18"/>
                <w:szCs w:val="18"/>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recognized in the profit and loss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(18,286)</w:t>
            </w: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balance, December 31, 2024</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3,568,704</w:t>
            </w:r>
          </w:p>
        </w:tc>
        <w:tc>
          <w:tcPr>
            <w:tcW w:w="60" w:type="dxa"/>
            <w:vAlign w:val="bottom"/>
          </w:tcPr>
          <w:p>
            <w:pPr>
              <w:spacing w:after="0"/>
              <w:rPr>
                <w:sz w:val="18"/>
                <w:szCs w:val="18"/>
                <w:color w:val="auto"/>
              </w:rPr>
            </w:pPr>
          </w:p>
        </w:tc>
      </w:tr>
      <w:tr>
        <w:trPr>
          <w:trHeight w:val="534"/>
        </w:trPr>
        <w:tc>
          <w:tcPr>
            <w:tcW w:w="9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53.</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820" w:type="dxa"/>
            <w:vAlign w:val="bottom"/>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7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Employee withholding taxes</w:t>
            </w:r>
          </w:p>
        </w:tc>
        <w:tc>
          <w:tcPr>
            <w:tcW w:w="16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expenses, LTIP</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78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78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1,551</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deferred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Accrued holiday pay</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4,245</w:t>
            </w:r>
          </w:p>
        </w:tc>
        <w:tc>
          <w:tcPr>
            <w:tcW w:w="20" w:type="dxa"/>
            <w:vAlign w:val="bottom"/>
          </w:tcPr>
          <w:p>
            <w:pPr>
              <w:spacing w:after="0"/>
              <w:rPr>
                <w:sz w:val="16"/>
                <w:szCs w:val="16"/>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40,626</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40,289</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40,626</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49,840</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capital as of December 31, 2024 was divided into 598,976,420 (2023: 595,309,165) ordinary shares with a par value of SEK 0.0015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(2023: SEK 0.0015) per share. All shares entitle to one vote each. See Group Note 25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information on the Parent Company’s share capital.</w:t>
      </w:r>
    </w:p>
    <w:p>
      <w:pPr>
        <w:spacing w:after="0" w:line="311"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SEK)</w:t>
            </w: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Legal settlement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Opening balance, January 1, 2023</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Reported in the income statement:</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 Additional provision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6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balance,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12,130</w:t>
            </w:r>
          </w:p>
        </w:tc>
        <w:tc>
          <w:tcPr>
            <w:tcW w:w="3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92,315</w:t>
            </w:r>
          </w:p>
        </w:tc>
        <w:tc>
          <w:tcPr>
            <w:tcW w:w="3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Reported in the income statement:</w:t>
            </w: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 Unused amounts reversed</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(10,745)</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(103,060)</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balance, December 31, 2024</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Provision for legal settlement as per December 31, 2023 relates to a settlement of a US securities class action. The amount has been reported among other operating expenses in the parent company's income statement during 2023.</w:t>
      </w:r>
    </w:p>
    <w:p>
      <w:pPr>
        <w:spacing w:after="0" w:line="50"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per category</w:t>
      </w:r>
    </w:p>
    <w:p>
      <w:pPr>
        <w:sectPr>
          <w:pgSz w:w="11900" w:h="16838" w:orient="portrait"/>
          <w:cols w:equalWidth="0" w:num="1">
            <w:col w:w="11240"/>
          </w:cols>
          <w:pgMar w:left="320" w:top="1033" w:right="339" w:bottom="1440" w:gutter="0" w:footer="0" w:header="0"/>
        </w:sect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88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480"/>
        <w:spacing w:after="0"/>
        <w:tabs>
          <w:tab w:leader="none" w:pos="1820" w:val="left"/>
          <w:tab w:leader="none" w:pos="3220" w:val="left"/>
          <w:tab w:leader="none" w:pos="4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26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rPr>
              <w:t>Fair value changes</w:t>
            </w:r>
          </w:p>
        </w:tc>
        <w:tc>
          <w:tcPr>
            <w:tcW w:w="122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recognized in the</w:t>
            </w:r>
          </w:p>
        </w:tc>
        <w:tc>
          <w:tcPr>
            <w:tcW w:w="260" w:type="dxa"/>
            <w:vAlign w:val="bottom"/>
          </w:tcPr>
          <w:p>
            <w:pPr>
              <w:spacing w:after="0"/>
              <w:rPr>
                <w:sz w:val="8"/>
                <w:szCs w:val="8"/>
                <w:color w:val="auto"/>
              </w:rPr>
            </w:pPr>
          </w:p>
        </w:tc>
        <w:tc>
          <w:tcPr>
            <w:tcW w:w="27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09"/>
        </w:trPr>
        <w:tc>
          <w:tcPr>
            <w:tcW w:w="2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profit and loss</w:t>
            </w:r>
          </w:p>
        </w:tc>
        <w:tc>
          <w:tcPr>
            <w:tcW w:w="26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4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63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40" w:space="720"/>
            <w:col w:w="5580"/>
          </w:cols>
          <w:pgMar w:left="320" w:top="10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Assets in the Parent Company's statement of financial position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from group companies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from group companies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88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6,550,000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6,550,000</w:t>
            </w:r>
          </w:p>
        </w:tc>
      </w:tr>
      <w:tr>
        <w:trPr>
          <w:trHeight w:val="216"/>
        </w:trPr>
        <w:tc>
          <w:tcPr>
            <w:tcW w:w="92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131,535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22,974</w:t>
            </w:r>
          </w:p>
        </w:tc>
      </w:tr>
      <w:tr>
        <w:trPr>
          <w:trHeight w:val="216"/>
        </w:trPr>
        <w:tc>
          <w:tcPr>
            <w:tcW w:w="92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6,960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4,890</w:t>
            </w:r>
          </w:p>
        </w:tc>
      </w:tr>
      <w:tr>
        <w:trPr>
          <w:trHeight w:val="234"/>
        </w:trPr>
        <w:tc>
          <w:tcPr>
            <w:tcW w:w="920" w:type="dxa"/>
            <w:vAlign w:val="bottom"/>
          </w:tcPr>
          <w:p>
            <w:pPr>
              <w:spacing w:after="0"/>
              <w:rPr>
                <w:sz w:val="20"/>
                <w:szCs w:val="20"/>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17,524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7,895</w:t>
            </w:r>
          </w:p>
        </w:tc>
      </w:tr>
      <w:tr>
        <w:trPr>
          <w:trHeight w:val="209"/>
        </w:trPr>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6,706,019</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6,585,759</w:t>
            </w:r>
          </w:p>
        </w:tc>
        <w:tc>
          <w:tcPr>
            <w:tcW w:w="20" w:type="dxa"/>
            <w:vAlign w:val="bottom"/>
          </w:tcPr>
          <w:p>
            <w:pPr>
              <w:spacing w:after="0"/>
              <w:rPr>
                <w:sz w:val="18"/>
                <w:szCs w:val="18"/>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4"/>
                <w:szCs w:val="24"/>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26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rPr>
              <w:t>Fair value changes</w:t>
            </w:r>
          </w:p>
        </w:tc>
        <w:tc>
          <w:tcPr>
            <w:tcW w:w="122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recognized in the</w:t>
            </w:r>
          </w:p>
        </w:tc>
        <w:tc>
          <w:tcPr>
            <w:tcW w:w="260" w:type="dxa"/>
            <w:vAlign w:val="bottom"/>
          </w:tcPr>
          <w:p>
            <w:pPr>
              <w:spacing w:after="0"/>
              <w:rPr>
                <w:sz w:val="8"/>
                <w:szCs w:val="8"/>
                <w:color w:val="auto"/>
              </w:rPr>
            </w:pPr>
          </w:p>
        </w:tc>
        <w:tc>
          <w:tcPr>
            <w:tcW w:w="27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09"/>
        </w:trPr>
        <w:tc>
          <w:tcPr>
            <w:tcW w:w="24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profit and loss - identified</w:t>
            </w:r>
          </w:p>
        </w:tc>
        <w:tc>
          <w:tcPr>
            <w:tcW w:w="26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940" w:space="720"/>
            <w:col w:w="5580"/>
          </w:cols>
          <w:pgMar w:left="320" w:top="1033"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56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Liabilities in the Parent Company's statement of financial position</w:t>
            </w: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group companies (short-term)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1,798,014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1,583,129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3,568,704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3,228,827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15,419</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40,289</w:t>
            </w: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3,568,704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3,228,827</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1,849,425</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1,638,837</w:t>
            </w:r>
          </w:p>
        </w:tc>
      </w:tr>
      <w:tr>
        <w:trPr>
          <w:trHeight w:val="20"/>
        </w:trPr>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reported in the Parent Company's income statement for 2024 had a net negative effect of SEK 339,9 million.</w:t>
      </w:r>
    </w:p>
    <w:p>
      <w:pPr>
        <w:spacing w:after="0" w:line="27"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The corresponding net change for 2023 resulted in a positive effect of SEK 147,4 million. The effect is entirely related to the Convertible Notes. The changes in fair value are presented within the financial net in the Parent Company's income statement.</w:t>
      </w: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Convertible Notes that are reported at fair value are classified and included in level 3 of the fair value hierarchy. There have been no transfers between the levels during 2024 and 2023. See the Group's Note 19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 xml:space="preserve"> for further description of levels in the fair value hierarchy and determined fair value for financial instruments that are reported at fair value, which includes the Parent Company's Convertible Notes. See Note 58 </w:t>
      </w: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for additional information regarding the reported value of the Parent Company's Convertible Notes and significant input data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have been used in the valuation model for determining the fair value of the Convertible Notes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The Parent Company has convertible debentures that are classified in their entirety as liabilities. The instruments contain an embedded derivative in the form of a conversion option. As the entire instrument has been identified for recognition at fair value through the income statement at acquisition, the embedded option is not separately accounted for. Below is information about the reported value of the Parent Company's convertible debentures.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10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Convertible Notes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3,376,240</w:t>
            </w:r>
          </w:p>
        </w:tc>
        <w:tc>
          <w:tcPr>
            <w:tcW w:w="0" w:type="dxa"/>
            <w:vAlign w:val="bottom"/>
          </w:tcPr>
          <w:p>
            <w:pPr>
              <w:spacing w:after="0"/>
              <w:rPr>
                <w:sz w:val="1"/>
                <w:szCs w:val="1"/>
                <w:color w:val="auto"/>
              </w:rPr>
            </w:pPr>
          </w:p>
        </w:tc>
      </w:tr>
      <w:tr>
        <w:trPr>
          <w:trHeight w:val="254"/>
        </w:trPr>
        <w:tc>
          <w:tcPr>
            <w:tcW w:w="67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profit and loss</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(147 413)</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3,228,827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profit and loss</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339,877</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3,568,704</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Share of the change in value due to expected credit risk amounts to SEK 0 in 2024 (2023: SEK -771,4 million).</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36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21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3,568,704</w:t>
            </w:r>
          </w:p>
        </w:tc>
        <w:tc>
          <w:tcPr>
            <w:tcW w:w="260" w:type="dxa"/>
            <w:vAlign w:val="bottom"/>
          </w:tcPr>
          <w:p>
            <w:pPr>
              <w:spacing w:after="0"/>
              <w:rPr>
                <w:sz w:val="16"/>
                <w:szCs w:val="16"/>
                <w:color w:val="auto"/>
              </w:rPr>
            </w:pPr>
          </w:p>
        </w:tc>
        <w:tc>
          <w:tcPr>
            <w:tcW w:w="2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3,228,827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Includes: Cumulative fair value changes on Convertible Notes attributable to changes in</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credit risk,</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the fair value reserve</w:t>
            </w:r>
          </w:p>
        </w:tc>
        <w:tc>
          <w:tcPr>
            <w:tcW w:w="1000" w:type="dxa"/>
            <w:vAlign w:val="bottom"/>
          </w:tcPr>
          <w:p>
            <w:pPr>
              <w:spacing w:after="0"/>
              <w:rPr>
                <w:sz w:val="18"/>
                <w:szCs w:val="18"/>
                <w:color w:val="auto"/>
              </w:rPr>
            </w:pPr>
          </w:p>
        </w:tc>
        <w:tc>
          <w:tcPr>
            <w:tcW w:w="13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771,396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at maturity</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6,015,864</w:t>
            </w:r>
          </w:p>
        </w:tc>
        <w:tc>
          <w:tcPr>
            <w:tcW w:w="2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5,457,483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obligated to pay to holders of Convertible Notes at maturity</w:t>
            </w:r>
          </w:p>
        </w:tc>
        <w:tc>
          <w:tcPr>
            <w:tcW w:w="2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(2,447,160)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(2 228 656)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changes are attributable to market risk and own credit risk. In the Group, fair value changes attributable to market risk are reported in the Group's income statement and effects attributable to own credit risk in other comprehensive income. In the Parent Company, fair value changes attributable to market risk and own credit risk are reported in the income statement in their entirety. Total net effect of changes in fair value for 2024 has totaled negative effect SEK 339 877 million (2023: SEK 147,4 million). No effect was recognized during 2024 arising from changes in credit risk. In 2023, there was an accumulated negative effect of SEK -771 million attributable to changes in credit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table below shows the essential input data and assumptions that have been used in the valuation model for determining the fair value of the Convertible Notes as of December 31, 2024 and 2023. The Convertible Notes are issued in USD, of which the values below are expressed in USD. See the Group's Note 28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further information on the issued Convertible Notes and underlying valuation.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Conversion price ($)</w:t>
            </w:r>
          </w:p>
        </w:tc>
        <w:tc>
          <w:tcPr>
            <w:tcW w:w="23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2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1.36-1.89</w:t>
            </w: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160" w:type="dxa"/>
            <w:vAlign w:val="bottom"/>
          </w:tcPr>
          <w:p>
            <w:pPr>
              <w:spacing w:after="0"/>
              <w:rPr>
                <w:sz w:val="16"/>
                <w:szCs w:val="16"/>
                <w:color w:val="auto"/>
              </w:rPr>
            </w:pP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1.36-2.52</w:t>
            </w: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at valuation date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0.6628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 share (%)</w:t>
            </w:r>
          </w:p>
        </w:tc>
        <w:tc>
          <w:tcPr>
            <w:tcW w:w="2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65.00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2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20.00</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shows the impact of how the reported value of the Convertible Notes would change based on significant input data and the assumptions that have been used to determine the fair value of the Convertible Notes as of December 31, 2024 and for the comparative year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8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2024 (USD)</w:t>
            </w:r>
          </w:p>
        </w:tc>
        <w:tc>
          <w:tcPr>
            <w:tcW w:w="260" w:type="dxa"/>
            <w:vAlign w:val="bottom"/>
          </w:tcPr>
          <w:p>
            <w:pPr>
              <w:spacing w:after="0"/>
              <w:rPr>
                <w:sz w:val="13"/>
                <w:szCs w:val="13"/>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3"/>
                <w:szCs w:val="13"/>
                <w:color w:val="auto"/>
              </w:rPr>
            </w:pPr>
          </w:p>
        </w:tc>
        <w:tc>
          <w:tcPr>
            <w:tcW w:w="17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 2023 (USD)</w:t>
            </w:r>
          </w:p>
        </w:tc>
        <w:tc>
          <w:tcPr>
            <w:tcW w:w="200" w:type="dxa"/>
            <w:vAlign w:val="bottom"/>
          </w:tcPr>
          <w:p>
            <w:pPr>
              <w:spacing w:after="0"/>
              <w:rPr>
                <w:sz w:val="13"/>
                <w:szCs w:val="13"/>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price decrease 30%</w:t>
            </w:r>
          </w:p>
        </w:tc>
        <w:tc>
          <w:tcPr>
            <w:tcW w:w="18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(recalculated TSEK)</w:t>
            </w:r>
          </w:p>
        </w:tc>
        <w:tc>
          <w:tcPr>
            <w:tcW w:w="2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(recalculated TSEK)</w:t>
            </w:r>
          </w:p>
        </w:tc>
        <w:tc>
          <w:tcPr>
            <w:tcW w:w="0" w:type="dxa"/>
            <w:vAlign w:val="bottom"/>
          </w:tcPr>
          <w:p>
            <w:pPr>
              <w:spacing w:after="0"/>
              <w:rPr>
                <w:sz w:val="1"/>
                <w:szCs w:val="1"/>
                <w:color w:val="auto"/>
              </w:rPr>
            </w:pPr>
          </w:p>
        </w:tc>
      </w:tr>
      <w:tr>
        <w:trPr>
          <w:trHeight w:val="191"/>
        </w:trPr>
        <w:tc>
          <w:tcPr>
            <w:tcW w:w="4180" w:type="dxa"/>
            <w:vAlign w:val="bottom"/>
            <w:vMerge w:val="continue"/>
          </w:tcPr>
          <w:p>
            <w:pPr>
              <w:spacing w:after="0"/>
              <w:rPr>
                <w:sz w:val="16"/>
                <w:szCs w:val="16"/>
                <w:color w:val="auto"/>
              </w:rPr>
            </w:pPr>
          </w:p>
        </w:tc>
        <w:tc>
          <w:tcPr>
            <w:tcW w:w="1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303,849</w:t>
            </w:r>
          </w:p>
        </w:tc>
        <w:tc>
          <w:tcPr>
            <w:tcW w:w="26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3,342,673</w:t>
            </w:r>
          </w:p>
        </w:tc>
        <w:tc>
          <w:tcPr>
            <w:tcW w:w="220" w:type="dxa"/>
            <w:vAlign w:val="bottom"/>
          </w:tcPr>
          <w:p>
            <w:pPr>
              <w:spacing w:after="0"/>
              <w:rPr>
                <w:sz w:val="16"/>
                <w:szCs w:val="16"/>
                <w:color w:val="auto"/>
              </w:rPr>
            </w:pPr>
          </w:p>
        </w:tc>
        <w:tc>
          <w:tcPr>
            <w:tcW w:w="1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284,266</w:t>
            </w:r>
          </w:p>
        </w:tc>
        <w:tc>
          <w:tcPr>
            <w:tcW w:w="20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2,836,975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increase 30%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3,810,473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357,969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3,572,534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Volatility decrease 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3,512,772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313,437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3,128,097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3,620,550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3,329,465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decrease 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323 810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3,562,266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321,889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3,212,451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3,574,851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325,089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3,244,385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decrease 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3,665,060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3,315,345</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3,476,051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3,146,252</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Pledged assets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Pledged assets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Parent Company has provided collateral in the form of shares in subsidiaries and certain structural loan receivables with Group companies in order to fulfill the requirements for collateral for liabilities to credit institutions in underlying Group companies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Liabilities to credit institutions</w:t>
            </w: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Shares in subsidiaries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4,986,351</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Assets in the form of structural loan receivables from group companies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6,550,000</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10,687,925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11,536,351</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Parent Company reports contingent obligations in the form of surety bonds regarding issued bank guarantees for debts to credit institutions as well as leasing commitments that exist in underlying group entities.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 (in thousands of SEK)</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7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Guarantees - liabilities to credit institutions</w:t>
            </w: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27,844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44,826</w:t>
            </w:r>
          </w:p>
        </w:tc>
        <w:tc>
          <w:tcPr>
            <w:tcW w:w="20" w:type="dxa"/>
            <w:vAlign w:val="bottom"/>
          </w:tcPr>
          <w:p>
            <w:pPr>
              <w:spacing w:after="0"/>
              <w:rPr>
                <w:sz w:val="16"/>
                <w:szCs w:val="16"/>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Guarantees - leasing commitments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27,846</w:t>
            </w:r>
          </w:p>
        </w:tc>
        <w:tc>
          <w:tcPr>
            <w:tcW w:w="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44,833</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on the parent company's remuneration to senior executives can be found in Note 43 </w:t>
      </w:r>
      <w:r>
        <w:rPr>
          <w:rFonts w:ascii="Times New Roman" w:cs="Times New Roman" w:eastAsia="Times New Roman" w:hAnsi="Times New Roman"/>
          <w:sz w:val="18"/>
          <w:szCs w:val="18"/>
          <w:i w:val="1"/>
          <w:iCs w:val="1"/>
          <w:color w:val="auto"/>
        </w:rPr>
        <w:t>Employee benefits, etc.</w:t>
      </w:r>
      <w:r>
        <w:rPr>
          <w:rFonts w:ascii="Times New Roman" w:cs="Times New Roman" w:eastAsia="Times New Roman" w:hAnsi="Times New Roman"/>
          <w:sz w:val="18"/>
          <w:szCs w:val="18"/>
          <w:color w:val="auto"/>
        </w:rPr>
        <w:t xml:space="preserve"> For further details on related-party transactions, see the Group's Note 31 </w:t>
      </w:r>
      <w:r>
        <w:rPr>
          <w:rFonts w:ascii="Times New Roman" w:cs="Times New Roman" w:eastAsia="Times New Roman" w:hAnsi="Times New Roman"/>
          <w:sz w:val="18"/>
          <w:szCs w:val="18"/>
          <w:i w:val="1"/>
          <w:iCs w:val="1"/>
          <w:color w:val="auto"/>
        </w:rPr>
        <w:t>Related party disclosures.</w:t>
      </w:r>
    </w:p>
    <w:p>
      <w:pPr>
        <w:spacing w:after="0" w:line="264" w:lineRule="exact"/>
        <w:rPr>
          <w:sz w:val="20"/>
          <w:szCs w:val="20"/>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end of the reporting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significant events after the financial year, see Group Note 36 </w:t>
      </w:r>
      <w:r>
        <w:rPr>
          <w:rFonts w:ascii="Times New Roman" w:cs="Times New Roman" w:eastAsia="Times New Roman" w:hAnsi="Times New Roman"/>
          <w:sz w:val="18"/>
          <w:szCs w:val="18"/>
          <w:i w:val="1"/>
          <w:iCs w:val="1"/>
          <w:color w:val="auto"/>
        </w:rPr>
        <w:t>Events after the end of the reporting period.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62.</w:t>
            </w:r>
          </w:p>
        </w:tc>
        <w:tc>
          <w:tcPr>
            <w:tcW w:w="8320" w:type="dxa"/>
            <w:vAlign w:val="bottom"/>
          </w:tcPr>
          <w:p>
            <w:pPr>
              <w:jc w:val="right"/>
              <w:ind w:right="5490"/>
              <w:spacing w:after="0"/>
              <w:rPr>
                <w:sz w:val="20"/>
                <w:szCs w:val="20"/>
                <w:color w:val="auto"/>
              </w:rPr>
            </w:pPr>
            <w:r>
              <w:rPr>
                <w:rFonts w:ascii="Times New Roman" w:cs="Times New Roman" w:eastAsia="Times New Roman" w:hAnsi="Times New Roman"/>
                <w:sz w:val="18"/>
                <w:szCs w:val="18"/>
                <w:b w:val="1"/>
                <w:bCs w:val="1"/>
                <w:color w:val="auto"/>
              </w:rPr>
              <w:t>Proposed appropriation of profits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 proposes that profits available for disposal (SEK)</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 reserve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13,126,053,252</w:t>
            </w:r>
          </w:p>
        </w:tc>
        <w:tc>
          <w:tcPr>
            <w:tcW w:w="100" w:type="dxa"/>
            <w:vAlign w:val="bottom"/>
          </w:tcPr>
          <w:p>
            <w:pPr>
              <w:spacing w:after="0"/>
              <w:rPr>
                <w:sz w:val="18"/>
                <w:szCs w:val="18"/>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(6,390,105,837)</w:t>
            </w:r>
          </w:p>
        </w:tc>
      </w:t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of the year</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(1,306,611,023)</w:t>
            </w:r>
          </w:p>
        </w:tc>
      </w:tr>
      <w:tr>
        <w:trPr>
          <w:trHeight w:val="232"/>
        </w:trPr>
        <w:tc>
          <w:tcPr>
            <w:tcW w:w="88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5,429,336,392</w:t>
            </w:r>
          </w:p>
        </w:tc>
        <w:tc>
          <w:tcPr>
            <w:tcW w:w="100" w:type="dxa"/>
            <w:vAlign w:val="bottom"/>
          </w:tcPr>
          <w:p>
            <w:pPr>
              <w:spacing w:after="0"/>
              <w:rPr>
                <w:sz w:val="20"/>
                <w:szCs w:val="20"/>
                <w:color w:val="auto"/>
              </w:rPr>
            </w:pPr>
          </w:p>
        </w:tc>
      </w:tr>
      <w:tr>
        <w:trPr>
          <w:trHeight w:val="45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appropriated as follows to be carried forward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5,429,336,392</w:t>
            </w:r>
          </w:p>
        </w:tc>
        <w:tc>
          <w:tcPr>
            <w:tcW w:w="100" w:type="dxa"/>
            <w:vAlign w:val="bottom"/>
          </w:tcPr>
          <w:p>
            <w:pPr>
              <w:spacing w:after="0"/>
              <w:rPr>
                <w:sz w:val="24"/>
                <w:szCs w:val="24"/>
                <w:color w:val="auto"/>
              </w:rPr>
            </w:pPr>
          </w:p>
        </w:tc>
      </w:tr>
      <w:tr>
        <w:trPr>
          <w:trHeight w:val="648"/>
        </w:trPr>
        <w:tc>
          <w:tcPr>
            <w:tcW w:w="880" w:type="dxa"/>
            <w:vAlign w:val="bottom"/>
          </w:tcPr>
          <w:p>
            <w:pPr>
              <w:spacing w:after="0"/>
              <w:rPr>
                <w:sz w:val="24"/>
                <w:szCs w:val="24"/>
                <w:color w:val="auto"/>
              </w:rPr>
            </w:pPr>
          </w:p>
        </w:tc>
        <w:tc>
          <w:tcPr>
            <w:tcW w:w="832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rPr>
              <w:t>77</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and the CEO affirm that the consolidated accounts have been prepared in accordance with IFRS Accounting Standards, as adopted by the EU, and provide a true and fair view of the Group’s profit and financial position. The Annual Report has been prepared in accordance with generally accepted accounting policies and provides a true and fair view of the Parent Company’s profit and financial position.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administration report for the Group and the Parent Company provides a fair review of the development of the Group’s and the Parent Company’s operations, profit and financial position and describes material risks and uncertainty factors faced by the Parent Company and the companies included in the Group.</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Income Statement and Consolidated Balance Sheet and the Parent Company Income Statement and Parent Company Balance Sheet will be subject to adoption at the AGM on May 20,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the consolidated accounts and the Annual Report was determined on April 23,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Malmö</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__________________</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__________________</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Martin Brok</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Ann Chung</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2025-04-23</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2025-04-23</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2025-04-23</w:t>
            </w:r>
          </w:p>
        </w:tc>
        <w:tc>
          <w:tcPr>
            <w:tcW w:w="37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6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__________________</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__________________</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Gregory Christenson</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Bernard Hours</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Lillis Härd</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2025-04-23</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2025-04-23</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2025-04-23</w:t>
            </w:r>
          </w:p>
        </w:tc>
      </w:tr>
      <w:tr>
        <w:trPr>
          <w:trHeight w:val="6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__________________</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__________________</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Frances Rathke</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Lai Shu Tuen-Muk</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2025-04-23</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2025-04-23</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2025-04-23</w:t>
            </w:r>
          </w:p>
        </w:tc>
      </w:tr>
      <w:tr>
        <w:trPr>
          <w:trHeight w:val="6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__________________</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__________________</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Xin Wang</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Yawen Wu</w:t>
            </w: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Jean-Christophe Flatin</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2025-04-23</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2025-04-23</w:t>
            </w:r>
          </w:p>
        </w:tc>
        <w:tc>
          <w:tcPr>
            <w:tcW w:w="27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CEO</w:t>
            </w:r>
          </w:p>
        </w:tc>
      </w:tr>
      <w:tr>
        <w:trPr>
          <w:trHeight w:val="234"/>
        </w:trPr>
        <w:tc>
          <w:tcPr>
            <w:tcW w:w="2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2025-04-23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Audit report submitted 2025-04-24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AB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Setareh Moradi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Public Accountant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Roman"/>
      <w:start w:val="2"/>
    </w:lvl>
  </w:abstractNum>
  <w:abstractNum w:abstractNumId="1">
    <w:nsid w:val="3855585C"/>
    <w:multiLevelType w:val="hybridMultilevel"/>
    <w:lvl w:ilvl="0">
      <w:lvlJc w:val="left"/>
      <w:lvlText w:val="(%1)"/>
      <w:numFmt w:val="lowerRoman"/>
      <w:start w:val="1"/>
    </w:lvl>
  </w:abstractNum>
  <w:abstractNum w:abstractNumId="2">
    <w:nsid w:val="70A64E2A"/>
    <w:multiLevelType w:val="hybridMultilevel"/>
    <w:lvl w:ilvl="0">
      <w:lvlJc w:val="left"/>
      <w:lvlText w:val="(%1)"/>
      <w:numFmt w:val="decimal"/>
      <w:start w:val="323"/>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2"/>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3"/>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1."/>
      <w:numFmt w:val="decimal"/>
      <w:start w:val="4"/>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5"/>
    </w:lvl>
  </w:abstractNum>
  <w:abstractNum w:abstractNumId="20">
    <w:nsid w:val="1BA026FA"/>
    <w:multiLevelType w:val="hybridMultilevel"/>
    <w:lvl w:ilvl="0">
      <w:lvlJc w:val="left"/>
      <w:lvlText w:val="(%1)"/>
      <w:numFmt w:val="lowerRoman"/>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6"/>
    </w:lvl>
  </w:abstractNum>
  <w:abstractNum w:abstractNumId="25">
    <w:nsid w:val="520EEDD1"/>
    <w:multiLevelType w:val="hybridMultilevel"/>
    <w:lvl w:ilvl="0">
      <w:lvlJc w:val="left"/>
      <w:lvlText w:val="%1."/>
      <w:numFmt w:val="decimal"/>
      <w:start w:val="7"/>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8"/>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9"/>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0"/>
    </w:lvl>
  </w:abstractNum>
  <w:abstractNum w:abstractNumId="35">
    <w:nsid w:val="47398C89"/>
    <w:multiLevelType w:val="hybridMultilevel"/>
    <w:lvl w:ilvl="0">
      <w:lvlJc w:val="left"/>
      <w:lvlText w:val="%1."/>
      <w:numFmt w:val="decimal"/>
      <w:start w:val="13"/>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4"/>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6"/>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4"/>
    </w:lvl>
  </w:abstractNum>
  <w:abstractNum w:abstractNumId="43">
    <w:nsid w:val="7E0C57B1"/>
    <w:multiLevelType w:val="hybridMultilevel"/>
    <w:lvl w:ilvl="0">
      <w:lvlJc w:val="left"/>
      <w:lvlText w:val="%1."/>
      <w:numFmt w:val="decimal"/>
      <w:start w:val="17"/>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24"/>
    </w:lvl>
  </w:abstractNum>
  <w:abstractNum w:abstractNumId="49">
    <w:nsid w:val="25A70BF7"/>
    <w:multiLevelType w:val="hybridMultilevel"/>
    <w:lvl w:ilvl="0">
      <w:lvlJc w:val="left"/>
      <w:lvlText w:val="%1."/>
      <w:numFmt w:val="decimal"/>
      <w:start w:val="25"/>
    </w:lvl>
  </w:abstractNum>
  <w:abstractNum w:abstractNumId="50">
    <w:nsid w:val="1DBABF00"/>
    <w:multiLevelType w:val="hybridMultilevel"/>
    <w:lvl w:ilvl="0">
      <w:lvlJc w:val="left"/>
      <w:lvlText w:val="(%1)"/>
      <w:numFmt w:val="lowerRoman"/>
      <w:start w:val="2"/>
    </w:lvl>
  </w:abstractNum>
  <w:abstractNum w:abstractNumId="51">
    <w:nsid w:val="4AD084E9"/>
    <w:multiLevelType w:val="hybridMultilevel"/>
    <w:lvl w:ilvl="0">
      <w:lvlJc w:val="left"/>
      <w:lvlText w:val="%1."/>
      <w:numFmt w:val="decimal"/>
      <w:start w:val="28"/>
    </w:lvl>
  </w:abstractNum>
  <w:abstractNum w:abstractNumId="52">
    <w:nsid w:val="1F48EAA1"/>
    <w:multiLevelType w:val="hybridMultilevel"/>
    <w:lvl w:ilvl="0">
      <w:lvlJc w:val="left"/>
      <w:lvlText w:val="%1"/>
      <w:numFmt w:val="upperLetter"/>
      <w:start w:val="34"/>
    </w:lvl>
  </w:abstractNum>
  <w:abstractNum w:abstractNumId="53">
    <w:nsid w:val="1381823A"/>
    <w:multiLevelType w:val="hybridMultilevel"/>
    <w:lvl w:ilvl="0">
      <w:lvlJc w:val="left"/>
      <w:lvlText w:val="%1."/>
      <w:numFmt w:val="decimal"/>
      <w:start w:val="29"/>
    </w:lvl>
  </w:abstractNum>
  <w:abstractNum w:abstractNumId="54">
    <w:nsid w:val="5DB70AE5"/>
    <w:multiLevelType w:val="hybridMultilevel"/>
    <w:lvl w:ilvl="0">
      <w:lvlJc w:val="left"/>
      <w:lvlText w:val="%1."/>
      <w:numFmt w:val="decimal"/>
      <w:start w:val="30"/>
    </w:lvl>
  </w:abstractNum>
  <w:abstractNum w:abstractNumId="55">
    <w:nsid w:val="100F8FCA"/>
    <w:multiLevelType w:val="hybridMultilevel"/>
    <w:lvl w:ilvl="0">
      <w:lvlJc w:val="left"/>
      <w:lvlText w:val="%1."/>
      <w:numFmt w:val="decimal"/>
      <w:start w:val="32"/>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33"/>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34"/>
    </w:lvl>
  </w:abstractNum>
  <w:abstractNum w:abstractNumId="60">
    <w:nsid w:val="799D0247"/>
    <w:multiLevelType w:val="hybridMultilevel"/>
    <w:lvl w:ilvl="0">
      <w:lvlJc w:val="left"/>
      <w:lvlText w:val="%1."/>
      <w:numFmt w:val="decimal"/>
      <w:start w:val="35"/>
    </w:lvl>
  </w:abstractNum>
  <w:abstractNum w:abstractNumId="61">
    <w:nsid w:val="6B94764"/>
    <w:multiLevelType w:val="hybridMultilevel"/>
    <w:lvl w:ilvl="0">
      <w:lvlJc w:val="left"/>
      <w:lvlText w:val="%1."/>
      <w:numFmt w:val="decimal"/>
      <w:start w:val="36"/>
    </w:lvl>
  </w:abstractNum>
  <w:abstractNum w:abstractNumId="62">
    <w:nsid w:val="42C296BD"/>
    <w:multiLevelType w:val="hybridMultilevel"/>
    <w:lvl w:ilvl="0">
      <w:lvlJc w:val="left"/>
      <w:lvlText w:val="(%1)"/>
      <w:numFmt w:val="lowerRoman"/>
      <w:start w:val="3"/>
    </w:lvl>
  </w:abstractNum>
  <w:abstractNum w:abstractNumId="63">
    <w:nsid w:val="168E121F"/>
    <w:multiLevelType w:val="hybridMultilevel"/>
    <w:lvl w:ilvl="0">
      <w:lvlJc w:val="left"/>
      <w:lvlText w:val="%1."/>
      <w:numFmt w:val="decimal"/>
      <w:start w:val="37"/>
    </w:lvl>
  </w:abstractNum>
  <w:abstractNum w:abstractNumId="64">
    <w:nsid w:val="1EBA5D23"/>
    <w:multiLevelType w:val="hybridMultilevel"/>
    <w:lvl w:ilvl="0">
      <w:lvlJc w:val="left"/>
      <w:lvlText w:val="%1."/>
      <w:numFmt w:val="decimal"/>
      <w:start w:val="38"/>
    </w:lvl>
  </w:abstractNum>
  <w:abstractNum w:abstractNumId="65">
    <w:nsid w:val="661E3F1E"/>
    <w:multiLevelType w:val="hybridMultilevel"/>
    <w:lvl w:ilvl="0">
      <w:lvlJc w:val="left"/>
      <w:lvlText w:val="%1."/>
      <w:numFmt w:val="decimal"/>
      <w:start w:val="42"/>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46"/>
    </w:lvl>
  </w:abstractNum>
  <w:abstractNum w:abstractNumId="69">
    <w:nsid w:val="51D9C564"/>
    <w:multiLevelType w:val="hybridMultilevel"/>
    <w:lvl w:ilvl="0">
      <w:lvlJc w:val="left"/>
      <w:lvlText w:val="%1."/>
      <w:numFmt w:val="decimal"/>
      <w:start w:val="47"/>
    </w:lvl>
  </w:abstractNum>
  <w:abstractNum w:abstractNumId="70">
    <w:nsid w:val="613EFDC5"/>
    <w:multiLevelType w:val="hybridMultilevel"/>
    <w:lvl w:ilvl="0">
      <w:lvlJc w:val="left"/>
      <w:lvlText w:val="%1."/>
      <w:numFmt w:val="decimal"/>
      <w:start w:val="49"/>
    </w:lvl>
  </w:abstractNum>
  <w:abstractNum w:abstractNumId="71">
    <w:nsid w:val="BF72B14"/>
    <w:multiLevelType w:val="hybridMultilevel"/>
    <w:lvl w:ilvl="0">
      <w:lvlJc w:val="left"/>
      <w:lvlText w:val="%1."/>
      <w:numFmt w:val="decimal"/>
      <w:start w:val="51"/>
    </w:lvl>
  </w:abstractNum>
  <w:abstractNum w:abstractNumId="72">
    <w:nsid w:val="11447B73"/>
    <w:multiLevelType w:val="hybridMultilevel"/>
    <w:lvl w:ilvl="0">
      <w:lvlJc w:val="left"/>
      <w:lvlText w:val="%1."/>
      <w:numFmt w:val="decimal"/>
      <w:start w:val="52"/>
    </w:lvl>
  </w:abstractNum>
  <w:abstractNum w:abstractNumId="73">
    <w:nsid w:val="42963E5A"/>
    <w:multiLevelType w:val="hybridMultilevel"/>
    <w:lvl w:ilvl="0">
      <w:lvlJc w:val="left"/>
      <w:lvlText w:val="%1."/>
      <w:numFmt w:val="decimal"/>
      <w:start w:val="54"/>
    </w:lvl>
  </w:abstractNum>
  <w:abstractNum w:abstractNumId="74">
    <w:nsid w:val="A0382C5"/>
    <w:multiLevelType w:val="hybridMultilevel"/>
    <w:lvl w:ilvl="0">
      <w:lvlJc w:val="left"/>
      <w:lvlText w:val="%1."/>
      <w:numFmt w:val="decimal"/>
      <w:start w:val="55"/>
    </w:lvl>
  </w:abstractNum>
  <w:abstractNum w:abstractNumId="75">
    <w:nsid w:val="8F2B15E"/>
    <w:multiLevelType w:val="hybridMultilevel"/>
    <w:lvl w:ilvl="0">
      <w:lvlJc w:val="left"/>
      <w:lvlText w:val="%1."/>
      <w:numFmt w:val="decimal"/>
      <w:start w:val="56"/>
    </w:lvl>
  </w:abstractNum>
  <w:abstractNum w:abstractNumId="76">
    <w:nsid w:val="1A32234B"/>
    <w:multiLevelType w:val="hybridMultilevel"/>
    <w:lvl w:ilvl="0">
      <w:lvlJc w:val="left"/>
      <w:lvlText w:val="%1."/>
      <w:numFmt w:val="decimal"/>
      <w:start w:val="57"/>
    </w:lvl>
  </w:abstractNum>
  <w:abstractNum w:abstractNumId="77">
    <w:nsid w:val="3B0FD379"/>
    <w:multiLevelType w:val="hybridMultilevel"/>
    <w:lvl w:ilvl="0">
      <w:lvlJc w:val="left"/>
      <w:lvlText w:val="%1."/>
      <w:numFmt w:val="decimal"/>
      <w:start w:val="58"/>
    </w:lvl>
  </w:abstractNum>
  <w:abstractNum w:abstractNumId="78">
    <w:nsid w:val="68EB2F63"/>
    <w:multiLevelType w:val="hybridMultilevel"/>
    <w:lvl w:ilvl="0">
      <w:lvlJc w:val="left"/>
      <w:lvlText w:val="%1."/>
      <w:numFmt w:val="decimal"/>
      <w:start w:val="59"/>
    </w:lvl>
  </w:abstractNum>
  <w:abstractNum w:abstractNumId="79">
    <w:nsid w:val="4962813B"/>
    <w:multiLevelType w:val="hybridMultilevel"/>
    <w:lvl w:ilvl="0">
      <w:lvlJc w:val="left"/>
      <w:lvlText w:val="%1."/>
      <w:numFmt w:val="decimal"/>
      <w:start w:val="60"/>
    </w:lvl>
  </w:abstractNum>
  <w:abstractNum w:abstractNumId="80">
    <w:nsid w:val="60B6DF70"/>
    <w:multiLevelType w:val="hybridMultilevel"/>
    <w:lvl w:ilvl="0">
      <w:lvlJc w:val="left"/>
      <w:lvlText w:val="%1."/>
      <w:numFmt w:val="decimal"/>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2025-04-28T15:22:27Z</dcterms:created>
  <dcterms:modified xsi:type="dcterms:W3CDTF">2025-04-28T15:22:27Z</dcterms:modified>
</cp:coreProperties>
</file>