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Sustainable Revolving Credit Facility Agreement and Term Loan B Credit Agreement</w:t>
      </w:r>
    </w:p>
    <w:p>
      <w:pPr>
        <w:spacing w:after="0" w:line="12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11, 2025, the Group’s Sustainable Revolving Credit Facility Agreement and Term Loan 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3" w:lineRule="exact"/>
        <w:rPr>
          <w:sz w:val="24"/>
          <w:szCs w:val="24"/>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The amended agreements impose limitations on drawdowns under the Sustainable Revolving Credit Facility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132" w:lineRule="exact"/>
        <w:rPr>
          <w:sz w:val="24"/>
          <w:szCs w:val="24"/>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$75,000,000, the full amount of the existing facility may be drawn,</w:t>
      </w:r>
    </w:p>
    <w:p>
      <w:pPr>
        <w:spacing w:after="0" w:line="27"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3"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12, 2025, the Company issued a press release announcing its financial results for the quarter and year ended December 31, 2024. A copy of the press release is furnished as Exhibit 99.1 to this Report on Form 6-K. This includes an update on our Asia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890270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41"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February 12, 2025</w:t>
            </w:r>
          </w:p>
        </w:tc>
      </w:tr>
      <w:tr>
        <w:trPr>
          <w:trHeight w:val="100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80" w:type="dxa"/>
            <w:vAlign w:val="bottom"/>
            <w:tcBorders>
              <w:top w:val="single" w:sz="8" w:color="0000FF"/>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780" w:type="dxa"/>
            <w:vAlign w:val="bottom"/>
          </w:tcPr>
          <w:p>
            <w:pPr>
              <w:spacing w:after="0"/>
              <w:rPr>
                <w:sz w:val="16"/>
                <w:szCs w:val="16"/>
                <w:color w:val="auto"/>
              </w:rPr>
            </w:pPr>
          </w:p>
        </w:tc>
        <w:tc>
          <w:tcPr>
            <w:tcW w:w="264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78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7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167640</wp:posOffset>
            </wp:positionV>
            <wp:extent cx="160274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Fourth Quarter and Full Year 2024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MALMÖ, Sweden, February 12, 2025 – Oatly Group AB (Nasdaq: OTLY) (“Oatly” or the “Company”), the world’s original and largest oat drink company, today announced financial results for the fourth quarter and twelve months ended December 31,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Jean-Christophe Flatin, Oatly’s CEO, commented, “Over the past two years, we have executed a significant transformation of our company. We have overhauled our supply chain, our overhead structure, and our mindset. We now have a much healthier business with clear strategies, clear accountability, stronger margins, and significantly improved profitability. I am proud of our team for embracing the challenge, making the necessary changes, and focusing on execution. All this hard work has enabled us to now expect 2025 to be our first full year of profitable growth as a public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twelve months ended December 31,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40" w:type="dxa"/>
            <w:vAlign w:val="bottom"/>
          </w:tcPr>
          <w:p>
            <w:pPr>
              <w:spacing w:after="0"/>
              <w:rPr>
                <w:sz w:val="9"/>
                <w:szCs w:val="9"/>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1680" w:type="dxa"/>
            <w:vAlign w:val="bottom"/>
            <w:tcBorders>
              <w:bottom w:val="single" w:sz="8" w:color="auto"/>
            </w:tcBorders>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0"/>
                <w:szCs w:val="10"/>
                <w:color w:val="auto"/>
              </w:rPr>
            </w:pP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0" w:type="dxa"/>
            <w:vAlign w:val="bottom"/>
          </w:tcPr>
          <w:p>
            <w:pPr>
              <w:spacing w:after="0"/>
              <w:rPr>
                <w:sz w:val="1"/>
                <w:szCs w:val="1"/>
                <w:color w:val="auto"/>
              </w:rPr>
            </w:pPr>
          </w:p>
        </w:tc>
      </w:tr>
      <w:tr>
        <w:trPr>
          <w:trHeight w:val="68"/>
        </w:trPr>
        <w:tc>
          <w:tcPr>
            <w:tcW w:w="2740" w:type="dxa"/>
            <w:vAlign w:val="bottom"/>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vMerge w:val="restart"/>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vMerge w:val="restart"/>
          </w:tcPr>
          <w:p>
            <w:pPr>
              <w:jc w:val="right"/>
              <w:ind w:right="13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5"/>
                <w:szCs w:val="5"/>
                <w:color w:val="auto"/>
              </w:rPr>
            </w:pPr>
          </w:p>
        </w:tc>
        <w:tc>
          <w:tcPr>
            <w:tcW w:w="840" w:type="dxa"/>
            <w:vAlign w:val="bottom"/>
            <w:vMerge w:val="restart"/>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92"/>
        </w:trPr>
        <w:tc>
          <w:tcPr>
            <w:tcW w:w="2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8"/>
                <w:szCs w:val="8"/>
                <w:color w:val="auto"/>
              </w:rPr>
            </w:pPr>
          </w:p>
        </w:tc>
        <w:tc>
          <w:tcPr>
            <w:tcW w:w="9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0" w:type="dxa"/>
            <w:vAlign w:val="bottom"/>
          </w:tcPr>
          <w:p>
            <w:pPr>
              <w:spacing w:after="0"/>
              <w:rPr>
                <w:sz w:val="1"/>
                <w:szCs w:val="1"/>
                <w:color w:val="auto"/>
              </w:rPr>
            </w:pPr>
          </w:p>
        </w:tc>
      </w:tr>
      <w:tr>
        <w:trPr>
          <w:trHeight w:val="64"/>
        </w:trPr>
        <w:tc>
          <w:tcPr>
            <w:tcW w:w="2740" w:type="dxa"/>
            <w:vAlign w:val="bottom"/>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Europe &amp; International</w:t>
            </w:r>
          </w:p>
        </w:tc>
        <w:tc>
          <w:tcPr>
            <w:tcW w:w="7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108,46</w:t>
            </w:r>
          </w:p>
        </w:tc>
        <w:tc>
          <w:tcPr>
            <w:tcW w:w="9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105,62</w:t>
            </w:r>
          </w:p>
        </w:tc>
        <w:tc>
          <w:tcPr>
            <w:tcW w:w="9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108,46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107,885</w:t>
            </w:r>
          </w:p>
        </w:tc>
        <w:tc>
          <w:tcPr>
            <w:tcW w:w="1020" w:type="dxa"/>
            <w:vAlign w:val="bottom"/>
            <w:gridSpan w:val="2"/>
            <w:vMerge w:val="restart"/>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vMerge w:val="continue"/>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92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2.0%</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35,140</w:t>
            </w:r>
          </w:p>
        </w:tc>
        <w:tc>
          <w:tcPr>
            <w:tcW w:w="102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34.7%</w:t>
            </w:r>
          </w:p>
        </w:tc>
        <w:tc>
          <w:tcPr>
            <w:tcW w:w="9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-26.9%</w:t>
            </w:r>
          </w:p>
        </w:tc>
        <w:tc>
          <w:tcPr>
            <w:tcW w:w="0" w:type="dxa"/>
            <w:vAlign w:val="bottom"/>
          </w:tcPr>
          <w:p>
            <w:pPr>
              <w:spacing w:after="0"/>
              <w:rPr>
                <w:sz w:val="1"/>
                <w:szCs w:val="1"/>
                <w:color w:val="auto"/>
              </w:rPr>
            </w:pPr>
          </w:p>
        </w:tc>
      </w:tr>
      <w:tr>
        <w:trPr>
          <w:trHeight w:val="187"/>
        </w:trPr>
        <w:tc>
          <w:tcPr>
            <w:tcW w:w="27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7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214,31</w:t>
            </w:r>
          </w:p>
        </w:tc>
        <w:tc>
          <w:tcPr>
            <w:tcW w:w="9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204,12</w:t>
            </w:r>
          </w:p>
        </w:tc>
        <w:tc>
          <w:tcPr>
            <w:tcW w:w="9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214,31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213,621</w:t>
            </w:r>
          </w:p>
        </w:tc>
        <w:tc>
          <w:tcPr>
            <w:tcW w:w="10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5.0%</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4.7%</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9.9%</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74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740" w:type="dxa"/>
            <w:vAlign w:val="bottom"/>
          </w:tcPr>
          <w:p>
            <w:pPr>
              <w:spacing w:after="0"/>
              <w:rPr>
                <w:sz w:val="9"/>
                <w:szCs w:val="9"/>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1680" w:type="dxa"/>
            <w:vAlign w:val="bottom"/>
            <w:tcBorders>
              <w:bottom w:val="single" w:sz="8" w:color="auto"/>
            </w:tcBorders>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0"/>
                <w:szCs w:val="10"/>
                <w:color w:val="auto"/>
              </w:rPr>
            </w:pP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0" w:type="dxa"/>
            <w:vAlign w:val="bottom"/>
          </w:tcPr>
          <w:p>
            <w:pPr>
              <w:spacing w:after="0"/>
              <w:rPr>
                <w:sz w:val="1"/>
                <w:szCs w:val="1"/>
                <w:color w:val="auto"/>
              </w:rPr>
            </w:pPr>
          </w:p>
        </w:tc>
      </w:tr>
      <w:tr>
        <w:trPr>
          <w:trHeight w:val="68"/>
        </w:trPr>
        <w:tc>
          <w:tcPr>
            <w:tcW w:w="2740" w:type="dxa"/>
            <w:vAlign w:val="bottom"/>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vMerge w:val="restart"/>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vMerge w:val="restart"/>
          </w:tcPr>
          <w:p>
            <w:pPr>
              <w:jc w:val="right"/>
              <w:ind w:right="13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5"/>
                <w:szCs w:val="5"/>
                <w:color w:val="auto"/>
              </w:rPr>
            </w:pPr>
          </w:p>
        </w:tc>
        <w:tc>
          <w:tcPr>
            <w:tcW w:w="840" w:type="dxa"/>
            <w:vAlign w:val="bottom"/>
            <w:vMerge w:val="restart"/>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92"/>
        </w:trPr>
        <w:tc>
          <w:tcPr>
            <w:tcW w:w="2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8"/>
                <w:szCs w:val="8"/>
                <w:color w:val="auto"/>
              </w:rPr>
            </w:pPr>
          </w:p>
        </w:tc>
        <w:tc>
          <w:tcPr>
            <w:tcW w:w="9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0" w:type="dxa"/>
            <w:vAlign w:val="bottom"/>
          </w:tcPr>
          <w:p>
            <w:pPr>
              <w:spacing w:after="0"/>
              <w:rPr>
                <w:sz w:val="1"/>
                <w:szCs w:val="1"/>
                <w:color w:val="auto"/>
              </w:rPr>
            </w:pPr>
          </w:p>
        </w:tc>
      </w:tr>
      <w:tr>
        <w:trPr>
          <w:trHeight w:val="64"/>
        </w:trPr>
        <w:tc>
          <w:tcPr>
            <w:tcW w:w="2740" w:type="dxa"/>
            <w:vAlign w:val="bottom"/>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Europe &amp; International</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434,26</w:t>
            </w:r>
          </w:p>
        </w:tc>
        <w:tc>
          <w:tcPr>
            <w:tcW w:w="24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408,41</w:t>
            </w:r>
          </w:p>
        </w:tc>
        <w:tc>
          <w:tcPr>
            <w:tcW w:w="24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434,26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430,159</w:t>
            </w:r>
          </w:p>
        </w:tc>
        <w:tc>
          <w:tcPr>
            <w:tcW w:w="10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North America</w:t>
            </w:r>
          </w:p>
        </w:tc>
        <w:tc>
          <w:tcPr>
            <w:tcW w:w="7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274,45</w:t>
            </w:r>
          </w:p>
        </w:tc>
        <w:tc>
          <w:tcPr>
            <w:tcW w:w="96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250,26</w:t>
            </w:r>
          </w:p>
        </w:tc>
        <w:tc>
          <w:tcPr>
            <w:tcW w:w="9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274,45</w:t>
            </w:r>
          </w:p>
        </w:tc>
        <w:tc>
          <w:tcPr>
            <w:tcW w:w="2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1020" w:type="dxa"/>
            <w:vAlign w:val="bottom"/>
            <w:gridSpan w:val="2"/>
            <w:vMerge w:val="restart"/>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9.7%</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9.7%</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10.0%</w:t>
            </w:r>
          </w:p>
        </w:tc>
        <w:tc>
          <w:tcPr>
            <w:tcW w:w="94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980" w:type="dxa"/>
            <w:vAlign w:val="bottom"/>
            <w:vMerge w:val="continue"/>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92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Greater China</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114,94</w:t>
            </w:r>
          </w:p>
        </w:tc>
        <w:tc>
          <w:tcPr>
            <w:tcW w:w="9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124,67</w:t>
            </w:r>
          </w:p>
        </w:tc>
        <w:tc>
          <w:tcPr>
            <w:tcW w:w="9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114,94</w:t>
            </w: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(1,865 )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116,813</w:t>
            </w:r>
          </w:p>
        </w:tc>
        <w:tc>
          <w:tcPr>
            <w:tcW w:w="10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-6.3%</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21.2%</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-27.5%</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3"/>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74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720" w:type="dxa"/>
            <w:vAlign w:val="bottom"/>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823,66</w:t>
            </w:r>
          </w:p>
        </w:tc>
        <w:tc>
          <w:tcPr>
            <w:tcW w:w="960" w:type="dxa"/>
            <w:vAlign w:val="bottom"/>
            <w:gridSpan w:val="2"/>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783,34</w:t>
            </w:r>
          </w:p>
        </w:tc>
        <w:tc>
          <w:tcPr>
            <w:tcW w:w="920" w:type="dxa"/>
            <w:vAlign w:val="bottom"/>
            <w:gridSpan w:val="2"/>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823,66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2,239</w:t>
            </w:r>
          </w:p>
        </w:tc>
        <w:tc>
          <w:tcPr>
            <w:tcW w:w="22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821,427</w:t>
            </w:r>
          </w:p>
        </w:tc>
        <w:tc>
          <w:tcPr>
            <w:tcW w:w="1020" w:type="dxa"/>
            <w:vAlign w:val="bottom"/>
            <w:gridSpan w:val="2"/>
            <w:vMerge w:val="restart"/>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5.1%</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4.8%</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8.8%</w:t>
            </w:r>
          </w:p>
        </w:tc>
        <w:tc>
          <w:tcPr>
            <w:tcW w:w="94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144"/>
        </w:trPr>
        <w:tc>
          <w:tcPr>
            <w:tcW w:w="27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vMerge w:val="restart"/>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0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vMerge w:val="continue"/>
            <w:shd w:val="clear" w:color="auto" w:fill="CFF0FC"/>
          </w:tcPr>
          <w:p>
            <w:pPr>
              <w:spacing w:after="0"/>
              <w:rPr>
                <w:sz w:val="11"/>
                <w:szCs w:val="11"/>
                <w:color w:val="auto"/>
              </w:rPr>
            </w:pPr>
          </w:p>
        </w:tc>
        <w:tc>
          <w:tcPr>
            <w:tcW w:w="72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vMerge w:val="continue"/>
            <w:shd w:val="clear" w:color="auto" w:fill="CFF0FC"/>
          </w:tcPr>
          <w:p>
            <w:pPr>
              <w:spacing w:after="0"/>
              <w:rPr>
                <w:sz w:val="11"/>
                <w:szCs w:val="11"/>
                <w:color w:val="auto"/>
              </w:rPr>
            </w:pPr>
          </w:p>
        </w:tc>
        <w:tc>
          <w:tcPr>
            <w:tcW w:w="6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-2082165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-2082165</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-2082165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-2082165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-2082165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-24765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-7620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89" w:lineRule="exact"/>
        <w:rPr>
          <w:sz w:val="20"/>
          <w:szCs w:val="20"/>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of $214.3 million, a 5.0% increase compared to the prior year period, with a constant currency revenue increase of 4.7% compared to the prior year period, with a solid volume growth in each operating segment.</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fourth quarter was 28.8%, which is a 5.4 percentage points increase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net loss attributable to shareholders of the parent was $91.2 million compared to net loss attributable to shareholders of the parent of $298.7 million in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Adjusted EBITDA loss was $6.1 million, which is an improvement of $13.1 million compared to the prior year period.</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Company’s previously-discussed evaluation of its Asian supply chain, the Company announced the closure of its Singapore manufacturing facility in December and is today announcing the discontinuation of construction of its second manufacturing facility in China (Asia III).</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achieve its first full year of profitable growth in 2025. Specifically, in 2025 the Company expects:</w:t>
      </w:r>
    </w:p>
    <w:p>
      <w:pPr>
        <w:spacing w:after="0" w:line="185" w:lineRule="exact"/>
        <w:rPr>
          <w:sz w:val="20"/>
          <w:szCs w:val="20"/>
          <w:color w:val="auto"/>
        </w:rPr>
      </w:pPr>
    </w:p>
    <w:p>
      <w:pPr>
        <w:ind w:left="150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in the range of 2% to 4%, which is negatively impacted by approximately 300 basis points from a change in sourcing decision at a large North American customer,</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adjusted EBITDA in the range of $5 million to $15 million, and</w:t>
      </w:r>
    </w:p>
    <w:p>
      <w:pPr>
        <w:sectPr>
          <w:pgSz w:w="11900" w:h="16838" w:orient="portrait"/>
          <w:cols w:equalWidth="0" w:num="1">
            <w:col w:w="11240"/>
          </w:cols>
          <w:pgMar w:left="320" w:top="772"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5" w:name="page6"/>
    <w:bookmarkEnd w:id="5"/>
    <w:p>
      <w:pPr>
        <w:ind w:left="1500" w:hanging="36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range of $30 million to $35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Results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$10.2 million, or 5.0% to $214.3 million for the fourth quarter ended December 31, 2024, compared to $204.1 million for the prior year period. Excluding a foreign currency exchange tailwind of $0.7 million, revenue for the fourth quarter was $213.6 million, or an increase of 4.7% compared to the prior year period. The growth in constant currency revenue was primarily driven by solid volume growth in each operating segment, partially offset by negative price/mix effect, particularly in Greater China. Sold volume for the fourth quarter of 2024 increased 9.9% to 153.2 million liters compared to 139.4 million liters in the fourth quarter of 2023. Produced finished goods volume for the fourth quarter of 2024 was 145.3 million liters compared to 135.8 million liters for the fourth quarter of 2023.</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continued to drive revenue growth in both the retail channel and foodservice channel in the fourth quarter of 2024 compared to the fourth quarter of 2023.</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was $61.6 million for the fourth quarter of 2024 compared to $47.8 million for the fourth quarter of 2023. Gross profit margin was 28.8% in the fourth quarter of 2024, an increase of 540 basis points compared to the prior year period. The margin improvement compared to the fourth quarter of 2023 was primarily driven by improvements in supply chain efficiency across all segments, most notably in the North America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fourth quarter of 2024 decreased $1.6 million to $3.7 million compared to $5.3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related to lower employee expenses and a reduction in external consultants, contractors and other professional fees.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 the fourth quarter of 2024 increased $1.3 million to $82.0 million compared to $80.7 million in the prior year period. The increase was primarily related to higher employee expenses due to restructuring activities in the fourth quarter of 2024.</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Other operating income and (expenses), net for the fourth quarter of 2024 was an expense of $65.6 million comprised primarily of non-cash impairment charges of $41.7 million related to the discontinued construction of the second production facility in China (Asia III) and the closure of the production facility in Singapore, and other exit costs of $23.0 million related to the closure of the production facility in Singapore. Other operating income and (expenses), net for the prior year period was an expense of $204.3 million primarily driven by non-cash impairment charges and other exit costs related to discontinued construction of the new production facilities in Peterborough, UK and Dallas-Fort Worth, Texas.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and (expenses), net for the fourth quarter of 2024 was an expense of $1.1 million comprised primarily of net interest expenses of $13.6 million, offset by fair value gains on Convertible Notes of $4.6 million and net foreign exchange gains of $8.2 million. The finance income and (expenses), net for the prior year period was an expense of $50.5 million primarily driven by fair value losses on Convertible Notes.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shareholders of the parent was $91.2 million for the fourth quarter of 2024 compared to $298.7 million in the prior year period. The improvement was primarily a result of decreased other operating income and (expenses), net.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loss for the fourth quarter of 2024 was $6.1 million, compared to a loss of $19.2 million in the prior year period. The improvement in Adjusted EBITDA loss was primarily a result of higher gross profit.</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loss,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12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Segment information for the three and twelve months ended December 31, 2023 presented below has been updated to reflect previously disclosed changes to our operating segments, which were effective as of January 1, 2024. Please see our press release, dated April 17, 2024, furnished on Form 6-K with the SEC for further information regarding these changes.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0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1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108,462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(1,326 )</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109,788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70,596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(1,326 )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16,580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(24,497 )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(6,079 )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(2,456 )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(3,503 )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(1,520 )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(356 )</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(1,721 )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(3,597 )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60" w:type="dxa"/>
            <w:vAlign w:val="bottom"/>
            <w:shd w:val="clear" w:color="auto" w:fill="CFF0FC"/>
          </w:tcPr>
          <w:p>
            <w:pPr>
              <w:ind w:left="20"/>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(25,068 )</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(22,898 )</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 closure of</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production facility</w:t>
            </w:r>
            <w:r>
              <w:rPr>
                <w:rFonts w:ascii="Times New Roman" w:cs="Times New Roman" w:eastAsia="Times New Roman" w:hAnsi="Times New Roman"/>
                <w:sz w:val="24"/>
                <w:szCs w:val="24"/>
                <w:color w:val="auto"/>
                <w:vertAlign w:val="superscript"/>
              </w:rPr>
              <w:t>(4)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(42,110 )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(151 )</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(27,308 )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3,352</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(25,141 )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(28,674 )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(77,771 )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(11,932 )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(90,852 )</w:t>
            </w:r>
          </w:p>
        </w:tc>
        <w:tc>
          <w:tcPr>
            <w:tcW w:w="0" w:type="dxa"/>
            <w:vAlign w:val="bottom"/>
          </w:tcPr>
          <w:p>
            <w:pPr>
              <w:spacing w:after="0"/>
              <w:rPr>
                <w:sz w:val="1"/>
                <w:szCs w:val="1"/>
                <w:color w:val="auto"/>
              </w:rPr>
            </w:pPr>
          </w:p>
        </w:tc>
      </w:tr>
      <w:tr>
        <w:trPr>
          <w:trHeight w:val="367"/>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10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1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105,620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(2,333 )</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107,953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(2,333 )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11,410</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(2,689 )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(5,156 )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(22,787 )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(19,222 )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(679 )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(990 )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(4,687 )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(319 )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(1,244 )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(2,416 )</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(158,551 )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(43,009 )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(201,560 )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(148,139 )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(47,268 )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(6,165 )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(26,425 )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(227,997 )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(50,486 )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(14,618 )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(293,101 )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10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1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(6,429 )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440,692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(6,429 )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56,128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(1,645 )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(95,106 )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(35,325 )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(1,985 )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(2,101 )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(10,168 )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(13,598 )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(2,410 )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(1,222 )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(1,940 )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(2,600 )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(8,172 )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(11,998 )</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(11,998 )</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(2,875 )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(25,068 )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(24,660 )</w:t>
            </w:r>
          </w:p>
        </w:tc>
        <w:tc>
          <w:tcPr>
            <w:tcW w:w="0" w:type="dxa"/>
            <w:vAlign w:val="bottom"/>
          </w:tcPr>
          <w:p>
            <w:pPr>
              <w:spacing w:after="0"/>
              <w:rPr>
                <w:sz w:val="1"/>
                <w:szCs w:val="1"/>
                <w:color w:val="auto"/>
              </w:rPr>
            </w:pPr>
          </w:p>
        </w:tc>
      </w:tr>
      <w:tr>
        <w:trPr>
          <w:trHeight w:val="178"/>
        </w:trPr>
        <w:tc>
          <w:tcPr>
            <w:tcW w:w="45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 closure of</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60" w:type="dxa"/>
            <w:vAlign w:val="bottom"/>
            <w:shd w:val="clear" w:color="auto" w:fill="CFF0FC"/>
          </w:tcPr>
          <w:p>
            <w:pPr>
              <w:ind w:left="20"/>
              <w:spacing w:after="0" w:line="255" w:lineRule="exact"/>
              <w:rPr>
                <w:sz w:val="20"/>
                <w:szCs w:val="20"/>
                <w:color w:val="auto"/>
              </w:rPr>
            </w:pPr>
            <w:r>
              <w:rPr>
                <w:rFonts w:ascii="Times New Roman" w:cs="Times New Roman" w:eastAsia="Times New Roman" w:hAnsi="Times New Roman"/>
                <w:sz w:val="18"/>
                <w:szCs w:val="18"/>
                <w:color w:val="auto"/>
              </w:rPr>
              <w:t>production facility</w:t>
            </w:r>
            <w:r>
              <w:rPr>
                <w:rFonts w:ascii="Times New Roman" w:cs="Times New Roman" w:eastAsia="Times New Roman" w:hAnsi="Times New Roman"/>
                <w:sz w:val="24"/>
                <w:szCs w:val="24"/>
                <w:color w:val="auto"/>
                <w:vertAlign w:val="superscript"/>
              </w:rPr>
              <w:t>(4)</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(42,110 )</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(42,110 )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(3,983 )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(31,077 )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(107,874 )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(136,186 )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(12,421 )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(49,966 )</w:t>
            </w:r>
          </w:p>
        </w:tc>
        <w:tc>
          <w:tcPr>
            <w:tcW w:w="0" w:type="dxa"/>
            <w:vAlign w:val="bottom"/>
          </w:tcPr>
          <w:p>
            <w:pPr>
              <w:spacing w:after="0"/>
              <w:rPr>
                <w:sz w:val="1"/>
                <w:szCs w:val="1"/>
                <w:color w:val="auto"/>
              </w:rPr>
            </w:pPr>
          </w:p>
        </w:tc>
      </w:t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(198,573 )</w:t>
            </w:r>
          </w:p>
        </w:tc>
        <w:tc>
          <w:tcPr>
            <w:tcW w:w="0" w:type="dxa"/>
            <w:vAlign w:val="bottom"/>
          </w:tcPr>
          <w:p>
            <w:pPr>
              <w:spacing w:after="0"/>
              <w:rPr>
                <w:sz w:val="1"/>
                <w:szCs w:val="1"/>
                <w:color w:val="auto"/>
              </w:rPr>
            </w:pPr>
          </w:p>
        </w:tc>
      </w:tr>
      <w:tr>
        <w:trPr>
          <w:trHeight w:val="33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2023</w:t>
            </w:r>
          </w:p>
        </w:tc>
        <w:tc>
          <w:tcPr>
            <w:tcW w:w="10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1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408,410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(25,782 )</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434,011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250,264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124,855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(25,782 )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28,377</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(31,910 )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(57,543 )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(96,485 )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(157,561 )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(2,378 )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(3,820 )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(4,608 )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(10,640 )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(21,446 )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(1,382 )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(3,062 )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(2,675 )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(7,641 )</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(14,760 )</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(158,551 )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(43,009 )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(201,560 )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(375 )</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Legal settlement</w:t>
            </w:r>
            <w:r>
              <w:rPr>
                <w:rFonts w:ascii="Times New Roman" w:cs="Times New Roman" w:eastAsia="Times New Roman" w:hAnsi="Times New Roman"/>
                <w:sz w:val="24"/>
                <w:szCs w:val="24"/>
                <w:color w:val="auto"/>
                <w:vertAlign w:val="superscript"/>
              </w:rPr>
              <w:t>(7)</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(9,250 )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(9,250 )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(186 )</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(133,934 )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(82,176 )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(65,012 )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(124,016 )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(405,138 )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(51,874 )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(408,165 )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Corporate consists of general costs not allocated to the segments.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Eliminations in 2024 and 2023 primarily refer to intersegment revenue for sales of products from Europe &amp; International to Greater China.</w:t>
      </w:r>
    </w:p>
    <w:p>
      <w:pPr>
        <w:spacing w:after="0" w:line="19"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18" w:lineRule="exact"/>
        <w:rPr>
          <w:rFonts w:ascii="Times New Roman" w:cs="Times New Roman" w:eastAsia="Times New Roman" w:hAnsi="Times New Roman"/>
          <w:sz w:val="16"/>
          <w:szCs w:val="16"/>
          <w:color w:val="auto"/>
        </w:rPr>
      </w:pPr>
    </w:p>
    <w:p>
      <w:pPr>
        <w:jc w:val="both"/>
        <w:ind w:left="380" w:hanging="372"/>
        <w:spacing w:after="0" w:line="272"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Europe &amp; International the cost primarily relates to non-cash impairments related to discontinued construction of the Group’s production facility in Peterborough, UK. In North America the amount primarily relates to reversal of previously recognized non-cash impairments and other exit costs related to discontinued construction of the Group’s production facility in Dallas-Fort Worth, Texas. In Greater China the Company decided to discontinue the construction of the Group’s second production facility in China (Asia III). Following this decision the Company, during the fourth quarter, recorded $25.1 million primarily relating to non-cash impairments.</w:t>
      </w:r>
    </w:p>
    <w:p>
      <w:pPr>
        <w:spacing w:after="0" w:line="178" w:lineRule="exact"/>
        <w:rPr>
          <w:rFonts w:ascii="Times New Roman" w:cs="Times New Roman" w:eastAsia="Times New Roman" w:hAnsi="Times New Roman"/>
          <w:sz w:val="16"/>
          <w:szCs w:val="16"/>
          <w:color w:val="auto"/>
        </w:rPr>
      </w:pPr>
    </w:p>
    <w:p>
      <w:pPr>
        <w:ind w:left="380" w:hanging="372"/>
        <w:spacing w:after="0" w:line="264"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non-cash impairments of $19.1 million and $23.0 million in restructuring and other exit costs related to the closure of the Group’s production facility in Singapore.</w:t>
      </w:r>
    </w:p>
    <w:p>
      <w:pPr>
        <w:jc w:val="both"/>
        <w:ind w:left="380" w:hanging="372"/>
        <w:spacing w:after="0" w:line="264"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certain events during the fourth quarter 2023, the Company decided to discontinue the construction of its new production facilities in Peterborough, UK and Dallas-Fort Worth, Texas. The Company recorded $172.6 million in non-cash impairments and $29.0 million in restructuring and other exit costs relating to these production facilities.</w:t>
      </w:r>
    </w:p>
    <w:p>
      <w:pPr>
        <w:ind w:left="380" w:hanging="372"/>
        <w:spacing w:after="0" w:line="264"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Ya YA Foods USA LLC transaction (the “YYF Transaction”). See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Form 6-K filed on January 3, 2023 and March 2, 2023 for further details.</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US securities class action litigation settlement expenses.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8" w:name="page9"/>
    <w:bookmarkEnd w:id="8"/>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Europe &amp; International revenue increased $2.8 million, or 2.7%, to $108.5 million for the fourth quarter of 2024, compared to $105.6 million in the prior year period. Excluding a foreign currency exchange tailwind of $0.6 million, Europe &amp; International revenue for the fourth quarter was $107.9 million, or an increase of 2.1%. The increase in revenue was driven by volume growth of 4.1% from primarily increased Barista and ambient oatmilk sales in established markets, as well as continued expansion in the new European and International markets. This was partially offset by a price/mix decline of 2.0%. Approximately 81% of Europe &amp; International revenue was from the retail channel for the fourth quarter of 2024 compared to 80% in the prior year period. The sold finished goods volume for the three months ended December 31, 2024 and 2023 amounted to 78.3 million and 75.2 million liters,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Europe &amp; International Adjusted EBITDA increased $5.2 million to $16.6 million for the fourth quarter of 2024 compared to $11.4 million in the prior year period. The improvement in Adjusted EBITDA was primarily driven by higher gross profit as well as lower selling, general and administrative expenses through stronger cost controls.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revenue increased $4.7 million, or 7.1%, to $70.6 million for the fourth quarter of 2024, compared to $65.9 million in the prior year period. The sold finished goods volume for the fourth quarter 2024 was 41.1 million compared to 39.1 million liters in the prior year period. The 5.1% volume increase was due to higher volumes across the retail and foodservice channels as the Company continued to expand distribution and launch new products. Approximately 48% of North America revenue was from the retail channel in the fourth quarter of 2024 and 2023, respectively.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Adjusted EBITDA improved $3.9 million to $1.2 million compared to a loss of $2.7 million in the prior year period. The improvement in Adjusted EBITDA was primarily due to higher gross profit, largely driven by improved supply chain efficiency, partially offset by higher selling, general and administrative expenses as the Company invested in branding activities to continue driving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Greater China revenue increased $2.7 million, or 8.2%, to $35.3 million for the fourth quarter of 2024, compared to $32.6 million in the prior year period. Excluding a foreign currency exchange tailwind of $0.1 million, Greater China revenue for the fourth quarter was $35.1 million, or an increase of 7.8%. The Greater China segment growth was primarily driven by sales to a new foodservice customer. Approximately 76% of Greater China revenue was from the foodservice channel for the fourth quarter of 2024 compared to 73% in the prior year period. The sold finished goods volume for the three months ended December 31, 2024 and 2023 amounted to 33.8 million and 25.1 million liters,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Greater China Adjusted EBITDA improved $5.7 million to $0.6 million compared to a loss of $5.2 million in the prior year period. The improvement in Adjusted EBITDA was primarily due to higher gross profit and reduction in selling, general and administrative expenses, as the segment continued to right-size its expenses to improve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in the fourth quarter of 2024 was $28.7 million, an increase of $2.2 million compared to the prior year period. Adjusted EBITDA in the fourth quarter of 2024 was a loss of $24.5 million compared to a loss of $22.8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$98.9 million and total outstanding debt of $446.4 million consisting of Convertible Notes and liabilities to credit institutions. Net cash used in operating activities was $114.4 million for the twelve months ended December 31, 2024, compared to $165.6 million during the prior year period, which was primarily driven by improved operating result, partly offset by cash outflow of $29.7 million related to discontinued construction of the Group’s production facilities in Peterborough, UK and Dallas-Fort Worth, Texas, and a cash outflow of $9.3 million related to the settlement of US securities class action litigation.</w:t>
      </w:r>
    </w:p>
    <w:p>
      <w:pPr>
        <w:spacing w:after="0" w:line="29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Capital expenditures were $41.2 million for the twelve months ended December 31, 2024, compared to $69.0 million in the prior year period as the Company prioritized investments in its existing production facilities. In addition, proceeds from the sale of property, plant and equipment was $31.2 million for the twelve months ended December 31, 2024.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was an outflow of $155.6 million for the twelve months ended December 31, 2024 compared to an outflow of $234.7 million during the prior year period. The improvement in free cash flow was driven both by decreased net cash flows used in operating activities and lower capital expenditures.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Asian Supply Chain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announced on December 18, 2024, the Company decided to close its manufacturing facility in Singapore. As part of the closure, in the fourth quarter, the Company incurred a non-cash impairment of $19.1 million and other restructuring and exit costs of $23.0 million.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after a thorough evaluation of its supply chain, the Company is today announcing the decision to discontinue the construction of the second production facility in China, which the Company historically referred to as “Asia III”. The Company has determined that the production capabilities in the existing Ma’anshan production site, including the possibility of future expansion at that site, will be sufficient to support current customers and business growth. As a result of this decision, the Company in the fourth quarter recorded $25.1 million primarily relating to non-cash impairment charges.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the Company’s assessment of the current operating environment and the actions it is taking, the Company expects to achieve its first full year of profitable growth in 2025. Specifically, in 2025 the Company expects:</w:t>
      </w:r>
    </w:p>
    <w:p>
      <w:pPr>
        <w:spacing w:after="0" w:line="289" w:lineRule="exact"/>
        <w:rPr>
          <w:sz w:val="20"/>
          <w:szCs w:val="20"/>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in the range of 2% to 4%, which is negatively impacted by approximately 300 basis points from a change in sourcing decision at a large North American customer,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adjusted EBITDA in the range of $5 million to $15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range of $30 million to $35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Supplemental Presentation Details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 will host a conference call and webcast at 8:00 a.m. ET today to discuss these results. The conference call, simultaneous, live webcast and supplemental presentation can be accessed on Oatly’s Investors website at https://investors.oatly.com under “Events.” The webcast will be archived for 30 days.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40 countries globally.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history of losses and inability to achieve or sustain profitability; including due to elevated inflation and increased costs for transportation, energy and materials; reduced or limited availability of oats or other raw materials and ingredients that meet our quality standards; our ability to generate additional revenue, failure to obtain additional financing to achieve our goals or failure to obtain necessary capital when needed on acceptable terms, or at all; failure of the financial institutions in which we hold our deposits; damage or disruption to our production facilities; harm to our brand and reputation as a result of real or perceived quality or food safety issues with our products; food safety and food-borne illness incidents or other safety concerns which may lead to lawsuits, product recalls or regulatory enforcement actions; our ability to successfully compete in our highly competitive markets; reduction in the sales of our oat drink varieties; failure to effectively navigate our shift to an asset-light business model; successful exit and closure of the Singapore facility and discontinuation of construction of the Asia III site; failure to successfully achieve any or all of the benefits of the YYF Transaction; failure to meet our existing or new environmental metrics, uncertainty about future mandatory climate change and sustainability related disclosures and requirements, and other risks related to sustainability and corporate social responsibility; litigation, regulatory actions or other legal proceedings including environmental and securities class action lawsuits and settlements; changes to international trade policies and treaties, including but not limited to the imposition of tariffs that could increase prices we pay for inputs, increase the prices paid by our customers for our products, and reduce our profit margins ; sourcing decisions by large customers, global conflict, including the ongoing conflicts in Ukraine and Gaza; changes in our tax rates or exposure to additional tax liabilities or assessments; supply chain delays, including delays in the receipt of product at factories and ports, and an increase in transportation costs; the impact of rising commodity prices, transportation and labor costs on our cost of goods sold; failure by our logistics providers to deliver our products on time, or at all; our ability to successfully execute our cost reduction activities in accordance with our expectations and the impact of such actions on our company; failure to develop and maintain our brand; our ability to introduce new products or successfully improve existing products; failure to retain our senior management or to attract, train and retain employees; cybersecurity incidents or other technology disruptions; risks associated with our operations in the People’s Republic of China; the success of our strategic reset in Asia; failure to protect our intellectual property and other proprietary rights adequately; our ability to successfully remediate previously disclosed material weaknesses or other future control deficiencies, in our internal control over financial reporting; impairments of the value of our assets; potential delisting from Nasdaq; our status as a foreign private issuer; risks related to the significant influence of our largest shareholder, Nativus Company Limited, entities affiliated with China Resources Verlinvest Health Investment Ltd. has over us, including significant influence over decisions that require the approval of shareholders; and the other important factors discussed under the caption “Risk Factors” in our Annual Report on Form 20-F for the year ended December 31, 2023 filed with the U.S. Securities and Exchange Commission (“SEC”) on March 22, 2024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liquidity measure, and each in our financial communications: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expenses related to a new product launch issue, costs related to legal settlement, impacts related to discontinued construction of production facilities, impacts related to closure of production facility, costs related to the YYF Transaction, and non-controlling interests.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3" w:lineRule="exact"/>
        <w:rPr>
          <w:sz w:val="20"/>
          <w:szCs w:val="20"/>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legal settlement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YYF Transaction that reduced cash available to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condensed consolidated financial statements appearing elsewhere in this document. Below we have provided a reconciliation of Free Cash Flow to net cash flows used in operating activities for the periods presented.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press.us@oatly.com</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57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data)</w:t>
            </w:r>
          </w:p>
        </w:tc>
        <w:tc>
          <w:tcPr>
            <w:tcW w:w="1180" w:type="dxa"/>
            <w:vAlign w:val="bottom"/>
            <w:tcBorders>
              <w:top w:val="single" w:sz="8" w:color="auto"/>
              <w:bottom w:val="single" w:sz="8" w:color="auto"/>
            </w:tcBorders>
            <w:shd w:val="clear" w:color="auto" w:fill="CFF0FC"/>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FF0FC"/>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FF0FC"/>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783,348</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(152,699 )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(156,343 )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(587,174 )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(631,265 )</w:t>
            </w:r>
          </w:p>
        </w:tc>
      </w:tr>
      <w:tr>
        <w:trPr>
          <w:trHeight w:val="209"/>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61,617</w:t>
            </w:r>
          </w:p>
        </w:tc>
        <w:tc>
          <w:tcPr>
            <w:tcW w:w="24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47,778</w:t>
            </w:r>
          </w:p>
        </w:tc>
        <w:tc>
          <w:tcPr>
            <w:tcW w:w="20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236,492</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152,083</w:t>
            </w:r>
          </w:p>
        </w:tc>
        <w:tc>
          <w:tcPr>
            <w:tcW w:w="100" w:type="dxa"/>
            <w:vAlign w:val="bottom"/>
            <w:tcBorders>
              <w:top w:val="single" w:sz="8" w:color="CFF0FC"/>
            </w:tcBorders>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(3,728 )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(5,328 )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(30,135 )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(21,047 )</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(81,973 )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(80,721 )</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(324,719 )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(373,396 )</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(65,619 )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(204,344 )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(67,790 )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(214,652 )</w:t>
            </w:r>
          </w:p>
        </w:tc>
      </w:tr>
      <w:tr>
        <w:trPr>
          <w:trHeight w:val="20"/>
        </w:trPr>
        <w:tc>
          <w:tcPr>
            <w:tcW w:w="57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(89,703 )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(242,615 )</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(186,152 )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(457,012 )</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(1,149 )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(50,486 )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(12,421 )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(90,852 )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(293,101 )</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(198,573 )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(408,165 )</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(505 )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(5,674 )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(3,699 )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(8,895 )</w:t>
            </w:r>
          </w:p>
        </w:tc>
      </w:tr>
      <w:tr>
        <w:trPr>
          <w:trHeight w:val="20"/>
        </w:trPr>
        <w:tc>
          <w:tcPr>
            <w:tcW w:w="57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(91,357 )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(298,775 )</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(202,272 )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(417,060 )</w:t>
            </w: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(91,206 )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(298,663 )</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(201,949 )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(416,874 )</w:t>
            </w:r>
          </w:p>
        </w:tc>
      </w:tr>
      <w:tr>
        <w:trPr>
          <w:trHeight w:val="20"/>
        </w:trPr>
        <w:tc>
          <w:tcPr>
            <w:tcW w:w="57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r>
      <w:tr>
        <w:trPr>
          <w:trHeight w:val="209"/>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(0.15 )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(0.50 )</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(0.34 )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(0.70 )</w:t>
            </w:r>
          </w:p>
        </w:tc>
      </w:tr>
      <w:tr>
        <w:trPr>
          <w:trHeight w:val="210"/>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598,226,750</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594,606,465</w:t>
            </w:r>
          </w:p>
        </w:tc>
        <w:tc>
          <w:tcPr>
            <w:tcW w:w="2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596,886,163</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593,600,863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-2614295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-2614295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-2614295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-2331085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-2331085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-2331085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-1773555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-1773555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-1773555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-1490980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-1490980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-1490980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-1207770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-1207770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-1207770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-616585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-616585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-616585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-334010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-316230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-334010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-316230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-334010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-316230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financial position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116,208</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294,199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45,555</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44,378</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504,854</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633,586</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65,602</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103,366</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299,126</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483,385</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803,980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reserves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(274,160 )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(233,204 )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(1,249,303 )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(1,060,952 )</w:t>
            </w: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116,216</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2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162,797</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197,535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liabilities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103,719</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20" w:type="dxa"/>
            <w:vAlign w:val="bottom"/>
          </w:tcPr>
          <w:p>
            <w:pPr>
              <w:spacing w:after="0"/>
              <w:rPr>
                <w:sz w:val="18"/>
                <w:szCs w:val="18"/>
                <w:color w:val="auto"/>
              </w:rPr>
            </w:pP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535,060</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583,655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697,857</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781,190</w:t>
            </w:r>
          </w:p>
        </w:tc>
        <w:tc>
          <w:tcPr>
            <w:tcW w:w="120" w:type="dxa"/>
            <w:vAlign w:val="bottom"/>
          </w:tcPr>
          <w:p>
            <w:pPr>
              <w:spacing w:after="0"/>
              <w:rPr>
                <w:sz w:val="19"/>
                <w:szCs w:val="19"/>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803,980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-5391150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-5391150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-4276725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-4276725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-3985895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-3968115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-3985895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-3968115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-2853690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-2853690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-2562225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-325120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58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(202,272 )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(417,060 )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6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49,966</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51,702</w:t>
            </w:r>
          </w:p>
        </w:tc>
        <w:tc>
          <w:tcPr>
            <w:tcW w:w="120" w:type="dxa"/>
            <w:vAlign w:val="bottom"/>
          </w:tcPr>
          <w:p>
            <w:pPr>
              <w:spacing w:after="0"/>
              <w:rPr>
                <w:sz w:val="20"/>
                <w:szCs w:val="20"/>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of property, plant and equipment and right-of-use assets and intangible assets</w:t>
            </w: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—Write-down of inventories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—Movements in provisions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(14,414 )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(48,847 )</w:t>
            </w: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—(Gain)/Loss on disposal of property, plant and equipment and intangible assets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related to discontinued construction of production facilities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172,588</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related to closure of production facility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3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(24,518 )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(20,504 )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paid</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(3,386 )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(18,098 )</w:t>
            </w: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—(Increase)/decrease in inventories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(3,456 )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—Decrease/(increase) in trade receivables, other current receivables, prepaid expenses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(2,502 )</w:t>
            </w: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trade payables, other current liabilities, accrued expenses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(16,362 )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(9,855 )</w:t>
            </w:r>
          </w:p>
        </w:tc>
      </w:tr>
      <w:tr>
        <w:trPr>
          <w:trHeight w:val="20"/>
        </w:trPr>
        <w:tc>
          <w:tcPr>
            <w:tcW w:w="76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(114,428 )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(165,626 )</w:t>
            </w:r>
          </w:p>
        </w:tc>
      </w:tr>
      <w:tr>
        <w:trPr>
          <w:trHeight w:val="209"/>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(2,055 )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(2,950 )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(39,140 )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(66,095 )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(1,651 )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3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assets held for sale</w:t>
            </w: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(9,251 )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(26,698 )</w:t>
            </w:r>
          </w:p>
        </w:tc>
      </w:tr>
      <w:tr>
        <w:trPr>
          <w:trHeight w:val="210"/>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324,950</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176,854</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(2,678 )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(102,848 )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(19,645 )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(11,411 )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(4,965 )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(32,550 )</w:t>
            </w:r>
          </w:p>
        </w:tc>
      </w:tr>
      <w:tr>
        <w:trPr>
          <w:trHeight w:val="20"/>
        </w:trPr>
        <w:tc>
          <w:tcPr>
            <w:tcW w:w="764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in)/from financing activities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(27,288 )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354,995</w:t>
            </w:r>
          </w:p>
        </w:tc>
        <w:tc>
          <w:tcPr>
            <w:tcW w:w="12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(150,967 )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162,671</w:t>
            </w:r>
          </w:p>
        </w:tc>
        <w:tc>
          <w:tcPr>
            <w:tcW w:w="120" w:type="dxa"/>
            <w:vAlign w:val="bottom"/>
            <w:shd w:val="clear" w:color="auto" w:fill="CFF0FC"/>
          </w:tcPr>
          <w:p>
            <w:pPr>
              <w:spacing w:after="0"/>
              <w:rPr>
                <w:sz w:val="18"/>
                <w:szCs w:val="18"/>
                <w:color w:val="auto"/>
              </w:rPr>
            </w:pPr>
          </w:p>
        </w:tc>
      </w:tr>
      <w:tr>
        <w:trPr>
          <w:trHeight w:val="210"/>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30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82,644</w:t>
            </w:r>
          </w:p>
        </w:tc>
        <w:tc>
          <w:tcPr>
            <w:tcW w:w="120" w:type="dxa"/>
            <w:vAlign w:val="bottom"/>
            <w:tcBorders>
              <w:top w:val="single" w:sz="8" w:color="CFF0FC"/>
            </w:tcBorders>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3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249,299</w:t>
            </w:r>
          </w:p>
        </w:tc>
        <w:tc>
          <w:tcPr>
            <w:tcW w:w="12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-2691130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-2691130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-1576705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-744855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-453390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180" w:lineRule="auto"/>
        <w:rPr>
          <w:sz w:val="20"/>
          <w:szCs w:val="20"/>
          <w:color w:val="auto"/>
        </w:rPr>
      </w:pPr>
      <w:r>
        <w:rPr>
          <w:rFonts w:ascii="Times New Roman" w:cs="Times New Roman" w:eastAsia="Times New Roman" w:hAnsi="Times New Roman"/>
          <w:sz w:val="17"/>
          <w:szCs w:val="17"/>
          <w:color w:val="auto"/>
        </w:rPr>
        <w:t>Restructuring costs</w:t>
      </w:r>
      <w:r>
        <w:rPr>
          <w:rFonts w:ascii="Times New Roman" w:cs="Times New Roman" w:eastAsia="Times New Roman" w:hAnsi="Times New Roman"/>
          <w:sz w:val="23"/>
          <w:szCs w:val="23"/>
          <w:color w:val="auto"/>
          <w:vertAlign w:val="superscript"/>
        </w:rPr>
        <w:t>(1)</w:t>
      </w:r>
    </w:p>
    <w:p>
      <w:pPr>
        <w:ind w:left="20"/>
        <w:spacing w:after="0" w:line="212" w:lineRule="auto"/>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line="214" w:lineRule="auto"/>
        <w:rPr>
          <w:sz w:val="20"/>
          <w:szCs w:val="20"/>
          <w:color w:val="auto"/>
        </w:rPr>
      </w:pPr>
      <w:r>
        <w:rPr>
          <w:rFonts w:ascii="Times New Roman" w:cs="Times New Roman" w:eastAsia="Times New Roman" w:hAnsi="Times New Roman"/>
          <w:sz w:val="18"/>
          <w:szCs w:val="18"/>
          <w:color w:val="auto"/>
        </w:rPr>
        <w:t>Asset impairment charges and other costs related to discontinued construction of production facilities</w:t>
      </w:r>
      <w:r>
        <w:rPr>
          <w:rFonts w:ascii="Times New Roman" w:cs="Times New Roman" w:eastAsia="Times New Roman" w:hAnsi="Times New Roman"/>
          <w:sz w:val="24"/>
          <w:szCs w:val="24"/>
          <w:color w:val="auto"/>
          <w:vertAlign w:val="superscript"/>
        </w:rPr>
        <w:t>(3)</w:t>
      </w:r>
    </w:p>
    <w:p>
      <w:pPr>
        <w:spacing w:after="0" w:line="1" w:lineRule="exact"/>
        <w:rPr>
          <w:sz w:val="20"/>
          <w:szCs w:val="20"/>
          <w:color w:val="auto"/>
        </w:rPr>
      </w:pPr>
    </w:p>
    <w:p>
      <w:pPr>
        <w:ind w:left="20" w:right="320"/>
        <w:spacing w:after="0" w:line="200" w:lineRule="auto"/>
        <w:rPr>
          <w:sz w:val="20"/>
          <w:szCs w:val="20"/>
          <w:color w:val="auto"/>
        </w:rPr>
      </w:pPr>
      <w:r>
        <w:rPr>
          <w:rFonts w:ascii="Times New Roman" w:cs="Times New Roman" w:eastAsia="Times New Roman" w:hAnsi="Times New Roman"/>
          <w:sz w:val="18"/>
          <w:szCs w:val="18"/>
          <w:color w:val="auto"/>
        </w:rPr>
        <w:t>Asset impairment charges and other costs related to closure of production facility</w:t>
      </w:r>
      <w:r>
        <w:rPr>
          <w:rFonts w:ascii="Times New Roman" w:cs="Times New Roman" w:eastAsia="Times New Roman" w:hAnsi="Times New Roman"/>
          <w:sz w:val="24"/>
          <w:szCs w:val="24"/>
          <w:color w:val="auto"/>
          <w:vertAlign w:val="superscript"/>
        </w:rPr>
        <w:t>(4)</w:t>
      </w:r>
    </w:p>
    <w:p>
      <w:pPr>
        <w:ind w:left="20"/>
        <w:spacing w:after="0" w:line="213" w:lineRule="auto"/>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188" w:lineRule="auto"/>
        <w:rPr>
          <w:sz w:val="20"/>
          <w:szCs w:val="20"/>
          <w:color w:val="auto"/>
        </w:rPr>
      </w:pPr>
      <w:r>
        <w:rPr>
          <w:rFonts w:ascii="Times New Roman" w:cs="Times New Roman" w:eastAsia="Times New Roman" w:hAnsi="Times New Roman"/>
          <w:sz w:val="18"/>
          <w:szCs w:val="18"/>
          <w:color w:val="auto"/>
        </w:rPr>
        <w:t>Legal settlement</w:t>
      </w:r>
      <w:r>
        <w:rPr>
          <w:rFonts w:ascii="Times New Roman" w:cs="Times New Roman" w:eastAsia="Times New Roman" w:hAnsi="Times New Roman"/>
          <w:sz w:val="24"/>
          <w:szCs w:val="24"/>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6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5"/>
                <w:szCs w:val="15"/>
                <w:color w:val="auto"/>
              </w:rPr>
            </w:pPr>
          </w:p>
        </w:tc>
        <w:tc>
          <w:tcPr>
            <w:tcW w:w="2640" w:type="dxa"/>
            <w:vAlign w:val="bottom"/>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(91,357 )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(298,775 )</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(202,272 )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(417,060 )</w:t>
            </w: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50,486</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(48,847 )</w:t>
            </w:r>
          </w:p>
        </w:tc>
        <w:tc>
          <w:tcPr>
            <w:tcW w:w="0" w:type="dxa"/>
            <w:vAlign w:val="bottom"/>
          </w:tcPr>
          <w:p>
            <w:pPr>
              <w:spacing w:after="0"/>
              <w:rPr>
                <w:sz w:val="1"/>
                <w:szCs w:val="1"/>
                <w:color w:val="auto"/>
              </w:rPr>
            </w:pPr>
          </w:p>
        </w:tc>
      </w:tr>
      <w:tr>
        <w:trPr>
          <w:trHeight w:val="23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49,966</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1"/>
        </w:trPr>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(77,771</w:t>
            </w:r>
          </w:p>
        </w:tc>
        <w:tc>
          <w:tcPr>
            <w:tcW w:w="200" w:type="dxa"/>
            <w:vAlign w:val="bottom"/>
            <w:vMerge w:val="continue"/>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(227,997</w:t>
            </w: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(136,186</w:t>
            </w:r>
          </w:p>
        </w:tc>
        <w:tc>
          <w:tcPr>
            <w:tcW w:w="220" w:type="dxa"/>
            <w:vAlign w:val="bottom"/>
            <w:vMerge w:val="continue"/>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(405,138</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(567 )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220" w:type="dxa"/>
            <w:vAlign w:val="bottom"/>
          </w:tcPr>
          <w:p>
            <w:pPr>
              <w:spacing w:after="0"/>
              <w:rPr>
                <w:sz w:val="20"/>
                <w:szCs w:val="20"/>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201,560</w:t>
            </w:r>
          </w:p>
        </w:tc>
        <w:tc>
          <w:tcPr>
            <w:tcW w:w="1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20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220" w:type="dxa"/>
            <w:vAlign w:val="bottom"/>
          </w:tcPr>
          <w:p>
            <w:pPr>
              <w:spacing w:after="0"/>
              <w:rPr>
                <w:sz w:val="24"/>
                <w:szCs w:val="24"/>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2"/>
        </w:trPr>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(6,079</w:t>
            </w:r>
          </w:p>
        </w:tc>
        <w:tc>
          <w:tcPr>
            <w:tcW w:w="200" w:type="dxa"/>
            <w:vAlign w:val="bottom"/>
            <w:vMerge w:val="continue"/>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(19,222</w:t>
            </w:r>
          </w:p>
        </w:tc>
        <w:tc>
          <w:tcPr>
            <w:tcW w:w="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(35,325</w:t>
            </w:r>
          </w:p>
        </w:tc>
        <w:tc>
          <w:tcPr>
            <w:tcW w:w="220" w:type="dxa"/>
            <w:vAlign w:val="bottom"/>
            <w:vMerge w:val="continue"/>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(157,561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3686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5640" w:space="180"/>
            <w:col w:w="5420"/>
          </w:cols>
          <w:pgMar w:left="320" w:top="1224" w:right="339" w:bottom="1440" w:gutter="0" w:footer="0" w:header="0"/>
        </w:sect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18" w:lineRule="exact"/>
        <w:rPr>
          <w:rFonts w:ascii="Times New Roman" w:cs="Times New Roman" w:eastAsia="Times New Roman" w:hAnsi="Times New Roman"/>
          <w:sz w:val="16"/>
          <w:szCs w:val="16"/>
          <w:color w:val="auto"/>
        </w:rPr>
      </w:pPr>
    </w:p>
    <w:p>
      <w:pPr>
        <w:jc w:val="both"/>
        <w:ind w:left="380" w:hanging="372"/>
        <w:spacing w:after="0" w:line="264"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for the three and twelve months ended December 31, 2024 primarily relates to non-cash impairments related to discontinued construction of the Group’s second production facility in China (Asia III), partially offset by reversal of previously recognized costs related to discontinued construction of the Group’s production facility in Peterborough, UK and Dallas-Fort Worth, Texas. The cost for the three and twelve months ended December 31, 2023 relates to discontinued construction of its new production facilities in Peterborough, UK and Dallas-Fort Worth, Texas.</w:t>
      </w:r>
    </w:p>
    <w:p>
      <w:pPr>
        <w:ind w:left="380" w:hanging="372"/>
        <w:spacing w:after="0" w:line="264"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non-cash impairments of $19.1 million and $23.0 million in restructuring and other exit costs related to the closure of the Group’s production facility in Singapore.</w:t>
      </w: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YYF Transaction.</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US securities class action litigation settlement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-1278255</wp:posOffset>
            </wp:positionV>
            <wp:extent cx="33686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5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2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(10,236 )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(14,147 )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(114,428 )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(165,626 )</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(12,273 )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(17,062 )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(41,195 )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(69,045 )</w:t>
            </w:r>
          </w:p>
        </w:tc>
      </w:tr>
      <w:tr>
        <w:trPr>
          <w:trHeight w:val="20"/>
        </w:trPr>
        <w:tc>
          <w:tcPr>
            <w:tcW w:w="5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(22,509 )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(31,209 )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(155,623 )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(234,671 )</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2025-02-12T06:12:40Z</dcterms:created>
  <dcterms:modified xsi:type="dcterms:W3CDTF">2025-02-12T06:12:40Z</dcterms:modified>
</cp:coreProperties>
</file>