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4374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437451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jc w:val="center"/>
              <w:ind w:right="54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jc w:val="center"/>
              <w:ind w:right="520"/>
              <w:spacing w:after="0"/>
              <w:rPr>
                <w:rFonts w:ascii="Times New Roman" w:cs="Times New Roman" w:eastAsia="Times New Roman" w:hAnsi="Times New Roman"/>
                <w:sz w:val="22"/>
                <w:szCs w:val="22"/>
                <w:color w:val="0000EE"/>
                <w:w w:val="97"/>
              </w:rPr>
            </w:pPr>
            <w:hyperlink r:id="rId11">
              <w:r>
                <w:rPr>
                  <w:rFonts w:ascii="Times New Roman" w:cs="Times New Roman" w:eastAsia="Times New Roman" w:hAnsi="Times New Roman"/>
                  <w:sz w:val="22"/>
                  <w:szCs w:val="22"/>
                  <w:color w:val="0000EE"/>
                  <w:w w:val="97"/>
                </w:rPr>
                <w:t>Flatin Jean-Christophe Marie</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5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0"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42"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8"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8"/>
          <w:szCs w:val="18"/>
          <w:color w:val="0000FF"/>
        </w:rPr>
        <w:t>Chief Executive Officer</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8"/>
                <w:szCs w:val="18"/>
                <w:color w:val="0000FF"/>
              </w:rPr>
              <w:t>172,708</w:t>
            </w:r>
          </w:p>
        </w:tc>
        <w:tc>
          <w:tcPr>
            <w:tcW w:w="98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8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9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620" w:type="dxa"/>
            <w:vAlign w:val="bottom"/>
          </w:tcPr>
          <w:p>
            <w:pPr>
              <w:spacing w:after="0"/>
              <w:rPr>
                <w:sz w:val="12"/>
                <w:szCs w:val="12"/>
                <w:color w:val="auto"/>
              </w:rPr>
            </w:pPr>
          </w:p>
        </w:tc>
        <w:tc>
          <w:tcPr>
            <w:tcW w:w="980" w:type="dxa"/>
            <w:vAlign w:val="bottom"/>
          </w:tcPr>
          <w:p>
            <w:pPr>
              <w:ind w:left="40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vMerge w:val="continue"/>
          </w:tcPr>
          <w:p>
            <w:pPr>
              <w:spacing w:after="0"/>
              <w:rPr>
                <w:sz w:val="16"/>
                <w:szCs w:val="16"/>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w:t>
            </w:r>
            <w:r>
              <w:rPr>
                <w:rFonts w:ascii="Times New Roman" w:cs="Times New Roman" w:eastAsia="Times New Roman" w:hAnsi="Times New Roman"/>
                <w:sz w:val="22"/>
                <w:szCs w:val="22"/>
                <w:color w:val="008000"/>
                <w:vertAlign w:val="superscript"/>
              </w:rPr>
              <w:t>(2)</w:t>
            </w:r>
          </w:p>
        </w:tc>
        <w:tc>
          <w:tcPr>
            <w:tcW w:w="1480" w:type="dxa"/>
            <w:vAlign w:val="bottom"/>
            <w:tcBorders>
              <w:bottom w:val="single" w:sz="8" w:color="2C2C2C"/>
            </w:tcBorders>
            <w:gridSpan w:val="2"/>
          </w:tcPr>
          <w:p>
            <w:pPr>
              <w:jc w:val="right"/>
              <w:ind w:right="289"/>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62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ADSs</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81,328</w:t>
            </w:r>
          </w:p>
        </w:tc>
        <w:tc>
          <w:tcPr>
            <w:tcW w:w="9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35.2</w:t>
            </w:r>
          </w:p>
        </w:tc>
        <w:tc>
          <w:tcPr>
            <w:tcW w:w="8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1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w:t>
            </w:r>
            <w:r>
              <w:rPr>
                <w:rFonts w:ascii="Times New Roman" w:cs="Times New Roman" w:eastAsia="Times New Roman" w:hAnsi="Times New Roman"/>
                <w:sz w:val="22"/>
                <w:szCs w:val="22"/>
                <w:color w:val="008000"/>
                <w:vertAlign w:val="superscript"/>
              </w:rPr>
              <w:t>(2)</w:t>
            </w:r>
          </w:p>
        </w:tc>
        <w:tc>
          <w:tcPr>
            <w:tcW w:w="1480" w:type="dxa"/>
            <w:vAlign w:val="bottom"/>
            <w:tcBorders>
              <w:bottom w:val="single" w:sz="8" w:color="2C2C2C"/>
            </w:tcBorders>
            <w:gridSpan w:val="2"/>
          </w:tcPr>
          <w:p>
            <w:pPr>
              <w:jc w:val="right"/>
              <w:ind w:right="289"/>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62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ADSs</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73,584</w:t>
            </w:r>
          </w:p>
        </w:tc>
        <w:tc>
          <w:tcPr>
            <w:tcW w:w="9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21.2</w:t>
            </w:r>
          </w:p>
        </w:tc>
        <w:tc>
          <w:tcPr>
            <w:tcW w:w="8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54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3,526 RSUs vest on 5/30/2026, 5,856 RSUs will vest on 6/28/2026, 32,704 RSUs will vest in two equal annual increments beginning 5/30/2026, and 95,869 RSUs will vest in three equal annual increments beginning 5/30/2026. There are no voting or dividend rights prior to vesting.</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stock option represents a right to receive one ADS in the Issuer.</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vest in three equal annual increments beginning 5/30/2024.</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expire five years after the relevant vesting date.</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vest in three equal annual increments beginning 5/30/2025.</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Jean-Christophe Flatin</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Jean-Christophe Flatin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6238"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2026-03-18T19:25:44Z</dcterms:created>
  <dcterms:modified xsi:type="dcterms:W3CDTF">2026-03-18T19:25:44Z</dcterms:modified>
</cp:coreProperties>
</file>