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31"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9"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May 13,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Bradley Ecker and Evan Ewing</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Oatly Group AB</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Registration Statement on Form F-3</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March 25, 2025, as amended</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333-286101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of the Securities and Exchange Commission promulgated under the Securities Act of 1933, as amended, Oatly Group AB hereby respectfully requests that the effective date of the above-captioned Registration Statement on Form F-3 (the “Registration Statement”) be accelerated to, and that the Registration Statement be declared effective at, 4:30 p.m. Washington, D.C. time on May 15, 2025, or as soon as practicable thereafter.</w:t>
      </w:r>
    </w:p>
    <w:p>
      <w:pPr>
        <w:spacing w:after="0" w:line="180" w:lineRule="exact"/>
        <w:rPr>
          <w:sz w:val="24"/>
          <w:szCs w:val="24"/>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If you have any questions, please contact the Company’s counsel, Laura Katherine Mann, at laurakatherine.mann@whitecase.com, or by telephone at 713-496-9695, and please notify her when this request for acceleration has been granted.</w:t>
      </w:r>
    </w:p>
    <w:p>
      <w:pPr>
        <w:spacing w:after="0" w:line="18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Jean-Christophe Flatin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Jean-Christophe Flatin</w:t>
      </w:r>
    </w:p>
    <w:p>
      <w:pPr>
        <w:spacing w:after="0" w:line="2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4"/>
          <w:szCs w:val="24"/>
          <w:color w:val="auto"/>
        </w:rPr>
      </w:pPr>
    </w:p>
    <w:p>
      <w:pPr>
        <w:jc w:val="both"/>
        <w:ind w:left="444" w:right="7940" w:hanging="444"/>
        <w:spacing w:after="0" w:line="261"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Merritt, Oatly Group AB Timothy Sjövall, Oatly Group AB</w:t>
      </w:r>
    </w:p>
    <w:p>
      <w:pPr>
        <w:jc w:val="both"/>
        <w:ind w:left="444" w:right="73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Laura Katherine Mann, White &amp; Case LLP Shoan Panahi, White &amp; Case Advokat AB</w:t>
      </w:r>
    </w:p>
    <w:sectPr>
      <w:pgSz w:w="11900" w:h="16838" w:orient="portrait"/>
      <w:cols w:equalWidth="0" w:num="1">
        <w:col w:w="10864"/>
      </w:cols>
      <w:pgMar w:left="436" w:top="2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2025-08-06T23:18:27Z</dcterms:created>
  <dcterms:modified xsi:type="dcterms:W3CDTF">2025-08-06T23:18:27Z</dcterms:modified>
</cp:coreProperties>
</file>