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128270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6-K/A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170815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month of September 2025</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128270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Oatly Group AB</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174625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Ångfärjekajen 8</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211 19 Malmö</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Sweden</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183515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27" w:lineRule="exact"/>
        <w:rPr>
          <w:sz w:val="24"/>
          <w:szCs w:val="24"/>
          <w:color w:val="auto"/>
        </w:rPr>
      </w:pPr>
    </w:p>
    <w:p>
      <w:pPr>
        <w:jc w:val="center"/>
        <w:ind w:right="1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3733800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5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t>INFORMATION CONTAINED IN THIS REPORT ON FORM 6-K/A</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This Amendment to the Form 6-K of Oatly Group AB (“Oatly”), filed on July 23, 2025 (the “Original 6-K”), is being filed solely to provide Oatly’s Unaudited Condensed Consolidated Financial Statements for the three and six months ended June 30, 2025 (the “Financial Statements”) using interactive data files in inline eXtensible Business Reporting Language (iXBRL), as attached to this Form 6-K/A. The Financial Statements were previously provided without iXBRL to the Original 6-K.</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Form 6-K/A shall be deemed to be incorporated by reference into the registration statements on Form S-8, as amended (File Number 333-256316) and Form F-3, as amended (File Number 333-286101) of the Company (including any prospectuses forming a part of such registration statements), hereby amending them,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6919595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1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1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1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7110730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742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Oatly Group AB</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24, 2025</w:t>
            </w:r>
          </w:p>
        </w:tc>
        <w:tc>
          <w:tcPr>
            <w:tcW w:w="26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191"/>
        </w:trPr>
        <w:tc>
          <w:tcPr>
            <w:tcW w:w="3820" w:type="dxa"/>
            <w:vAlign w:val="bottom"/>
          </w:tcPr>
          <w:p>
            <w:pPr>
              <w:spacing w:after="0"/>
              <w:rPr>
                <w:sz w:val="16"/>
                <w:szCs w:val="16"/>
                <w:color w:val="auto"/>
              </w:rPr>
            </w:pPr>
          </w:p>
        </w:tc>
        <w:tc>
          <w:tcPr>
            <w:tcW w:w="26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3820" w:type="dxa"/>
            <w:vAlign w:val="bottom"/>
          </w:tcPr>
          <w:p>
            <w:pPr>
              <w:spacing w:after="0"/>
              <w:rPr>
                <w:sz w:val="20"/>
                <w:szCs w:val="20"/>
                <w:color w:val="auto"/>
              </w:rPr>
            </w:pPr>
          </w:p>
        </w:tc>
        <w:tc>
          <w:tcPr>
            <w:tcW w:w="26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11"/>
        </w:trPr>
        <w:tc>
          <w:tcPr>
            <w:tcW w:w="38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2429510</wp:posOffset>
            </wp:positionV>
            <wp:extent cx="1671320" cy="1620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7132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Interim condensed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610235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90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0" w:type="dxa"/>
            <w:vAlign w:val="bottom"/>
          </w:tcPr>
          <w:p>
            <w:pPr>
              <w:spacing w:after="0"/>
              <w:rPr>
                <w:sz w:val="20"/>
                <w:szCs w:val="20"/>
                <w:color w:val="auto"/>
              </w:rPr>
            </w:pPr>
          </w:p>
        </w:tc>
      </w:tr>
      <w:tr>
        <w:trPr>
          <w:trHeight w:val="414"/>
        </w:trPr>
        <w:tc>
          <w:tcPr>
            <w:tcW w:w="90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200" w:type="dxa"/>
            <w:vAlign w:val="bottom"/>
          </w:tcPr>
          <w:p>
            <w:pPr>
              <w:spacing w:after="0"/>
              <w:rPr>
                <w:sz w:val="24"/>
                <w:szCs w:val="24"/>
                <w:color w:val="auto"/>
              </w:rPr>
            </w:pPr>
          </w:p>
        </w:tc>
      </w:tr>
      <w:tr>
        <w:trPr>
          <w:trHeight w:val="194"/>
        </w:trPr>
        <w:tc>
          <w:tcPr>
            <w:tcW w:w="904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2200" w:type="dxa"/>
            <w:vAlign w:val="bottom"/>
          </w:tcPr>
          <w:p>
            <w:pPr>
              <w:spacing w:after="0"/>
              <w:rPr>
                <w:sz w:val="16"/>
                <w:szCs w:val="16"/>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9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operations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47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comprehensive loss</w:t>
            </w:r>
          </w:p>
        </w:tc>
        <w:tc>
          <w:tcPr>
            <w:tcW w:w="4340" w:type="dxa"/>
            <w:vAlign w:val="bottom"/>
            <w:gridSpan w:val="4"/>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9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financial position</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45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Interim condensed consolidated statement of changes in equity</w:t>
            </w:r>
          </w:p>
        </w:tc>
        <w:tc>
          <w:tcPr>
            <w:tcW w:w="4500" w:type="dxa"/>
            <w:vAlign w:val="bottom"/>
            <w:gridSpan w:val="6"/>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0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Interim condensed consolidated statement of cash flows</w:t>
            </w:r>
          </w:p>
        </w:tc>
        <w:tc>
          <w:tcPr>
            <w:tcW w:w="5000" w:type="dxa"/>
            <w:vAlign w:val="bottom"/>
            <w:gridSpan w:val="7"/>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6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the interim condensed consolidated financial statements</w:t>
            </w:r>
          </w:p>
        </w:tc>
        <w:tc>
          <w:tcPr>
            <w:tcW w:w="4360" w:type="dxa"/>
            <w:vAlign w:val="bottom"/>
            <w:gridSpan w:val="5"/>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9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5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4380" w:type="dxa"/>
            <w:vAlign w:val="bottom"/>
            <w:tcBorders>
              <w:top w:val="single" w:sz="8" w:color="0000FF"/>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tcPr>
          <w:p>
            <w:pPr>
              <w:spacing w:after="0"/>
              <w:rPr>
                <w:sz w:val="17"/>
                <w:szCs w:val="17"/>
                <w:color w:val="auto"/>
              </w:rPr>
            </w:pPr>
          </w:p>
        </w:tc>
        <w:tc>
          <w:tcPr>
            <w:tcW w:w="2020" w:type="dxa"/>
            <w:vAlign w:val="bottom"/>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18"/>
        </w:trPr>
        <w:tc>
          <w:tcPr>
            <w:tcW w:w="90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2200" w:type="dxa"/>
            <w:vAlign w:val="bottom"/>
          </w:tcPr>
          <w:p>
            <w:pPr>
              <w:spacing w:after="0"/>
              <w:rPr>
                <w:sz w:val="18"/>
                <w:szCs w:val="18"/>
                <w:color w:val="auto"/>
              </w:rPr>
            </w:pPr>
          </w:p>
        </w:tc>
      </w:tr>
      <w:tr>
        <w:trPr>
          <w:trHeight w:val="194"/>
        </w:trPr>
        <w:tc>
          <w:tcPr>
            <w:tcW w:w="5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bottom w:val="single" w:sz="8" w:color="0000FF"/>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140" w:type="dxa"/>
            <w:vAlign w:val="bottom"/>
            <w:gridSpan w:val="10"/>
          </w:tcPr>
          <w:p>
            <w:pPr>
              <w:spacing w:after="0"/>
              <w:rPr>
                <w:sz w:val="16"/>
                <w:szCs w:val="16"/>
                <w:color w:val="auto"/>
              </w:rPr>
            </w:pPr>
          </w:p>
        </w:tc>
        <w:tc>
          <w:tcPr>
            <w:tcW w:w="2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6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7440" w:type="dxa"/>
            <w:vAlign w:val="bottom"/>
            <w:gridSpan w:val="11"/>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850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540" w:type="dxa"/>
            <w:vAlign w:val="bottom"/>
            <w:tcBorders>
              <w:top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4360" w:type="dxa"/>
            <w:vAlign w:val="bottom"/>
            <w:tcBorders>
              <w:top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140" w:type="dxa"/>
            <w:vAlign w:val="bottom"/>
            <w:gridSpan w:val="3"/>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288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160" w:type="dxa"/>
            <w:vAlign w:val="bottom"/>
            <w:gridSpan w:val="8"/>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216"/>
        </w:trPr>
        <w:tc>
          <w:tcPr>
            <w:tcW w:w="5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54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77"/>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and ADS data)</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0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208,354</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405,884</w:t>
            </w: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(140,729)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(143,239)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(275,929)</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(288,496)</w:t>
            </w: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67,625</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58,956</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129,955</w:t>
            </w: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112,854</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(10,898)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(8,996)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(15,540)</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(84,111)</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(84,261)</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(161,609)</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(163,003)</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(1,803)</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(22,116)</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(39,079)</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(40,707)</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(67,492)</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(31,916)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(22,505)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(6,988)</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(54,032)</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(28,690)</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(63,212)</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(74,480)</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(1,805)</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(55,946)</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(30,441)</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(68,477)</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(76,285)</w:t>
            </w:r>
          </w:p>
        </w:tc>
      </w:tr>
      <w:tr>
        <w:trPr>
          <w:trHeight w:val="197"/>
        </w:trPr>
        <w:tc>
          <w:tcPr>
            <w:tcW w:w="5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5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(55,911)</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(30,384)</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(68,341)</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(76,183)</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548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per ADS, attributable to shareholder of the parent</w:t>
            </w: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38"/>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(1 ADS representing 20 ordinary shares):</w:t>
            </w: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601,195,247</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596,242,505</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599,884,824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595,654,647</w:t>
            </w:r>
          </w:p>
        </w:tc>
        <w:tc>
          <w:tcPr>
            <w:tcW w:w="12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-1473835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-1456690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-1473835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-1456690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-1473835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-1456690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-1456690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comprehensive loss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7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8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18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(55,946)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(30,441)</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(68,477)</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(76,285)</w:t>
            </w:r>
          </w:p>
        </w:tc>
      </w:tr>
      <w:tr>
        <w:trPr>
          <w:trHeight w:val="209"/>
        </w:trPr>
        <w:tc>
          <w:tcPr>
            <w:tcW w:w="5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198"/>
        </w:trPr>
        <w:tc>
          <w:tcPr>
            <w:tcW w:w="58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 of</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 (net of tax):</w:t>
            </w: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 from translation of foreign operations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52,027</w:t>
            </w: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(20,460)</w:t>
            </w:r>
          </w:p>
        </w:tc>
      </w:tr>
      <w:tr>
        <w:trPr>
          <w:trHeight w:val="20"/>
        </w:trPr>
        <w:tc>
          <w:tcPr>
            <w:tcW w:w="5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 for the period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27,330</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(1,228)</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52,027</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(20,460)</w:t>
            </w:r>
          </w:p>
        </w:tc>
      </w:tr>
      <w:tr>
        <w:trPr>
          <w:trHeight w:val="20"/>
        </w:trPr>
        <w:tc>
          <w:tcPr>
            <w:tcW w:w="58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(28,616)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(31,669)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(16,450)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(96,745)</w:t>
            </w:r>
          </w:p>
        </w:tc>
      </w:tr>
      <w:tr>
        <w:trPr>
          <w:trHeight w:val="20"/>
        </w:trPr>
        <w:tc>
          <w:tcPr>
            <w:tcW w:w="58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(28,583)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(31,605)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(16,318)</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(96,627)</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-1285240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-1285240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-1285240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-582295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-582295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-582295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financial position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5"/>
                <w:szCs w:val="15"/>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7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133,628</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116,208</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304,565</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294,199</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43,541</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45,555</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12,13</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45,140</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44,331</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4,698</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4,561</w:t>
            </w:r>
          </w:p>
        </w:tc>
      </w:tr>
      <w:tr>
        <w:trPr>
          <w:trHeight w:val="20"/>
        </w:trPr>
        <w:tc>
          <w:tcPr>
            <w:tcW w:w="71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531,572</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504,854</w:t>
            </w: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65,851</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65,602</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102,597</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103,366</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5,933</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6,095</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17,968</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15,738</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11,203</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9,402</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67,931</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98,923</w:t>
            </w:r>
          </w:p>
        </w:tc>
      </w:tr>
      <w:tr>
        <w:trPr>
          <w:trHeight w:val="20"/>
        </w:trPr>
        <w:tc>
          <w:tcPr>
            <w:tcW w:w="71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271,483</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299,126</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803,055</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803,980</w:t>
            </w:r>
          </w:p>
        </w:tc>
      </w:tr>
      <w:tr>
        <w:trPr>
          <w:trHeight w:val="196"/>
        </w:trPr>
        <w:tc>
          <w:tcPr>
            <w:tcW w:w="71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 AND LIABILITIES</w:t>
            </w:r>
          </w:p>
        </w:tc>
        <w:tc>
          <w:tcPr>
            <w:tcW w:w="7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1,628,045</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1,628,045</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(222,137)</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(274,160)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(1,310,599)</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(1,249,303)</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parent</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95,416</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104,688</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1,303</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96,719</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106,123</w:t>
            </w:r>
          </w:p>
        </w:tc>
      </w:tr>
      <w:tr>
        <w:trPr>
          <w:trHeight w:val="210"/>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29,508</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31,724</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115,746</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116,216</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9,317</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14,857</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154,571</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162,797</w:t>
            </w:r>
          </w:p>
        </w:tc>
      </w:tr>
      <w:tr>
        <w:trPr>
          <w:trHeight w:val="210"/>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13,473</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13,359</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13,21</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328,981</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324,395</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4,899</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5,757</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64,688</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60,152</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1,349</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7,568</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7,998</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112,675</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103,719</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18,132</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18,204</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551,765</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535,060</w:t>
            </w:r>
          </w:p>
        </w:tc>
      </w:tr>
      <w:tr>
        <w:trPr>
          <w:trHeight w:val="20"/>
        </w:trPr>
        <w:tc>
          <w:tcPr>
            <w:tcW w:w="71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706,336</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697,857</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803,055</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803,980</w:t>
            </w: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-5365750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-5365750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-4251325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-4251325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-3959860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-3942715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-2545080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-1704975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-316865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changes in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80" w:type="dxa"/>
            <w:vAlign w:val="bottom"/>
          </w:tcPr>
          <w:p>
            <w:pPr>
              <w:spacing w:after="0"/>
              <w:rPr>
                <w:sz w:val="12"/>
                <w:szCs w:val="12"/>
                <w:color w:val="auto"/>
              </w:rPr>
            </w:pPr>
          </w:p>
        </w:tc>
        <w:tc>
          <w:tcPr>
            <w:tcW w:w="8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00" w:type="dxa"/>
            <w:vAlign w:val="bottom"/>
            <w:gridSpan w:val="2"/>
            <w:vMerge w:val="restart"/>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3"/>
                <w:szCs w:val="13"/>
                <w:color w:val="auto"/>
              </w:rPr>
            </w:pPr>
          </w:p>
        </w:tc>
        <w:tc>
          <w:tcPr>
            <w:tcW w:w="8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00" w:type="dxa"/>
            <w:vAlign w:val="bottom"/>
          </w:tcPr>
          <w:p>
            <w:pPr>
              <w:spacing w:after="0"/>
              <w:rPr>
                <w:sz w:val="13"/>
                <w:szCs w:val="13"/>
                <w:color w:val="auto"/>
              </w:rPr>
            </w:pPr>
          </w:p>
        </w:tc>
        <w:tc>
          <w:tcPr>
            <w:tcW w:w="88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8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5"/>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940" w:type="dxa"/>
            <w:vAlign w:val="bottom"/>
            <w:gridSpan w:val="4"/>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54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parent</w:t>
            </w:r>
          </w:p>
        </w:tc>
        <w:tc>
          <w:tcPr>
            <w:tcW w:w="10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(274,160)</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(1,249,303</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104,688</w:t>
            </w:r>
          </w:p>
        </w:tc>
        <w:tc>
          <w:tcPr>
            <w:tcW w:w="6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1,435</w:t>
            </w: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106,123</w:t>
            </w:r>
          </w:p>
        </w:tc>
        <w:tc>
          <w:tcPr>
            <w:tcW w:w="0" w:type="dxa"/>
            <w:vAlign w:val="bottom"/>
          </w:tcPr>
          <w:p>
            <w:pPr>
              <w:spacing w:after="0"/>
              <w:rPr>
                <w:sz w:val="1"/>
                <w:szCs w:val="1"/>
                <w:color w:val="auto"/>
              </w:rPr>
            </w:pPr>
          </w:p>
        </w:tc>
      </w:tr>
      <w:tr>
        <w:trPr>
          <w:trHeight w:val="188"/>
        </w:trPr>
        <w:tc>
          <w:tcPr>
            <w:tcW w:w="292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gridSpan w:val="2"/>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940" w:type="dxa"/>
            <w:vAlign w:val="bottom"/>
            <w:gridSpan w:val="3"/>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8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(12,430)</w:t>
            </w:r>
          </w:p>
        </w:tc>
        <w:tc>
          <w:tcPr>
            <w:tcW w:w="9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(12,531)</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gridSpan w:val="2"/>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0" w:type="dxa"/>
            <w:vAlign w:val="bottom"/>
          </w:tcPr>
          <w:p>
            <w:pPr>
              <w:spacing w:after="0"/>
              <w:rPr>
                <w:sz w:val="1"/>
                <w:szCs w:val="1"/>
                <w:color w:val="auto"/>
              </w:rPr>
            </w:pPr>
          </w:p>
        </w:tc>
      </w:tr>
      <w:tr>
        <w:trPr>
          <w:trHeight w:val="187"/>
        </w:trPr>
        <w:tc>
          <w:tcPr>
            <w:tcW w:w="29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6"/>
                <w:szCs w:val="16"/>
                <w:color w:val="auto"/>
              </w:rPr>
            </w:pP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24,695</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(12,430)</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12,265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12,166</w:t>
            </w:r>
          </w:p>
        </w:tc>
        <w:tc>
          <w:tcPr>
            <w:tcW w:w="0" w:type="dxa"/>
            <w:vAlign w:val="bottom"/>
          </w:tcPr>
          <w:p>
            <w:pPr>
              <w:spacing w:after="0"/>
              <w:rPr>
                <w:sz w:val="1"/>
                <w:szCs w:val="1"/>
                <w:color w:val="auto"/>
              </w:rPr>
            </w:pPr>
          </w:p>
        </w:tc>
      </w:tr>
      <w:tr>
        <w:trPr>
          <w:trHeight w:val="103"/>
        </w:trPr>
        <w:tc>
          <w:tcPr>
            <w:tcW w:w="2960" w:type="dxa"/>
            <w:vAlign w:val="bottom"/>
            <w:gridSpan w:val="2"/>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52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gridSpan w:val="2"/>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gridSpan w:val="2"/>
            <w:shd w:val="clear" w:color="auto" w:fill="CFF0FC"/>
          </w:tcPr>
          <w:p>
            <w:pPr>
              <w:spacing w:after="0"/>
              <w:rPr>
                <w:sz w:val="17"/>
                <w:szCs w:val="17"/>
                <w:color w:val="auto"/>
              </w:rPr>
            </w:pPr>
          </w:p>
        </w:tc>
        <w:tc>
          <w:tcPr>
            <w:tcW w:w="8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7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(249,465)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(1,258,141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120,545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121,881</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5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(55,911)</w:t>
            </w:r>
          </w:p>
        </w:tc>
        <w:tc>
          <w:tcPr>
            <w:tcW w:w="940" w:type="dxa"/>
            <w:vAlign w:val="bottom"/>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(55,911)</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(55,946)</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0" w:type="dxa"/>
            <w:vAlign w:val="bottom"/>
          </w:tcPr>
          <w:p>
            <w:pPr>
              <w:spacing w:after="0"/>
              <w:rPr>
                <w:sz w:val="1"/>
                <w:szCs w:val="1"/>
                <w:color w:val="auto"/>
              </w:rPr>
            </w:pPr>
          </w:p>
        </w:tc>
      </w:tr>
      <w:tr>
        <w:trPr>
          <w:trHeight w:val="187"/>
        </w:trPr>
        <w:tc>
          <w:tcPr>
            <w:tcW w:w="2960" w:type="dxa"/>
            <w:vAlign w:val="bottom"/>
            <w:gridSpan w:val="2"/>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5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FF0FC"/>
          </w:tcPr>
          <w:p>
            <w:pPr>
              <w:spacing w:after="0"/>
              <w:rPr>
                <w:sz w:val="16"/>
                <w:szCs w:val="16"/>
                <w:color w:val="auto"/>
              </w:rPr>
            </w:pPr>
          </w:p>
        </w:tc>
        <w:tc>
          <w:tcPr>
            <w:tcW w:w="94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27,328</w:t>
            </w:r>
          </w:p>
        </w:tc>
        <w:tc>
          <w:tcPr>
            <w:tcW w:w="9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(55,911)</w:t>
            </w:r>
          </w:p>
        </w:tc>
        <w:tc>
          <w:tcPr>
            <w:tcW w:w="9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(28,583)</w:t>
            </w: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(28,616)</w:t>
            </w:r>
          </w:p>
        </w:tc>
        <w:tc>
          <w:tcPr>
            <w:tcW w:w="0" w:type="dxa"/>
            <w:vAlign w:val="bottom"/>
          </w:tcPr>
          <w:p>
            <w:pPr>
              <w:spacing w:after="0"/>
              <w:rPr>
                <w:sz w:val="1"/>
                <w:szCs w:val="1"/>
                <w:color w:val="auto"/>
              </w:rPr>
            </w:pPr>
          </w:p>
        </w:tc>
      </w:tr>
      <w:tr>
        <w:trPr>
          <w:trHeight w:val="103"/>
        </w:trPr>
        <w:tc>
          <w:tcPr>
            <w:tcW w:w="2960" w:type="dxa"/>
            <w:vAlign w:val="bottom"/>
            <w:gridSpan w:val="2"/>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5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80" w:type="dxa"/>
            <w:vAlign w:val="bottom"/>
            <w:gridSpan w:val="3"/>
            <w:vMerge w:val="continue"/>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940" w:type="dxa"/>
            <w:vAlign w:val="bottom"/>
            <w:gridSpan w:val="3"/>
            <w:vMerge w:val="continue"/>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60" w:type="dxa"/>
            <w:vAlign w:val="bottom"/>
            <w:gridSpan w:val="2"/>
            <w:vMerge w:val="continue"/>
            <w:shd w:val="clear" w:color="auto" w:fill="CFF0FC"/>
          </w:tcPr>
          <w:p>
            <w:pPr>
              <w:spacing w:after="0"/>
              <w:rPr>
                <w:sz w:val="8"/>
                <w:szCs w:val="8"/>
                <w:color w:val="auto"/>
              </w:rPr>
            </w:pPr>
          </w:p>
        </w:tc>
        <w:tc>
          <w:tcPr>
            <w:tcW w:w="980" w:type="dxa"/>
            <w:vAlign w:val="bottom"/>
            <w:gridSpan w:val="3"/>
            <w:vMerge w:val="continue"/>
            <w:shd w:val="clear" w:color="auto" w:fill="CFF0FC"/>
          </w:tcPr>
          <w:p>
            <w:pPr>
              <w:spacing w:after="0"/>
              <w:rPr>
                <w:sz w:val="8"/>
                <w:szCs w:val="8"/>
                <w:color w:val="auto"/>
              </w:rPr>
            </w:pPr>
          </w:p>
        </w:tc>
        <w:tc>
          <w:tcPr>
            <w:tcW w:w="960" w:type="dxa"/>
            <w:vAlign w:val="bottom"/>
            <w:gridSpan w:val="3"/>
            <w:vMerge w:val="continue"/>
            <w:shd w:val="clear" w:color="auto" w:fill="CFF0FC"/>
          </w:tcPr>
          <w:p>
            <w:pPr>
              <w:spacing w:after="0"/>
              <w:rPr>
                <w:sz w:val="8"/>
                <w:szCs w:val="8"/>
                <w:color w:val="auto"/>
              </w:rPr>
            </w:pPr>
          </w:p>
        </w:tc>
        <w:tc>
          <w:tcPr>
            <w:tcW w:w="940" w:type="dxa"/>
            <w:vAlign w:val="bottom"/>
            <w:gridSpan w:val="3"/>
            <w:vMerge w:val="continue"/>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40" w:type="dxa"/>
            <w:vAlign w:val="bottom"/>
            <w:gridSpan w:val="2"/>
            <w:vMerge w:val="continue"/>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6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FF0FC"/>
            </w:tcBorders>
            <w:gridSpan w:val="2"/>
            <w:vMerge w:val="continue"/>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Issue of shares</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gridSpan w:val="2"/>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gridSpan w:val="2"/>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7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(222,137)</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(1,310,599</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95,416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96,719</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gridSpan w:val="2"/>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80" w:type="dxa"/>
            <w:vAlign w:val="bottom"/>
          </w:tcPr>
          <w:p>
            <w:pPr>
              <w:spacing w:after="0"/>
              <w:rPr>
                <w:sz w:val="12"/>
                <w:szCs w:val="12"/>
                <w:color w:val="auto"/>
              </w:rPr>
            </w:pP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8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3"/>
                <w:szCs w:val="13"/>
                <w:color w:val="auto"/>
              </w:rPr>
            </w:pPr>
          </w:p>
        </w:tc>
        <w:tc>
          <w:tcPr>
            <w:tcW w:w="8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8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0" w:type="dxa"/>
            <w:vAlign w:val="bottom"/>
          </w:tcPr>
          <w:p>
            <w:pPr>
              <w:spacing w:after="0"/>
              <w:rPr>
                <w:sz w:val="13"/>
                <w:szCs w:val="13"/>
                <w:color w:val="auto"/>
              </w:rPr>
            </w:pPr>
          </w:p>
        </w:tc>
        <w:tc>
          <w:tcPr>
            <w:tcW w:w="86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the parent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(233,204)</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(1,060,952)</w:t>
            </w: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333,994</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1,787</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335,781</w:t>
            </w:r>
          </w:p>
        </w:tc>
        <w:tc>
          <w:tcPr>
            <w:tcW w:w="0" w:type="dxa"/>
            <w:vAlign w:val="bottom"/>
          </w:tcPr>
          <w:p>
            <w:pPr>
              <w:spacing w:after="0"/>
              <w:rPr>
                <w:sz w:val="1"/>
                <w:szCs w:val="1"/>
                <w:color w:val="auto"/>
              </w:rPr>
            </w:pPr>
          </w:p>
        </w:tc>
      </w:tr>
      <w:tr>
        <w:trPr>
          <w:trHeight w:val="196"/>
        </w:trPr>
        <w:tc>
          <w:tcPr>
            <w:tcW w:w="2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94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8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(45,799)</w:t>
            </w:r>
          </w:p>
        </w:tc>
        <w:tc>
          <w:tcPr>
            <w:tcW w:w="10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(45,799)</w:t>
            </w:r>
          </w:p>
        </w:tc>
        <w:tc>
          <w:tcPr>
            <w:tcW w:w="40" w:type="dxa"/>
            <w:vAlign w:val="bottom"/>
          </w:tcPr>
          <w:p>
            <w:pPr>
              <w:spacing w:after="0"/>
              <w:rPr>
                <w:sz w:val="17"/>
                <w:szCs w:val="17"/>
                <w:color w:val="auto"/>
              </w:rPr>
            </w:pPr>
          </w:p>
        </w:tc>
        <w:tc>
          <w:tcPr>
            <w:tcW w:w="8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(45,844)</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0" w:type="dxa"/>
            <w:vAlign w:val="bottom"/>
          </w:tcPr>
          <w:p>
            <w:pPr>
              <w:spacing w:after="0"/>
              <w:rPr>
                <w:sz w:val="1"/>
                <w:szCs w:val="1"/>
                <w:color w:val="auto"/>
              </w:rPr>
            </w:pPr>
          </w:p>
        </w:tc>
      </w:tr>
      <w:tr>
        <w:trPr>
          <w:trHeight w:val="187"/>
        </w:trPr>
        <w:tc>
          <w:tcPr>
            <w:tcW w:w="29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6"/>
                <w:szCs w:val="16"/>
                <w:color w:val="auto"/>
              </w:rPr>
            </w:pPr>
          </w:p>
        </w:tc>
        <w:tc>
          <w:tcPr>
            <w:tcW w:w="9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(19,223)</w:t>
            </w:r>
          </w:p>
        </w:tc>
        <w:tc>
          <w:tcPr>
            <w:tcW w:w="40" w:type="dxa"/>
            <w:vAlign w:val="bottom"/>
          </w:tcPr>
          <w:p>
            <w:pPr>
              <w:spacing w:after="0"/>
              <w:rPr>
                <w:sz w:val="16"/>
                <w:szCs w:val="16"/>
                <w:color w:val="auto"/>
              </w:rPr>
            </w:pP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(45,799)</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(65,022)</w:t>
            </w:r>
          </w:p>
        </w:tc>
        <w:tc>
          <w:tcPr>
            <w:tcW w:w="40" w:type="dxa"/>
            <w:vAlign w:val="bottom"/>
          </w:tcPr>
          <w:p>
            <w:pPr>
              <w:spacing w:after="0"/>
              <w:rPr>
                <w:sz w:val="16"/>
                <w:szCs w:val="16"/>
                <w:color w:val="auto"/>
              </w:rPr>
            </w:pPr>
          </w:p>
        </w:tc>
        <w:tc>
          <w:tcPr>
            <w:tcW w:w="8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w:t>
            </w:r>
          </w:p>
        </w:tc>
        <w:tc>
          <w:tcPr>
            <w:tcW w:w="8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(65,076)</w:t>
            </w:r>
          </w:p>
        </w:tc>
        <w:tc>
          <w:tcPr>
            <w:tcW w:w="0" w:type="dxa"/>
            <w:vAlign w:val="bottom"/>
          </w:tcPr>
          <w:p>
            <w:pPr>
              <w:spacing w:after="0"/>
              <w:rPr>
                <w:sz w:val="1"/>
                <w:szCs w:val="1"/>
                <w:color w:val="auto"/>
              </w:rPr>
            </w:pPr>
          </w:p>
        </w:tc>
      </w:tr>
      <w:tr>
        <w:trPr>
          <w:trHeight w:val="103"/>
        </w:trPr>
        <w:tc>
          <w:tcPr>
            <w:tcW w:w="2960" w:type="dxa"/>
            <w:vAlign w:val="bottom"/>
            <w:gridSpan w:val="2"/>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52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2,615</w:t>
            </w: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8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2,615</w:t>
            </w:r>
          </w:p>
        </w:tc>
        <w:tc>
          <w:tcPr>
            <w:tcW w:w="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1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(252,427)</w:t>
            </w:r>
          </w:p>
        </w:tc>
        <w:tc>
          <w:tcPr>
            <w:tcW w:w="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(1,104,136)</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271,587</w:t>
            </w:r>
          </w:p>
        </w:tc>
        <w:tc>
          <w:tcPr>
            <w:tcW w:w="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1,733</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273,320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5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(30,384)</w:t>
            </w:r>
          </w:p>
        </w:tc>
        <w:tc>
          <w:tcPr>
            <w:tcW w:w="1000" w:type="dxa"/>
            <w:vAlign w:val="bottom"/>
            <w:gridSpan w:val="4"/>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(30,384)</w:t>
            </w:r>
          </w:p>
        </w:tc>
        <w:tc>
          <w:tcPr>
            <w:tcW w:w="4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(30,441)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187"/>
        </w:trPr>
        <w:tc>
          <w:tcPr>
            <w:tcW w:w="2960" w:type="dxa"/>
            <w:vAlign w:val="bottom"/>
            <w:gridSpan w:val="2"/>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5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FF0FC"/>
          </w:tcPr>
          <w:p>
            <w:pPr>
              <w:spacing w:after="0"/>
              <w:rPr>
                <w:sz w:val="16"/>
                <w:szCs w:val="16"/>
                <w:color w:val="auto"/>
              </w:rPr>
            </w:pPr>
          </w:p>
        </w:tc>
        <w:tc>
          <w:tcPr>
            <w:tcW w:w="94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(1,221)</w:t>
            </w:r>
          </w:p>
        </w:tc>
        <w:tc>
          <w:tcPr>
            <w:tcW w:w="40" w:type="dxa"/>
            <w:vAlign w:val="bottom"/>
            <w:shd w:val="clear" w:color="auto" w:fill="CFF0FC"/>
          </w:tcPr>
          <w:p>
            <w:pPr>
              <w:spacing w:after="0"/>
              <w:rPr>
                <w:sz w:val="16"/>
                <w:szCs w:val="16"/>
                <w:color w:val="auto"/>
              </w:rPr>
            </w:pPr>
          </w:p>
        </w:tc>
        <w:tc>
          <w:tcPr>
            <w:tcW w:w="9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(30,384)</w:t>
            </w:r>
          </w:p>
        </w:tc>
        <w:tc>
          <w:tcPr>
            <w:tcW w:w="100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(31,605)</w:t>
            </w:r>
          </w:p>
        </w:tc>
        <w:tc>
          <w:tcPr>
            <w:tcW w:w="40" w:type="dxa"/>
            <w:vAlign w:val="bottom"/>
            <w:shd w:val="clear" w:color="auto" w:fill="CFF0FC"/>
          </w:tcPr>
          <w:p>
            <w:pPr>
              <w:spacing w:after="0"/>
              <w:rPr>
                <w:sz w:val="16"/>
                <w:szCs w:val="16"/>
                <w:color w:val="auto"/>
              </w:rPr>
            </w:pPr>
          </w:p>
        </w:tc>
        <w:tc>
          <w:tcPr>
            <w:tcW w:w="86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(64)</w:t>
            </w:r>
          </w:p>
        </w:tc>
        <w:tc>
          <w:tcPr>
            <w:tcW w:w="8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(31,669)</w:t>
            </w:r>
          </w:p>
        </w:tc>
        <w:tc>
          <w:tcPr>
            <w:tcW w:w="0" w:type="dxa"/>
            <w:vAlign w:val="bottom"/>
          </w:tcPr>
          <w:p>
            <w:pPr>
              <w:spacing w:after="0"/>
              <w:rPr>
                <w:sz w:val="1"/>
                <w:szCs w:val="1"/>
                <w:color w:val="auto"/>
              </w:rPr>
            </w:pPr>
          </w:p>
        </w:tc>
      </w:tr>
      <w:tr>
        <w:trPr>
          <w:trHeight w:val="103"/>
        </w:trPr>
        <w:tc>
          <w:tcPr>
            <w:tcW w:w="2960" w:type="dxa"/>
            <w:vAlign w:val="bottom"/>
            <w:gridSpan w:val="2"/>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5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80" w:type="dxa"/>
            <w:vAlign w:val="bottom"/>
            <w:gridSpan w:val="3"/>
            <w:vMerge w:val="continue"/>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940" w:type="dxa"/>
            <w:vAlign w:val="bottom"/>
            <w:gridSpan w:val="3"/>
            <w:vMerge w:val="continue"/>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60" w:type="dxa"/>
            <w:vAlign w:val="bottom"/>
            <w:gridSpan w:val="2"/>
            <w:vMerge w:val="continue"/>
            <w:shd w:val="clear" w:color="auto" w:fill="CFF0FC"/>
          </w:tcPr>
          <w:p>
            <w:pPr>
              <w:spacing w:after="0"/>
              <w:rPr>
                <w:sz w:val="8"/>
                <w:szCs w:val="8"/>
                <w:color w:val="auto"/>
              </w:rPr>
            </w:pPr>
          </w:p>
        </w:tc>
        <w:tc>
          <w:tcPr>
            <w:tcW w:w="940" w:type="dxa"/>
            <w:vAlign w:val="bottom"/>
            <w:gridSpan w:val="2"/>
            <w:vMerge w:val="continue"/>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960" w:type="dxa"/>
            <w:vAlign w:val="bottom"/>
            <w:gridSpan w:val="3"/>
            <w:vMerge w:val="continue"/>
            <w:shd w:val="clear" w:color="auto" w:fill="CFF0FC"/>
          </w:tcPr>
          <w:p>
            <w:pPr>
              <w:spacing w:after="0"/>
              <w:rPr>
                <w:sz w:val="8"/>
                <w:szCs w:val="8"/>
                <w:color w:val="auto"/>
              </w:rPr>
            </w:pPr>
          </w:p>
        </w:tc>
        <w:tc>
          <w:tcPr>
            <w:tcW w:w="1000" w:type="dxa"/>
            <w:vAlign w:val="bottom"/>
            <w:gridSpan w:val="4"/>
            <w:vMerge w:val="continue"/>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60" w:type="dxa"/>
            <w:vAlign w:val="bottom"/>
            <w:gridSpan w:val="3"/>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6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FF0FC"/>
            </w:tcBorders>
            <w:gridSpan w:val="2"/>
            <w:vMerge w:val="continue"/>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Issue of shares</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7"/>
                <w:szCs w:val="17"/>
                <w:color w:val="auto"/>
              </w:rPr>
            </w:pPr>
          </w:p>
        </w:tc>
        <w:tc>
          <w:tcPr>
            <w:tcW w:w="9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tcBorders>
              <w:bottom w:val="single" w:sz="8" w:color="CFF0FC"/>
            </w:tcBorders>
            <w:gridSpan w:val="2"/>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0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(253,648)</w:t>
            </w:r>
          </w:p>
        </w:tc>
        <w:tc>
          <w:tcPr>
            <w:tcW w:w="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(1,130,341)</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244,162</w:t>
            </w:r>
          </w:p>
        </w:tc>
        <w:tc>
          <w:tcPr>
            <w:tcW w:w="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1,669</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245,831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-4954270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-4937125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-4954270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-4937125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-4954270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-4937125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-4954270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-4937125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-4954270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-4937125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-4954270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-4937125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-4954270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-4937125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-4653915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-4653915</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-4653915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-4653915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-4653915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-4653915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-4653915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-4234180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-4234180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-4234180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-4234180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-4234180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-4234180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-4234180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-3394075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-3376930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-3394075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-3376930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-3394075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-3376930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-3394075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-3376930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-3394075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-3376930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-3394075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-3376930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-3394075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-3376930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-3093720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-3093720</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-3093720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-3093720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-3093720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-3093720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-3093720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-1893570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-1876425</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-1893570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-1876425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-1893570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-1876425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-1893570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-1876425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-1893570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-1876425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-1893570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-1876425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-1893570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-1876425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-1593850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-1593850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-1593850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-1593850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-1593850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-1593850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-1593850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-1173480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-1173480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-1173480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-1173480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-1173480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-1173480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-1173480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-470535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-453390</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-470535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-453390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-470535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-453390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-470535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-453390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-470535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-453390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-470535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-453390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-170815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-170815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cash flows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34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80" w:type="dxa"/>
            <w:vAlign w:val="bottom"/>
            <w:gridSpan w:val="2"/>
            <w:vMerge w:val="continue"/>
          </w:tcPr>
          <w:p>
            <w:pPr>
              <w:spacing w:after="0"/>
              <w:rPr>
                <w:sz w:val="12"/>
                <w:szCs w:val="12"/>
                <w:color w:val="auto"/>
              </w:rPr>
            </w:pPr>
          </w:p>
        </w:tc>
        <w:tc>
          <w:tcPr>
            <w:tcW w:w="1500" w:type="dxa"/>
            <w:vAlign w:val="bottom"/>
            <w:tcBorders>
              <w:top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(68,477)</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(76,285)</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right-of-use assets and amortization of</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9,10,11</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71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23,475</w:t>
            </w:r>
          </w:p>
        </w:tc>
        <w:tc>
          <w:tcPr>
            <w:tcW w:w="22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1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—Write-downs of inventories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(gain)/loss on trade receivables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—Movements in provisions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(7,670)</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(35,507)</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reversal related to discontinued construction of production facilities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(11,829)</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(13,002)</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(1,674)</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(3,767)</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—Increase in inventories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(959)</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(14,151)</w:t>
            </w: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trade receivables, other current receivables, prepaid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15,16</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—Increase/(decrease) in trade payables, other current liabilities, accrued expenses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(9,786)</w:t>
            </w:r>
          </w:p>
        </w:tc>
        <w:tc>
          <w:tcPr>
            <w:tcW w:w="0" w:type="dxa"/>
            <w:vAlign w:val="bottom"/>
          </w:tcPr>
          <w:p>
            <w:pPr>
              <w:spacing w:after="0"/>
              <w:rPr>
                <w:sz w:val="1"/>
                <w:szCs w:val="1"/>
                <w:color w:val="auto"/>
              </w:rPr>
            </w:pPr>
          </w:p>
        </w:tc>
      </w:tr>
      <w:tr>
        <w:trPr>
          <w:trHeight w:val="20"/>
        </w:trPr>
        <w:tc>
          <w:tcPr>
            <w:tcW w:w="71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(15,005)</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(86,013)</w:t>
            </w: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(921)</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(9,778)</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(19,647)</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in)/from investing activities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(10,220)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(1,320)</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(1,020)</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(5,811)</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(13,888)</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(8,151)</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(20,213)</w:t>
            </w:r>
          </w:p>
        </w:tc>
        <w:tc>
          <w:tcPr>
            <w:tcW w:w="0" w:type="dxa"/>
            <w:vAlign w:val="bottom"/>
          </w:tcPr>
          <w:p>
            <w:pPr>
              <w:spacing w:after="0"/>
              <w:rPr>
                <w:sz w:val="1"/>
                <w:szCs w:val="1"/>
                <w:color w:val="auto"/>
              </w:rPr>
            </w:pPr>
          </w:p>
        </w:tc>
      </w:tr>
      <w:tr>
        <w:trPr>
          <w:trHeight w:val="20"/>
        </w:trPr>
        <w:tc>
          <w:tcPr>
            <w:tcW w:w="71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(33,376)</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(105,368)</w:t>
            </w:r>
          </w:p>
        </w:tc>
        <w:tc>
          <w:tcPr>
            <w:tcW w:w="0" w:type="dxa"/>
            <w:vAlign w:val="bottom"/>
          </w:tcPr>
          <w:p>
            <w:pPr>
              <w:spacing w:after="0"/>
              <w:rPr>
                <w:sz w:val="1"/>
                <w:szCs w:val="1"/>
                <w:color w:val="auto"/>
              </w:rPr>
            </w:pPr>
          </w:p>
        </w:tc>
      </w:tr>
      <w:tr>
        <w:trPr>
          <w:trHeight w:val="20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98,923</w:t>
            </w: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50"/>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67,931</w:t>
            </w:r>
          </w:p>
        </w:tc>
        <w:tc>
          <w:tcPr>
            <w:tcW w:w="2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142,728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-2287905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-1447800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-599440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unless otherwise stated)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Corporate information</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Oatly Group AB (the “Company” or the “parent”) is a public limited company incorporated and domiciled in Sweden. The Company’s registered office is located at Ångfärjekajen 8, Malmö, Sweden.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Oatly Group AB and its subsidiaries (together, the “Group”) manufacture, distribute and sell oat-based products.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accounting policies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The interim condensed consolidated financial statements of Oatly Group AB for the three and six months ended June 30, 2025 and 2024 have been prepared in accordance with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The Group has prepared the financial statements on the basis that it will continue to operate as a going concern, and there is a reasonable expectation that the Group has adequate resources to continue in operational existence for the foreseeable future, and not less than 12 months from the end of the reporting period. In forming this judgment the Group has taken into consideration principal conditions, events and assumptions in relation to the Group’s ability to meet its financial covenants and other obligations. The accounting policies adopted are consistent with those of the previous financial year and corresponding interim reporting period.</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interim financial information reflects all normal recurring adjustments that are, in the opinion of management, necessary to fairly present the information set forth herein. The interim condensed consolidated financial statements should be read in conjunction with the Group’s consolidated financial statements for the year ended December 31, 2024, as they do not include all the information and disclosures required in the annual consolidated financial statements. Interim results are not necessarily indicative of the results for a full year. The interim condensed consolidated financial statements are presented in thousands of U.S. dollars, unless otherwise stated.</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18, 2025, the Company completed a ratio change whereby the ratio of the Company’s American Depositary Shares (“ADSs”) to ordinary shares was changed from one ADS representing one ordinary share to one ADS representing twenty ordinary shares (the “ADS Ratio Change”). All numbers in these interim condensed consolidated financial statements, including references to price per ADS and a specific number of ADSs, restricted stock units (“RSUs”) or stock options, reflect an ADS to ordinary share ratio of 1:20 (unless the context clearly indicates otherwise).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New and amended standards and interpretations issued but not yet adopted</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There are no IFRS® Accounting Standards as issued by the International Accounting Standards Board (“IFRS Accounting standards”) that are expected to have a material impact on the Group in the current or future reporting periods or on foreseeable future transactions, other than those included in the 2024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Significant accounting judgments, estimates and assessments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preparing these interim condensed consolidated financial statements, the significant judgments made by management in applying the Group’s accounting policies and the key sources of estimation and uncertainty were the same as those applied to the consolidated financial statements for the year ended December 31, 2024.</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Estimates and judgments are continually evaluated and are based on historical experience and other factors, including expectation of future events.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Seasonality</w:t>
      </w:r>
    </w:p>
    <w:p>
      <w:pPr>
        <w:spacing w:after="0" w:line="20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 date, we have not experienced pronounced seasonality, but such fluctuations may have been masked by our historical growth and macroeconomic trends, including higher inflation. As the Group continues to grow, including the relative size of our markets, we expect to see additional seasonality effects, especially within the food retail channel, with revenue contribution from this channel tending to be linked with holiday season periods. For example, the Lunar New Year one week celebration occurring in the first quarter of the calendar year has resulted in lower volumes sold in Greater China and the rest of the Asia business compared to the remaining quarterly periods of the year.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 Revenue, Adjusted EBITDA and EBITDA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 Adjusted EBITDA and EBITDA</w:t>
            </w:r>
          </w:p>
        </w:tc>
        <w:tc>
          <w:tcPr>
            <w:tcW w:w="120" w:type="dxa"/>
            <w:vAlign w:val="bottom"/>
          </w:tcPr>
          <w:p>
            <w:pPr>
              <w:spacing w:after="0"/>
              <w:rPr>
                <w:sz w:val="16"/>
                <w:szCs w:val="16"/>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118,193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(455)</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118,648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63,185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26,976</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24,261</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(2,369)</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(636)</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(24,819)</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(3,563)</w:t>
            </w:r>
          </w:p>
        </w:tc>
        <w:tc>
          <w:tcPr>
            <w:tcW w:w="0" w:type="dxa"/>
            <w:vAlign w:val="bottom"/>
          </w:tcPr>
          <w:p>
            <w:pPr>
              <w:spacing w:after="0"/>
              <w:rPr>
                <w:sz w:val="1"/>
                <w:szCs w:val="1"/>
                <w:color w:val="auto"/>
              </w:rPr>
            </w:pPr>
          </w:p>
        </w:tc>
      </w:tr>
      <w:tr>
        <w:trPr>
          <w:trHeight w:val="164"/>
        </w:trPr>
        <w:tc>
          <w:tcPr>
            <w:tcW w:w="37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(515)</w:t>
            </w:r>
          </w:p>
        </w:tc>
        <w:tc>
          <w:tcPr>
            <w:tcW w:w="126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(328)</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(334)</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(2,276)</w:t>
            </w:r>
          </w:p>
        </w:tc>
        <w:tc>
          <w:tcPr>
            <w:tcW w:w="1260" w:type="dxa"/>
            <w:vAlign w:val="bottom"/>
            <w:gridSpan w:val="2"/>
          </w:tcPr>
          <w:p>
            <w:pPr>
              <w:jc w:val="right"/>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68"/>
        </w:trPr>
        <w:tc>
          <w:tcPr>
            <w:tcW w:w="37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23,275</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(3,282)</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(2,425)</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(27,390)</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(9,822)</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(31,916)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(12,294)</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(54,032)</w:t>
            </w:r>
          </w:p>
        </w:tc>
        <w:tc>
          <w:tcPr>
            <w:tcW w:w="0" w:type="dxa"/>
            <w:vAlign w:val="bottom"/>
          </w:tcPr>
          <w:p>
            <w:pPr>
              <w:spacing w:after="0"/>
              <w:rPr>
                <w:sz w:val="1"/>
                <w:szCs w:val="1"/>
                <w:color w:val="auto"/>
              </w:rPr>
            </w:pPr>
          </w:p>
        </w:tc>
      </w:tr>
      <w:tr>
        <w:trPr>
          <w:trHeight w:val="326"/>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(1,814)</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107,355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67,819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28,835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(1,814)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12,638</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(428)</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(24,373)</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(10,997)</w:t>
            </w:r>
          </w:p>
        </w:tc>
        <w:tc>
          <w:tcPr>
            <w:tcW w:w="0" w:type="dxa"/>
            <w:vAlign w:val="bottom"/>
          </w:tcPr>
          <w:p>
            <w:pPr>
              <w:spacing w:after="0"/>
              <w:rPr>
                <w:sz w:val="1"/>
                <w:szCs w:val="1"/>
                <w:color w:val="auto"/>
              </w:rPr>
            </w:pPr>
          </w:p>
        </w:tc>
      </w:tr>
      <w:tr>
        <w:trPr>
          <w:trHeight w:val="164"/>
        </w:trPr>
        <w:tc>
          <w:tcPr>
            <w:tcW w:w="37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(501)</w:t>
            </w:r>
          </w:p>
        </w:tc>
        <w:tc>
          <w:tcPr>
            <w:tcW w:w="126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(232)</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(479)</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(2,967)</w:t>
            </w:r>
          </w:p>
        </w:tc>
        <w:tc>
          <w:tcPr>
            <w:tcW w:w="1260" w:type="dxa"/>
            <w:vAlign w:val="bottom"/>
            <w:gridSpan w:val="2"/>
          </w:tcPr>
          <w:p>
            <w:pPr>
              <w:jc w:val="right"/>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68"/>
        </w:trPr>
        <w:tc>
          <w:tcPr>
            <w:tcW w:w="37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164"/>
        </w:trPr>
        <w:tc>
          <w:tcPr>
            <w:tcW w:w="37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Discontinued construction of production</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facilities</w:t>
            </w:r>
            <w:r>
              <w:rPr>
                <w:rFonts w:ascii="Times New Roman" w:cs="Times New Roman" w:eastAsia="Times New Roman" w:hAnsi="Times New Roman"/>
                <w:sz w:val="24"/>
                <w:szCs w:val="24"/>
                <w:color w:val="auto"/>
                <w:vertAlign w:val="superscript"/>
              </w:rPr>
              <w:t>(4)</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(2,923)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68"/>
        </w:trPr>
        <w:tc>
          <w:tcPr>
            <w:tcW w:w="37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(5,677)</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8,359</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(5,235)</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(2,435)</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(27,460)</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(26,771)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(12,308)</w:t>
            </w: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(28,690)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-3356610</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-1247775</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2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225,858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123,071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(1,144)</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227,002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123,071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56,955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(1,144)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39,797</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(1,240)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982</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(46,833)</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(7,294)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(983)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(4,653)</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(7,045)</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(1,253)</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(459)</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39,189</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(3,179)</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(1,297)</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(51,945)</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(17,232)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(22,505)</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(23,475)</w:t>
            </w: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(63,212)</w:t>
            </w:r>
          </w:p>
        </w:tc>
        <w:tc>
          <w:tcPr>
            <w:tcW w:w="0" w:type="dxa"/>
            <w:vAlign w:val="bottom"/>
          </w:tcPr>
          <w:p>
            <w:pPr>
              <w:spacing w:after="0"/>
              <w:rPr>
                <w:sz w:val="1"/>
                <w:szCs w:val="1"/>
                <w:color w:val="auto"/>
              </w:rPr>
            </w:pPr>
          </w:p>
        </w:tc>
      </w:tr>
      <w:tr>
        <w:trPr>
          <w:trHeight w:val="304"/>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215,948</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134,786</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(3,778)</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219,726</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134,786</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50,616</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(3,778)</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27,134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(3,856)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(48,257)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(24,201)</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(879)</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(1,179)</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(5,763)</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(6,794)</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178"/>
        </w:trPr>
        <w:tc>
          <w:tcPr>
            <w:tcW w:w="370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Discontinued construction of production</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70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facilities</w:t>
            </w:r>
            <w:r>
              <w:rPr>
                <w:rFonts w:ascii="Times New Roman" w:cs="Times New Roman" w:eastAsia="Times New Roman" w:hAnsi="Times New Roman"/>
                <w:sz w:val="24"/>
                <w:szCs w:val="24"/>
                <w:color w:val="auto"/>
                <w:vertAlign w:val="superscript"/>
              </w:rPr>
              <w:t>(4)</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(5,677)</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22,477</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(3,480)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(7,077)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(54,091)</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(42,171)</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(6,988)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(25,321)</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(74,480)</w:t>
            </w:r>
          </w:p>
        </w:tc>
        <w:tc>
          <w:tcPr>
            <w:tcW w:w="0" w:type="dxa"/>
            <w:vAlign w:val="bottom"/>
          </w:tcPr>
          <w:p>
            <w:pPr>
              <w:spacing w:after="0"/>
              <w:rPr>
                <w:sz w:val="1"/>
                <w:szCs w:val="1"/>
                <w:color w:val="auto"/>
              </w:rPr>
            </w:pPr>
          </w:p>
        </w:tc>
      </w:tr>
    </w:tbl>
    <w:p>
      <w:pPr>
        <w:ind w:left="300" w:hanging="292"/>
        <w:spacing w:after="0"/>
        <w:tabs>
          <w:tab w:leader="none" w:pos="3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consists of general costs not allocated to the segments.</w:t>
      </w:r>
    </w:p>
    <w:p>
      <w:pPr>
        <w:spacing w:after="0" w:line="13" w:lineRule="exact"/>
        <w:rPr>
          <w:sz w:val="20"/>
          <w:szCs w:val="20"/>
          <w:color w:val="auto"/>
        </w:rPr>
      </w:pPr>
    </w:p>
    <w:p>
      <w:pPr>
        <w:ind w:left="300" w:hanging="292"/>
        <w:spacing w:after="0"/>
        <w:tabs>
          <w:tab w:leader="none" w:pos="3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2025 and 2024 refer to intersegment revenue for sales of products from Europe &amp; International to Greater China.</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Relates primarily to severance costs as the Group adjusts its organizational structure.</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Relates to costs for the strategic review of the Greater China segment.</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Relates to reversal of previously recognized exit costs related to closure of the Group’s production facility in Singapore.</w:t>
      </w:r>
    </w:p>
    <w:p>
      <w:pPr>
        <w:spacing w:after="0" w:line="18" w:lineRule="exact"/>
        <w:rPr>
          <w:rFonts w:ascii="Times New Roman" w:cs="Times New Roman" w:eastAsia="Times New Roman" w:hAnsi="Times New Roman"/>
          <w:sz w:val="16"/>
          <w:szCs w:val="16"/>
          <w:color w:val="auto"/>
        </w:rPr>
      </w:pPr>
    </w:p>
    <w:p>
      <w:pPr>
        <w:ind w:right="50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Relates primarily to non-cash impairments related to discontinued construction of the Group’s production facility in Peterborough, UK, and reversal of previously recognized non-cash impairments related to discontinued construction of the Group’s production facility in Dallas-Fort Worth, Texas.</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Expenses related to a new product launch issue.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i w:val="1"/>
          <w:iCs w:val="1"/>
          <w:color w:val="auto"/>
        </w:rPr>
        <w:t>Non-current assets by country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Non-current assets for this purpose consist of property, plant and equipment and right-of-use assets.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3"/>
                <w:szCs w:val="13"/>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3"/>
                <w:szCs w:val="13"/>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130,226</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114,764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103,791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84,795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348,106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339,754</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5.3 Revenue from external customers, broken down by location of the customers</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Group is domiciled in Sweden. The amount of its revenue from external customers, broken down by location of the customers, is shown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56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26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8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61,552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66,845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120,346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132,482</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34,568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68,601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68,594</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59,803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59,139</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28,527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56,234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50,053</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13,909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Finland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29,019</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21,560</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54,637</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43,846</w:t>
            </w:r>
          </w:p>
        </w:tc>
        <w:tc>
          <w:tcPr>
            <w:tcW w:w="100" w:type="dxa"/>
            <w:vAlign w:val="bottom"/>
          </w:tcPr>
          <w:p>
            <w:pPr>
              <w:spacing w:after="0"/>
              <w:rPr>
                <w:sz w:val="18"/>
                <w:szCs w:val="18"/>
                <w:color w:val="auto"/>
              </w:rPr>
            </w:pPr>
          </w:p>
        </w:tc>
      </w:tr>
      <w:tr>
        <w:trPr>
          <w:trHeight w:val="249"/>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208,354</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405,884</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countries that individually make up greater than 10% of total revenue included in “Other”.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5.4 Revenue from external customers, broken down by channel and segment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external customers, broken down by channel and segment, is shown in the table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20" w:type="dxa"/>
            <w:vAlign w:val="bottom"/>
          </w:tcPr>
          <w:p>
            <w:pPr>
              <w:spacing w:after="0"/>
              <w:rPr>
                <w:sz w:val="15"/>
                <w:szCs w:val="15"/>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15"/>
                <w:szCs w:val="15"/>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93,594</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37,219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137,170</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23,783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66,206</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118,193</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63,185</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26,976</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208,354</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84,669</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122,302</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31,173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71,917</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105,541</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67,819</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28,835</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179,034</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262,567</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45,085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49,113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39,625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133,823</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225,858</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123,071</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56,955</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405,884</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174,876</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71,065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251,371</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40,020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60,286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35,523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135,829</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215,948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134,786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50,616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-2622550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-2622550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-2622550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-1807845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-1807845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-1807845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-984885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-984885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-984885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-170815</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is primarily related to e-commerce, both direct-to-consumer and through third-party platforms.</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Revenues of approximately 7% and 10% in the six months ended June 30, 2025 and 2024, respectively, were derived from a single external customer in the foodservice channel. The revenues were attributed to the North America and Greater China segments.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Oatmilk accounted for 91% and 89% of the Group’s revenue in the six months ended June 30, 2025 and 2024, respectively.</w:t>
      </w:r>
    </w:p>
    <w:p>
      <w:pPr>
        <w:sectPr>
          <w:pgSz w:w="11900" w:h="16838" w:orient="portrait"/>
          <w:cols w:equalWidth="0" w:num="1">
            <w:col w:w="11240"/>
          </w:cols>
          <w:pgMar w:left="320" w:top="765" w:right="3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Share-based compensation</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During the year ended December 31, 2021, in connection with the initial public offering (“IPO”), the Company implemented a new incentive award program, the 2021 Incentive Award Plan (“2021 Plan”). The principal purpose of the 2021 Plan is to attract, retain and motivate selected employees, consultants and members of the Board of Directors through the granting of share-based compensation awards and cash-based performance bonus awards from 2021 and onwards. 69,496,515 ordinary shares have been reserved for grants pursuant to a variety of share-based compensation awards, including, but not limited to, stock options and RSUs. To secure the future delivery of ordinary shares and ADSs under the 2021 Plan, the Company’s shareholders resolved to issue 69,496,515 warrants. The right to subscribe for the warrants vests only in the Company. See Note 18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the Company, under the 2021 Plan, granted 1,330,234 RSUs, of which 352,857 were granted to members of key management, including the Executive Officers, and the Board of Directors. 382,555 RSUs vested during the period, of which 154,341 were to key management. The RSUs are accounted for as equity-settled share-based compensation transactions. The RSUs are measured based on the fair market value of the underlying ADSs on the date of grant. The RSUs granted to employees under the 2021 Plan vest in equal installments on each of the first three anniversaries of the date of grant, subject to continued service. The RSUs granted to members of the Company’s Board of Directors vest on the date of the next Annual General Meeting of shareholders following the grant date, subject to continued service on the applicable vesting 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RSUs outstanding and related information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7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7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820,170</w:t>
            </w:r>
          </w:p>
        </w:tc>
        <w:tc>
          <w:tcPr>
            <w:tcW w:w="220" w:type="dxa"/>
            <w:vAlign w:val="bottom"/>
            <w:tcBorders>
              <w:bottom w:val="single" w:sz="8" w:color="CFF0FC"/>
            </w:tcBorders>
            <w:shd w:val="clear" w:color="auto" w:fill="CFF0FC"/>
          </w:tcPr>
          <w:p>
            <w:pPr>
              <w:spacing w:after="0"/>
              <w:rPr>
                <w:sz w:val="18"/>
                <w:szCs w:val="18"/>
                <w:color w:val="auto"/>
              </w:rPr>
            </w:pPr>
          </w:p>
        </w:tc>
        <w:tc>
          <w:tcPr>
            <w:tcW w:w="2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1,330,234</w:t>
            </w:r>
          </w:p>
        </w:tc>
        <w:tc>
          <w:tcPr>
            <w:tcW w:w="22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(37,274)</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7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(382,555)</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78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1,730,575</w:t>
            </w:r>
          </w:p>
        </w:tc>
        <w:tc>
          <w:tcPr>
            <w:tcW w:w="220" w:type="dxa"/>
            <w:vAlign w:val="bottom"/>
            <w:tcBorders>
              <w:bottom w:val="single" w:sz="8" w:color="CFF0FC"/>
            </w:tcBorders>
            <w:shd w:val="clear" w:color="auto" w:fill="CFF0FC"/>
          </w:tcPr>
          <w:p>
            <w:pPr>
              <w:spacing w:after="0"/>
              <w:rPr>
                <w:sz w:val="21"/>
                <w:szCs w:val="21"/>
                <w:color w:val="auto"/>
              </w:rPr>
            </w:pPr>
          </w:p>
        </w:tc>
        <w:tc>
          <w:tcPr>
            <w:tcW w:w="2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-590550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the Company, under the 2021 Plan, granted no new stock options. 196,628 stock options vested during the period, of which 100,326 were to key management. The stock options are accounted for as equity-settled share-based compensation transactions. For stock options granted under the 2021 Plan, the exercise price is equal to the fair value of the ADSs on the date of grant. The stock options granted to participants under the 2021 Plan vest in equal installments on each of the first three anniversaries of the date of grant, subject to continued service. The stock options expire, in relation to each installment under the vesting schedule, five years after vesting, corresponding to a total term of six, seven and eight years for the respective installment.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stock options outstanding and related information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7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 stock options</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 average exercise price ($)</w:t>
            </w: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580,314</w:t>
            </w:r>
          </w:p>
        </w:tc>
        <w:tc>
          <w:tcPr>
            <w:tcW w:w="200" w:type="dxa"/>
            <w:vAlign w:val="bottom"/>
            <w:tcBorders>
              <w:bottom w:val="single" w:sz="8" w:color="CFF0FC"/>
            </w:tcBorders>
            <w:shd w:val="clear" w:color="auto" w:fill="CFF0FC"/>
          </w:tcPr>
          <w:p>
            <w:pPr>
              <w:spacing w:after="0"/>
              <w:rPr>
                <w:sz w:val="18"/>
                <w:szCs w:val="18"/>
                <w:color w:val="auto"/>
              </w:rPr>
            </w:pPr>
          </w:p>
        </w:tc>
        <w:tc>
          <w:tcPr>
            <w:tcW w:w="2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(45,541)</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 during the period</w:t>
            </w:r>
          </w:p>
        </w:tc>
        <w:tc>
          <w:tcPr>
            <w:tcW w:w="2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(6,119)</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2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528,654</w:t>
            </w:r>
          </w:p>
        </w:tc>
        <w:tc>
          <w:tcPr>
            <w:tcW w:w="200" w:type="dxa"/>
            <w:vAlign w:val="bottom"/>
            <w:tcBorders>
              <w:top w:val="single" w:sz="8" w:color="CFF0FC"/>
            </w:tcBorders>
          </w:tcPr>
          <w:p>
            <w:pPr>
              <w:spacing w:after="0"/>
              <w:rPr>
                <w:sz w:val="18"/>
                <w:szCs w:val="18"/>
                <w:color w:val="auto"/>
              </w:rPr>
            </w:pPr>
          </w:p>
        </w:tc>
        <w:tc>
          <w:tcPr>
            <w:tcW w:w="2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26.59</w:t>
            </w:r>
          </w:p>
        </w:tc>
        <w:tc>
          <w:tcPr>
            <w:tcW w:w="10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as of June 30, 2025</w:t>
            </w:r>
          </w:p>
        </w:tc>
        <w:tc>
          <w:tcPr>
            <w:tcW w:w="2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242,662</w:t>
            </w:r>
          </w:p>
        </w:tc>
        <w:tc>
          <w:tcPr>
            <w:tcW w:w="200" w:type="dxa"/>
            <w:vAlign w:val="bottom"/>
            <w:shd w:val="clear" w:color="auto" w:fill="CFF0FC"/>
          </w:tcPr>
          <w:p>
            <w:pPr>
              <w:spacing w:after="0"/>
              <w:rPr>
                <w:sz w:val="17"/>
                <w:szCs w:val="17"/>
                <w:color w:val="auto"/>
              </w:rPr>
            </w:pPr>
          </w:p>
        </w:tc>
        <w:tc>
          <w:tcPr>
            <w:tcW w:w="2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31.64</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-590550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-307975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fair value at grant date of the stock options granted during the financial year 2024 was $13.4 for the May 2024 grant date and $9.2 for the November 2024 grant date. The fair value at grant date of the stock options granted during the financial year 2023 was $19.6 for the May 2023 grant date, $21.8 for the July 2023 grant date and $8.6 for the November 2023 grant date. The fair value at grant date of the stock options granted during the financial year 2022 was $29.8 for the May 2022 grant date and $17.2 for the November 2022 grant date. The fair value at grant date of the stock options granted during the financial year 2021 was $124.8 for the May 2021 grant date and $73.4 for the November 2021 grant date. The fair value of the stock options at grant date has been determined using the Black-Scholes option-pricing model, which takes into account the exercise price, the expected term of the stock options, the share price at grant date, expected price volatility of the underlying share, the expected dividend yield, the risk-free interest rate for the term of the stock options and the correlations and volatilities of the peer group companies. The Company does not anticipate paying any cash dividends in the near future and therefore uses an expected dividend yield of zero in the option valuation model.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1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Each RSU or stock option entitles the holder to acquire, as determined by the Board of Directors, either twenty ordinary shares, twenty warrants or one ADS in the Company.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Share-based compensation expense was $3.5 million for the three months ended June 30, 2025 (2024: $4.2 million) and $7.0 million for the six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2025 (2024: $6.8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Finance income and expenses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7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8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exchange difference</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(7,763)</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(5,565)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on lease liabilities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(1,494)</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(3,009)</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expenses on Convertible Notes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(9,217)</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(8,421)</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(18,092)</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(16,529)</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on liabilities to credit institutions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(5,978)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(11,243)</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(12,155)</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changes on derivatives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on Convertible Notes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(8,592)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23,010</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(353)</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(623)</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(1,952)</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(5,723)</w:t>
            </w:r>
          </w:p>
        </w:tc>
      </w:tr>
      <w:tr>
        <w:trPr>
          <w:trHeight w:val="20"/>
        </w:trPr>
        <w:tc>
          <w:tcPr>
            <w:tcW w:w="58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finance income and expenses, net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(31,916)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10,389</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(22,505)</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(6,988)</w:t>
            </w:r>
          </w:p>
        </w:tc>
      </w:tr>
      <w:tr>
        <w:trPr>
          <w:trHeight w:val="20"/>
        </w:trPr>
        <w:tc>
          <w:tcPr>
            <w:tcW w:w="58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Interest expense on the Convertible Notes is the nominal coupon rate of 9.25%. Fair value changes on Convertible Notes contains the fair value changes less the coupon rate and changes in credit risk. See Note 13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and Note 21 </w:t>
      </w:r>
      <w:r>
        <w:rPr>
          <w:rFonts w:ascii="Times New Roman" w:cs="Times New Roman" w:eastAsia="Times New Roman" w:hAnsi="Times New Roman"/>
          <w:sz w:val="18"/>
          <w:szCs w:val="18"/>
          <w:i w:val="1"/>
          <w:iCs w:val="1"/>
          <w:color w:val="auto"/>
        </w:rPr>
        <w:t>Convertible Notes.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Other financial expenses for the six months ended June 30, 2025 and six months ended June 30, 2024 mainly consists of $1.0 million and $5.0 million, respectively, in transaction costs relating to amendments in the Group’s financing arrangements.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See Note 19 </w:t>
      </w:r>
      <w:r>
        <w:rPr>
          <w:rFonts w:ascii="Times New Roman" w:cs="Times New Roman" w:eastAsia="Times New Roman" w:hAnsi="Times New Roman"/>
          <w:sz w:val="18"/>
          <w:szCs w:val="18"/>
          <w:i w:val="1"/>
          <w:iCs w:val="1"/>
          <w:color w:val="auto"/>
        </w:rPr>
        <w:t>Liabilities to credit institutions</w:t>
      </w:r>
      <w:r>
        <w:rPr>
          <w:rFonts w:ascii="Times New Roman" w:cs="Times New Roman" w:eastAsia="Times New Roman" w:hAnsi="Times New Roman"/>
          <w:sz w:val="18"/>
          <w:szCs w:val="18"/>
          <w:color w:val="auto"/>
        </w:rPr>
        <w:t xml:space="preserve"> for further details on the Group’s credit facilities.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Total tax expense for the three and six months ended June 30, 2025 was $1.9 million and $5.3 million respectively. Total tax expense for each of the three and six months ended June 30, 2024 was $1.8 million. The effective tax rate for the three and six months ended June 30, 2025 was 3.5% and 8.3% respectively. The main drivers of the effective tax rate relate to non-recognition of deferred tax assets on tax losses and tax effect relating to foreign exchange effects recognized in other comprehensive income. The effective tax rate for three and six months ended June 30, 2024 was 6.1% and 2.4% respectively, with non-recognition of deferred tax assets on tax losses being the main driver of the effective tax rate. The Group operates in a global environment with significant operations in various jurisdictions outside Sweden. Accordingly, the consolidated income tax rate is a composite rate reflecting the Group’s earnings and the applicable tax rates in the various jurisdictions where the Group operates, and whether or not deferred tax assets are able to be recognized.</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is, as of January 1, 2025 in scope of the OECD Pillar Two Model Rules (“P2 Rules”). The legislation is effective for the Group’s financial year beginning January 1, 2025. The P2 Rules have been enacted (or substantively enacted) in most jurisdictions in which the Group operates, including Sweden. Although no material exposure arising from Pillar Two has been identified to date, material Pillar Two impacts to the Group’s tax expense remain possible.</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May 2023, the IASB amended IAS 12 Income Taxes to include a mandatory temporary exception from recognizing or disclosing deferred taxes relating to the P2 Rules. The Group has applied this mandatory exception which did not have a material impact to the consolidated financial statements.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intangible assets as at June 30, 2025 and December 31, 2024 is as follows:</w:t>
      </w:r>
    </w:p>
    <w:tbl>
      <w:tblPr>
        <w:tblLayout w:type="fixed"/>
        <w:tblInd w:w="0" w:type="dxa"/>
        <w:tblCellMar>
          <w:top w:w="0" w:type="dxa"/>
          <w:left w:w="0" w:type="dxa"/>
          <w:bottom w:w="0" w:type="dxa"/>
          <w:right w:w="0" w:type="dxa"/>
        </w:tblCellMar>
      </w:tblPr>
      <w:tr>
        <w:trPr>
          <w:trHeight w:val="151"/>
        </w:trPr>
        <w:tc>
          <w:tcPr>
            <w:tcW w:w="5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122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Ongoing</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107,241</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14,673</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8,017</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124,584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17,018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9,800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153,116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(10,083)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(4,853)</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(14,936)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Amortization charge</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(1,188)</w:t>
            </w:r>
          </w:p>
        </w:tc>
        <w:tc>
          <w:tcPr>
            <w:tcW w:w="12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(891)</w:t>
            </w:r>
          </w:p>
        </w:tc>
        <w:tc>
          <w:tcPr>
            <w:tcW w:w="124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(755)</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(12,989)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(6,499)</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(19,488)</w:t>
            </w:r>
          </w:p>
        </w:tc>
        <w:tc>
          <w:tcPr>
            <w:tcW w:w="0" w:type="dxa"/>
            <w:vAlign w:val="bottom"/>
          </w:tcPr>
          <w:p>
            <w:pPr>
              <w:spacing w:after="0"/>
              <w:rPr>
                <w:sz w:val="1"/>
                <w:szCs w:val="1"/>
                <w:color w:val="auto"/>
              </w:rPr>
            </w:pPr>
          </w:p>
        </w:tc>
      </w:tr>
      <w:tr>
        <w:trPr>
          <w:trHeight w:val="197"/>
        </w:trPr>
        <w:tc>
          <w:tcPr>
            <w:tcW w:w="5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amortization</w:t>
            </w: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107,241</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4,590</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3,164</w:t>
            </w: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116,208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June 30, 2025</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124,584</w:t>
            </w:r>
          </w:p>
        </w:tc>
        <w:tc>
          <w:tcPr>
            <w:tcW w:w="1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4,029</w:t>
            </w:r>
          </w:p>
        </w:tc>
        <w:tc>
          <w:tcPr>
            <w:tcW w:w="2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3,301</w:t>
            </w:r>
          </w:p>
        </w:tc>
        <w:tc>
          <w:tcPr>
            <w:tcW w:w="2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1,714</w:t>
            </w:r>
          </w:p>
        </w:tc>
        <w:tc>
          <w:tcPr>
            <w:tcW w:w="2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133,628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-1397000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-1397000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-1397000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-1397000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-1397000</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-1087755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-1087755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-1087755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-1087755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-1087755</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-496570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-479425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-496570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-479425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-496570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-479425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-496570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-479425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-479425</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-187960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-187960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-187960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for the three months ended June 30, 2025 was $1.1 million (2024: $1.1 million). Amortization expense for the six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2025 was $2.1 million (2024: $2.1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Property, Plant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property, plant, and equipment as at June 30, 2025 and December 31, 2024 is as follows:</w:t>
      </w:r>
    </w:p>
    <w:tbl>
      <w:tblPr>
        <w:tblLayout w:type="fixed"/>
        <w:tblInd w:w="0" w:type="dxa"/>
        <w:tblCellMar>
          <w:top w:w="0" w:type="dxa"/>
          <w:left w:w="0" w:type="dxa"/>
          <w:bottom w:w="0" w:type="dxa"/>
          <w:right w:w="0" w:type="dxa"/>
        </w:tblCellMar>
      </w:tblPr>
      <w:tr>
        <w:trPr>
          <w:trHeight w:val="151"/>
        </w:trPr>
        <w:tc>
          <w:tcPr>
            <w:tcW w:w="5800" w:type="dxa"/>
            <w:vAlign w:val="bottom"/>
          </w:tcPr>
          <w:p>
            <w:pPr>
              <w:spacing w:after="0"/>
              <w:rPr>
                <w:sz w:val="13"/>
                <w:szCs w:val="13"/>
                <w:color w:val="auto"/>
              </w:rPr>
            </w:pPr>
          </w:p>
        </w:tc>
        <w:tc>
          <w:tcPr>
            <w:tcW w:w="1420" w:type="dxa"/>
            <w:vAlign w:val="bottom"/>
            <w:gridSpan w:val="2"/>
          </w:tcPr>
          <w:p>
            <w:pPr>
              <w:jc w:val="right"/>
              <w:ind w:right="540"/>
              <w:spacing w:after="0" w:line="151" w:lineRule="exact"/>
              <w:rPr>
                <w:sz w:val="20"/>
                <w:szCs w:val="20"/>
                <w:color w:val="auto"/>
              </w:rPr>
            </w:pPr>
            <w:r>
              <w:rPr>
                <w:rFonts w:ascii="Times New Roman" w:cs="Times New Roman" w:eastAsia="Times New Roman" w:hAnsi="Times New Roman"/>
                <w:sz w:val="14"/>
                <w:szCs w:val="14"/>
                <w:b w:val="1"/>
                <w:bCs w:val="1"/>
                <w:color w:val="auto"/>
              </w:rPr>
              <w:t>Land and</w:t>
            </w:r>
          </w:p>
        </w:tc>
        <w:tc>
          <w:tcPr>
            <w:tcW w:w="1360" w:type="dxa"/>
            <w:vAlign w:val="bottom"/>
            <w:gridSpan w:val="2"/>
          </w:tcPr>
          <w:p>
            <w:pPr>
              <w:jc w:val="right"/>
              <w:ind w:right="500"/>
              <w:spacing w:after="0" w:line="151"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1360" w:type="dxa"/>
            <w:vAlign w:val="bottom"/>
            <w:gridSpan w:val="2"/>
          </w:tcPr>
          <w:p>
            <w:pPr>
              <w:jc w:val="right"/>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progress</w:t>
            </w: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104,811</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286,153</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54,315</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Disposals</w:t>
            </w:r>
            <w:r>
              <w:rPr>
                <w:rFonts w:ascii="Times New Roman" w:cs="Times New Roman" w:eastAsia="Times New Roman" w:hAnsi="Times New Roman"/>
                <w:sz w:val="24"/>
                <w:szCs w:val="24"/>
                <w:color w:val="auto"/>
                <w:vertAlign w:val="superscript"/>
              </w:rPr>
              <w:t>(1)</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(6,826)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(25,581)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(426)</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(32,833)</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13,678</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(15,608)</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109,002</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292,201</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47,244</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448,447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 and impairment</w:t>
            </w:r>
          </w:p>
        </w:tc>
        <w:tc>
          <w:tcPr>
            <w:tcW w:w="11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(23,376)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(109,525)</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(18,179)</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(151,080)</w:t>
            </w: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Depreciation charge</w:t>
            </w:r>
          </w:p>
        </w:tc>
        <w:tc>
          <w:tcPr>
            <w:tcW w:w="14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(3,152)</w:t>
            </w:r>
          </w:p>
        </w:tc>
        <w:tc>
          <w:tcPr>
            <w:tcW w:w="1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(12,662)</w:t>
            </w:r>
          </w:p>
        </w:tc>
        <w:tc>
          <w:tcPr>
            <w:tcW w:w="13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(15,814)</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Disposals</w:t>
            </w:r>
            <w:r>
              <w:rPr>
                <w:rFonts w:ascii="Times New Roman" w:cs="Times New Roman" w:eastAsia="Times New Roman" w:hAnsi="Times New Roman"/>
                <w:sz w:val="24"/>
                <w:szCs w:val="24"/>
                <w:color w:val="auto"/>
                <w:vertAlign w:val="superscript"/>
              </w:rPr>
              <w:t>(1)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(2,270)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(9,245)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(21,972)</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(103,885)</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(18,025)</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(143,882)</w:t>
            </w:r>
          </w:p>
        </w:tc>
        <w:tc>
          <w:tcPr>
            <w:tcW w:w="0" w:type="dxa"/>
            <w:vAlign w:val="bottom"/>
          </w:tcPr>
          <w:p>
            <w:pPr>
              <w:spacing w:after="0"/>
              <w:rPr>
                <w:sz w:val="1"/>
                <w:szCs w:val="1"/>
                <w:color w:val="auto"/>
              </w:rPr>
            </w:pPr>
          </w:p>
        </w:tc>
      </w:tr>
      <w:tr>
        <w:trPr>
          <w:trHeight w:val="196"/>
        </w:trPr>
        <w:tc>
          <w:tcPr>
            <w:tcW w:w="58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depreciation and impairment</w:t>
            </w:r>
          </w:p>
        </w:tc>
        <w:tc>
          <w:tcPr>
            <w:tcW w:w="11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81,435</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176,628</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36,136</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294,199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June 30, 2025</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87,030</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188,316</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29,219</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304,565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-1388110</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-1370965</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-1388110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-1370965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-1388110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-1370965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-1079500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-1062355</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-1079500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-1062355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-1079500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-1062355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-496570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-479425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-496570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-479425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-496570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-479425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Relates primarily to disposed assets due to the closure of the Group’s production facility in Singapore.</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three months ended June 30, 2025 was $8.4 million (2024: $8.7 million). Depreciation expense for the six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2025 was $15.8 million (2024: $17.3 million).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Lease terms for production facilities are generally between 10 and 20 years, and lease terms for other properties (i.e., offices) are generally between one and 15 years. Lease terms for production equipment are generally between one and five years. The Group also has leases with a shorter lease term than 12 months and leases pertaining to assets of low value, such as office equipment. For these, the Group has chosen to apply the exemption rules in IFRS 16 Leases, meaning the value of these contracts is not part of the right-of-use asset or lease liability.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the roll-forward of lease right-of-use assets: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4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56,089</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28,178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84,267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1,051</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Decreases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(1,362)</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(1,467)</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(2,829)</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2,974</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1,980</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4,954</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58,752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28,864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87,616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(24,917)</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(13,795)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(38,712)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Depreciation</w:t>
            </w:r>
          </w:p>
        </w:tc>
        <w:tc>
          <w:tcPr>
            <w:tcW w:w="16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(3,582)</w:t>
            </w:r>
          </w:p>
        </w:tc>
        <w:tc>
          <w:tcPr>
            <w:tcW w:w="15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14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(5,582)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Decreases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(1,263)</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(1,259)</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(28,500)</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(15,575)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(44,075)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depreciation</w:t>
            </w:r>
          </w:p>
        </w:tc>
        <w:tc>
          <w:tcPr>
            <w:tcW w:w="1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31,172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14,383</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45,555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June 30, 2025</w:t>
            </w:r>
          </w:p>
        </w:tc>
        <w:tc>
          <w:tcPr>
            <w:tcW w:w="16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30,252</w:t>
            </w:r>
          </w:p>
        </w:tc>
        <w:tc>
          <w:tcPr>
            <w:tcW w:w="15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13,289</w:t>
            </w:r>
          </w:p>
        </w:tc>
        <w:tc>
          <w:tcPr>
            <w:tcW w:w="14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43,541</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-1533525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-1533525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-1224915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-1224915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-641985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-641985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-333375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-333375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three months ended June 30, 2025 was $2.9 million (2024: $2.6 million). Depreciation expense for the six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2025 was $5.6 million (2024: $5.9 million)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the maturity analysis of lease liabilities:</w:t>
      </w:r>
    </w:p>
    <w:p>
      <w:pPr>
        <w:sectPr>
          <w:pgSz w:w="11900" w:h="16838" w:orient="portrait"/>
          <w:cols w:equalWidth="0" w:num="1">
            <w:col w:w="11240"/>
          </w:cols>
          <w:pgMar w:left="320" w:top="765" w:right="339" w:bottom="1440" w:gutter="0" w:footer="0" w:header="0"/>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Maturity Analysis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Between 3 months and 1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Between 2 and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of discounting remaining lease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liabilities 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liabilities included in the condensed consolidated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 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7620</wp:posOffset>
            </wp:positionV>
            <wp:extent cx="122555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0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3,466</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10,398</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11,619</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15,286</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13,799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5715</wp:posOffset>
            </wp:positionV>
            <wp:extent cx="12255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8"/>
          <w:szCs w:val="18"/>
          <w:b w:val="1"/>
          <w:bCs w:val="1"/>
          <w:color w:val="auto"/>
        </w:rPr>
        <w:t>54,568</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5715</wp:posOffset>
            </wp:positionV>
            <wp:extent cx="122555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8"/>
          <w:szCs w:val="18"/>
          <w:b w:val="1"/>
          <w:bCs w:val="1"/>
          <w:color w:val="auto"/>
        </w:rPr>
        <w:t>42,981</w:t>
      </w:r>
    </w:p>
    <w:p>
      <w:pPr>
        <w:spacing w:after="0" w:line="200" w:lineRule="exact"/>
        <w:rPr>
          <w:sz w:val="20"/>
          <w:szCs w:val="20"/>
          <w:color w:val="auto"/>
        </w:rPr>
      </w:pPr>
    </w:p>
    <w:p>
      <w:pPr>
        <w:spacing w:after="0" w:line="2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29,508</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13,473</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42,981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-130810</wp:posOffset>
            </wp:positionV>
            <wp:extent cx="122555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0" w:space="720"/>
            <w:col w:w="1500"/>
          </w:cols>
          <w:pgMar w:left="320" w:top="765" w:right="339" w:bottom="1440" w:gutter="0" w:footer="0" w:header="0"/>
          <w:type w:val="continuous"/>
        </w:sectPr>
      </w:pP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has the following lease agreements, which had not commenced as of June 30, 2025, but to which the Group is committed:</w:t>
      </w:r>
    </w:p>
    <w:p>
      <w:pPr>
        <w:spacing w:after="0" w:line="117" w:lineRule="exact"/>
        <w:rPr>
          <w:sz w:val="20"/>
          <w:szCs w:val="20"/>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lease agreement regarding production equipment in Ma’anshan, China, under which the Group’s obligations collectively amount to $3.5 million for a term of six years.</w:t>
      </w:r>
    </w:p>
    <w:p>
      <w:pPr>
        <w:sectPr>
          <w:pgSz w:w="11900" w:h="16838" w:orient="portrait"/>
          <w:cols w:equalWidth="0" w:num="1">
            <w:col w:w="11240"/>
          </w:cols>
          <w:pgMar w:left="320" w:top="765" w:right="339" w:bottom="1440" w:gutter="0" w:footer="0" w:header="0"/>
          <w:type w:val="continuous"/>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Other non-current receivables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note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26,399</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24,867</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14,059</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14,634</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45,140</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44,331</w:t>
            </w: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promissory note is part of the purchase price from selling the manufacturing facilities in Ogden, Utah and Dallas-Fort Worth, Texas during 2023. The note has a maturity date of May 31, 2028. The nominal interest rate is 8% for the first year and then increases by 200 basis points each year. The interest is capitalized semi-annually, and the effective interest rate is 12.56%.</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prepaid expenses consist primarily of a credit toward future use of shared assets at the manufacturing facility in Ogden.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This note explains the judgments and estimates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w:t>
      </w:r>
    </w:p>
    <w:p>
      <w:pPr>
        <w:spacing w:after="0" w:line="172"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The fair value of financial instruments traded in active markets (such as publicly traded derivatives and equity securities) is based on quoted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prices at the end of the reporting period. The quoted market price used for financial assets held by the Group is the current bid price. These instruments are included in Level 1.</w:t>
      </w:r>
    </w:p>
    <w:p>
      <w:pPr>
        <w:spacing w:after="0" w:line="171"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The fair value of financial instruments that are not traded in an active market (for example, over-the-counter derivatives) is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valuation techniques, which maximize the use of observable market data and rely as little as possible on entity-specific estimates. If all significant inputs required to fair value an instrument are observable, the instrument is included in Level 2.</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valuation techniques used in Level 2 to value financial instruments include:</w:t>
      </w:r>
    </w:p>
    <w:p>
      <w:pPr>
        <w:spacing w:after="0" w:line="11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foreign currency forwards, the present value of future cash flows based on the forward exchange rates at the balance sheet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interest rate caps – option pricing models (e.g. Black-Scholes model)</w:t>
      </w:r>
    </w:p>
    <w:p>
      <w:pPr>
        <w:spacing w:after="0" w:line="221" w:lineRule="exact"/>
        <w:rPr>
          <w:sz w:val="20"/>
          <w:szCs w:val="20"/>
          <w:color w:val="auto"/>
        </w:rPr>
      </w:pPr>
    </w:p>
    <w:p>
      <w:pPr>
        <w:ind w:firstLine="4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If one or more of the significant inputs is not based on observable market data, the instrument is included in Level 3. This is the case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unlisted equity securities.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June 30, 2025</w:t>
            </w:r>
          </w:p>
        </w:tc>
        <w:tc>
          <w:tcPr>
            <w:tcW w:w="120" w:type="dxa"/>
            <w:vAlign w:val="bottom"/>
          </w:tcPr>
          <w:p>
            <w:pPr>
              <w:spacing w:after="0"/>
              <w:rPr>
                <w:sz w:val="15"/>
                <w:szCs w:val="15"/>
                <w:color w:val="auto"/>
              </w:rPr>
            </w:pP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current receivables)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6"/>
        </w:trPr>
        <w:tc>
          <w:tcPr>
            <w:tcW w:w="6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328,981</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current liabilities)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328,981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45"/>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December 31, 2024</w:t>
            </w:r>
          </w:p>
        </w:tc>
        <w:tc>
          <w:tcPr>
            <w:tcW w:w="12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4"/>
                <w:szCs w:val="24"/>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24"/>
                <w:szCs w:val="24"/>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7"/>
        </w:trPr>
        <w:tc>
          <w:tcPr>
            <w:tcW w:w="6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current liabilities)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324,395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-1876425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-1859280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-1876425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-1859280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-1293495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-1276350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-1293495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-1276350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-607695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-590550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-607695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-590550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the levels during the six months ended June 30, 2025 and the year ended December 31, 2024.</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The carrying amount of the promissory note, is a reasonable approximation of fair value since the transaction was closed on March 1, 2023, and there have been no significant changes to credit risk or market rates during the period March 1, 2023 until June 30, 2025. See Note 12 </w:t>
      </w:r>
      <w:r>
        <w:rPr>
          <w:rFonts w:ascii="Times New Roman" w:cs="Times New Roman" w:eastAsia="Times New Roman" w:hAnsi="Times New Roman"/>
          <w:sz w:val="18"/>
          <w:szCs w:val="18"/>
          <w:i w:val="1"/>
          <w:iCs w:val="1"/>
          <w:color w:val="auto"/>
        </w:rPr>
        <w:t>Other non-current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 of non-current liabilities to credit institutions in the Group is a reasonable approximation of fair value since the interest rate is variable and there have been no significant changes to credit risk since issued on April 18, 2023. See Note 19 </w:t>
      </w:r>
      <w:r>
        <w:rPr>
          <w:rFonts w:ascii="Times New Roman" w:cs="Times New Roman" w:eastAsia="Times New Roman" w:hAnsi="Times New Roman"/>
          <w:sz w:val="18"/>
          <w:szCs w:val="18"/>
          <w:i w:val="1"/>
          <w:iCs w:val="1"/>
          <w:color w:val="auto"/>
        </w:rPr>
        <w:t>Liabilities to credit institutions.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 of current liabilities to credit institutions and other financial instruments in the Group is a reasonable approximation of fair value since they are short-term, and the discount effect is not significant.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5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6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5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324,395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tc>
        <w:tc>
          <w:tcPr>
            <w:tcW w:w="1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5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328,981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7700" w:type="dxa"/>
            <w:vAlign w:val="bottom"/>
          </w:tcPr>
          <w:p>
            <w:pPr>
              <w:spacing w:after="0"/>
              <w:rPr>
                <w:sz w:val="24"/>
                <w:szCs w:val="24"/>
                <w:color w:val="auto"/>
              </w:rPr>
            </w:pPr>
          </w:p>
        </w:tc>
        <w:tc>
          <w:tcPr>
            <w:tcW w:w="18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6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328,981</w:t>
            </w:r>
          </w:p>
        </w:tc>
        <w:tc>
          <w:tcPr>
            <w:tcW w:w="220" w:type="dxa"/>
            <w:vAlign w:val="bottom"/>
            <w:shd w:val="clear" w:color="auto" w:fill="CFF0FC"/>
          </w:tcPr>
          <w:p>
            <w:pPr>
              <w:spacing w:after="0"/>
              <w:rPr>
                <w:sz w:val="18"/>
                <w:szCs w:val="18"/>
                <w:color w:val="auto"/>
              </w:rPr>
            </w:pPr>
          </w:p>
        </w:tc>
        <w:tc>
          <w:tcPr>
            <w:tcW w:w="16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Amount the Company is contractually obligated to pay to holders of the Convertible Notes at maturity</w:t>
            </w:r>
          </w:p>
        </w:tc>
        <w:tc>
          <w:tcPr>
            <w:tcW w:w="1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546,842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7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Difference between carrying amount and the amount the Company is contractually obligated to</w:t>
            </w:r>
          </w:p>
        </w:tc>
        <w:tc>
          <w:tcPr>
            <w:tcW w:w="18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(217,861)</w:t>
            </w:r>
          </w:p>
        </w:tc>
        <w:tc>
          <w:tcPr>
            <w:tcW w:w="17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(222,447)</w:t>
            </w:r>
          </w:p>
        </w:tc>
        <w:tc>
          <w:tcPr>
            <w:tcW w:w="0" w:type="dxa"/>
            <w:vAlign w:val="bottom"/>
          </w:tcPr>
          <w:p>
            <w:pPr>
              <w:spacing w:after="0"/>
              <w:rPr>
                <w:sz w:val="1"/>
                <w:szCs w:val="1"/>
                <w:color w:val="auto"/>
              </w:rPr>
            </w:pPr>
          </w:p>
        </w:tc>
      </w:tr>
      <w:tr>
        <w:trPr>
          <w:trHeight w:val="21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pay to holders of Convertible Notes at maturity</w:t>
            </w:r>
          </w:p>
        </w:tc>
        <w:tc>
          <w:tcPr>
            <w:tcW w:w="1820" w:type="dxa"/>
            <w:vAlign w:val="bottom"/>
            <w:gridSpan w:val="3"/>
            <w:vMerge w:val="continue"/>
            <w:shd w:val="clear" w:color="auto" w:fill="CFF0FC"/>
          </w:tcPr>
          <w:p>
            <w:pPr>
              <w:spacing w:after="0"/>
              <w:rPr>
                <w:sz w:val="18"/>
                <w:szCs w:val="18"/>
                <w:color w:val="auto"/>
              </w:rPr>
            </w:pPr>
          </w:p>
        </w:tc>
        <w:tc>
          <w:tcPr>
            <w:tcW w:w="17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determines the amount of fair value changes which are attributable to credit risk by first determining the changes due to market conditions which give rise to market risk, and then deducting those changes from the total change in fair value of the Convertible Notes. Market conditions which give rise to market risk include changes in the benchmark interest rate. Fair value movements on the conversion option embedded derivative are included in the assessment of market risk fair value changes.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fair value of the instrument in its entirety has been determined by using a combination of a Monte Carlo simulation and a discounted cash flow analysis.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lists the key inputs and assumptions used in the valuation model as of June 30,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76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Conversion price per ADS ($)</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27.2-28.2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27.2-37.8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ADS price at valuation date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price volatility of the Company ADS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interest rate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18"/>
                <w:szCs w:val="18"/>
                <w:color w:val="auto"/>
              </w:rPr>
            </w:pPr>
          </w:p>
        </w:tc>
      </w:tr>
    </w:tbl>
    <w:p>
      <w:pPr>
        <w:jc w:val="both"/>
        <w:ind w:right="140" w:firstLine="8"/>
        <w:spacing w:after="0" w:line="269" w:lineRule="auto"/>
        <w:tabs>
          <w:tab w:leader="none" w:pos="22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U.S. Notes (as defined below) are convertible at the option of each holder at a conversion price of $27.20 per ADS, subject to customary anti-dilution adjustments. The HH Notes (as defined below) are convertible at the option of each holder at a conversion price of $28.20 per ADS, subject to customary anti-dilution adjustments. The Swedish Notes (as defined below) are convertible at the option of each holder at a conversion price of $1.36 per ordinary share, subject to customary anti-dilution adjustments. For further details on the Convertible Notes , see Note 21 </w:t>
      </w:r>
      <w:r>
        <w:rPr>
          <w:rFonts w:ascii="Times New Roman" w:cs="Times New Roman" w:eastAsia="Times New Roman" w:hAnsi="Times New Roman"/>
          <w:sz w:val="16"/>
          <w:szCs w:val="16"/>
          <w:i w:val="1"/>
          <w:iCs w:val="1"/>
          <w:color w:val="auto"/>
        </w:rPr>
        <w:t>Convertible Notes.</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market interest rate has been assessed based on the observed range of yields on corporate bonds with comparable terms and comparable credit ratings to that of the Group.</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impact of the key inputs and assumptions on the fair value of the Convertible Notes: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ADS price decrease 30%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313,605</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303,849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ADS price increase 30%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347,245</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346,372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 decrease 10 percentage points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325,102</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319,311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Volatility increase 10 percentage points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331,801</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329,108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decrease 1 percentage point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328,413</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323,810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increase 1 percentage point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329,552</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324,954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interest rate decrease 1 percentage point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336,928</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333,154</w:t>
            </w:r>
          </w:p>
        </w:tc>
        <w:tc>
          <w:tcPr>
            <w:tcW w:w="100" w:type="dxa"/>
            <w:vAlign w:val="bottom"/>
            <w:shd w:val="clear" w:color="auto" w:fill="CFF0FC"/>
          </w:tcPr>
          <w:p>
            <w:pPr>
              <w:spacing w:after="0"/>
              <w:rPr>
                <w:sz w:val="18"/>
                <w:szCs w:val="18"/>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Market interest rate increase 1 percentage point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321,306</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315,973</w:t>
            </w:r>
          </w:p>
        </w:tc>
        <w:tc>
          <w:tcPr>
            <w:tcW w:w="100" w:type="dxa"/>
            <w:vAlign w:val="bottom"/>
          </w:tcPr>
          <w:p>
            <w:pPr>
              <w:spacing w:after="0"/>
              <w:rPr>
                <w:sz w:val="20"/>
                <w:szCs w:val="20"/>
                <w:color w:val="auto"/>
              </w:rPr>
            </w:pPr>
          </w:p>
        </w:tc>
      </w:tr>
      <w:tr>
        <w:trPr>
          <w:trHeight w:val="414"/>
        </w:trPr>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xml:space="preserve">For further information on the Convertible Notes, see Note 21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Inventories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7700" w:type="dxa"/>
            <w:vAlign w:val="bottom"/>
          </w:tcPr>
          <w:p>
            <w:pPr>
              <w:spacing w:after="0"/>
              <w:rPr>
                <w:sz w:val="24"/>
                <w:szCs w:val="24"/>
                <w:color w:val="auto"/>
              </w:rPr>
            </w:pPr>
          </w:p>
        </w:tc>
        <w:tc>
          <w:tcPr>
            <w:tcW w:w="16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gridSpan w:val="2"/>
          </w:tcPr>
          <w:p>
            <w:pPr>
              <w:spacing w:after="0"/>
              <w:rPr>
                <w:sz w:val="24"/>
                <w:szCs w:val="24"/>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consumables</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12,551</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12,565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53,300</w:t>
            </w: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65,851</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65,602</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Inventories recognized as an expense for the three months ended June 30, 2025 amounted to $133.2 million (2024: $135.2 million). Inventories recognized as an expense for the six months ended June 30, 2025 amounted to $260.8 million (2024: $273.0 million). The expenses were included in cost of goods sold.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Write-downs of inventories to net realizable value for the three months ended June 30, 2025 amounted to $0.8 million (2024: $0.2 million). Write-downs of inventories to net realizable value for the six months ended June 30, 2025 amounted to $4.4 million (2024: $0.5 million). The write-downs were recognized as an expense for each period and included in cost of goods sold.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Trade receivables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102,955</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104,144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w:t>
            </w: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Trade receivables—net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102,597</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103,366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Carrying amounts, by currency, for the Group’s trade receivables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32,129</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31,660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GBP</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24,654</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19,670</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23,590</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29,931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CNY</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11,737</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13,616</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SEK</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2,876</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2,701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102,597</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103,366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maximum exposure to credit risk on the date of the statement of financial position is the carrying amounts according to the above.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current receivables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added tax</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7,961</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6,169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 to vendors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1,673</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1,158</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derivatives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17,968</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15,738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Cash and cash equivalents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at bank and on hand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67,931</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58,923</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67,931</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98,923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2024, short-term deposits were time deposits and structured deposits, with maturities of one to three months.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Equity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 capital and Treasury shares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May 2021, the shareholders resolved to issue 69,496,515 warrants to secure the future delivery of ordinary shares under the 2021 Plan. During May 2025, the Company exercised 8,452,360 warrants (May 2024: 3,667,255 warrants, May 2023: 2,882,164 warrants, May 2022: 650,000 warrants). As of June 30, 2025 and December 31, 2024, there were 53,844,736 and 62,297,096 warrants outstanding, respectively.</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Upon exercise of the warrants in May 2025, 8,452,360 ordinary shares were allotted and issued, and 7,651,100 ordinary shares were converted to American Depositary Shares to be delivered to participants under the 2021 Incentive Award Plan related to the vesting of the May 2022, May 2023 and May 2024 grants. The remaining balance is held as treasury shares to enable the Company’s timely delivery of ordinary shares upon the exercise of outstanding stock options and to meet future vesting of the RSUs.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six months ended June 30, 2025, 4,480 treasury shares were sold to cover fees in connection with the ADS Ratio Change.</w:t>
      </w:r>
    </w:p>
    <w:p>
      <w:pPr>
        <w:spacing w:after="0" w:line="225"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606,215,420 and 598,559,840 ordinary shares, respectively were outstanding, and the par value per share was $0.00018 (SEK 0.0015). The Company had 1,213,360 and 416,580 treasury shares as of June 30, 2025 and December 31, 2024, respectively.</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contributed capital</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other contributed capital of $1,628.0 million consists of share premium, shareholders contribution and proceeds from warrant issues.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reserves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June 30, 2025 other reserves of $(222.1) million consists of fair value reserve of $(72.7) million related to fair value gains and losses on the Convertible Notes attributable to changes in the Group’s credit risk, and foreign currency translation reserve of $(149.4) million primarily related to the exchange differences occurring from the translation of foreign operations in another currency than the reporting currency of the Group (USD).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2024 other reserves of $(274.2) million consists of fair value reserve of $(72.7) million related to fair value gains and losses on the Convertible Notes attributable to changes in the Group’s credit risk, and foreign currency translation reserve of $(201.5) million primarily related to the exchange differences occurring from the translation of foreign operations in another currency than the reporting currency of the Group (USD).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Accumulated deficit</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accumulated deficit of $(1,310.6) million and $(1,249.3) million, respectively, consists of accumulated losses and share-based compensation.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July 27, 2023, one of the Group’s subsidiaries in China carried out a share issue. Prior to the share issue the Group owned 100 percent of the share capital in the subsidiary. Xiangpiaopiao Food Co., Ltd. subscribed for a part of the new issued shares and owns 40 percent of the share capital after the transaction, whereas the Group recognized a non-controlling interest. As of June 30, 2025 and December 31, 2024, non-controlling interests amounted to $1.3 million and $1.4 million,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Liabilities to credit institutions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 to credit institutions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115,746</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116,216</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to credit institutions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120,645</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121,973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Liabilities to credit institutions balance amounted to $120.6 million and $122.0 million, respectively, and was related to outstanding amounts under the TLB Credit Agreement (as defined below) and the EIF Facility (as defined below).</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European Investment Fund guaranteed three-year term loan facility with Svensk Exportkredit (the “EIF Facility”) was entered into in October 2019. In October 2022, the EIF Facility was amended to extend the term for another three years, with a maturity date in October 2025. The loan facility and interest margin remain unchanged. As of June 30, 2025 and December 31, 2024, the Group had €0.6 million (equivalent of $0.7 million) and €1.3 million (equivalent of $1.3 million), respectively, outstanding on the EIF Facility, including accrued interest.</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April 2023, the Company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borrowed by Oatly AB. The term of the TLB Credit Agreement is five years from the funding date of the term loan facility, and the term loan facility is subject to 1% amortization per annum paid in quarterly installments. Borrowings carry an interest rate of Term SOFR (with floor of 2.50%) plus 7.5% or Base Rate (with floor of 3.50%) plus 6.5%. The TLB Credit Agreement, contains ongoing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shares in the same security and guarantees from the Group as the EIF Facility and the SRCF Agreement by way of the Intercreditor Agreement.</w:t>
      </w:r>
    </w:p>
    <w:p>
      <w:pPr>
        <w:sectPr>
          <w:pgSz w:w="11900" w:h="16838" w:orient="portrait"/>
          <w:cols w:equalWidth="0" w:num="1">
            <w:col w:w="11240"/>
          </w:cols>
          <w:pgMar w:left="320" w:top="765" w:right="3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Group had $119.9 million and $120.7 million, respectively, outstanding on the TLB Credit Agreement, including accrued interest and net after original issue discount and transaction costs.</w:t>
      </w:r>
    </w:p>
    <w:p>
      <w:pPr>
        <w:spacing w:after="0" w:line="162"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8"/>
          <w:szCs w:val="18"/>
          <w:color w:val="auto"/>
        </w:rPr>
        <w:t>In April 2023, the SRCF Agreement was amended and restated whereby, among other things, (i) the term of the SRCF Agreement was reset to three years and six months, with a one year uncommitted extension option, (ii) 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 (iv) the tangible solvency ratio, minimum EBITDA, minimum liquidity and total net leverage ratio financial covenants were reset, (v) the existing negative covenants were amended to further align with those included in the TLB Credit Agreement, including in relation to incurrence of indebtedness, and (vi) the debt under the SRCF Agreement ranks pari passu with, and shares in the same security and guarantees from the Group as, the EIF Facility and the TLB Credit Agreement by way of the Intercreditor Agreement. As of June 30, 2025 and December 31, 2024, the Group had no utilized loan amounts under the amended SRCF Agreement.</w:t>
      </w:r>
    </w:p>
    <w:p>
      <w:pPr>
        <w:spacing w:after="0" w:line="188"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8"/>
          <w:szCs w:val="18"/>
          <w:color w:val="auto"/>
        </w:rPr>
        <w:t xml:space="preserve">In May 2023, (i) the SRCF Agreement was amended pursuant to an amendment letter to, among other things, ensure that the Convertible Notes constitute “PIPE Financing” under and as defined in the SRCF Agreement and (ii) the TLB Credit Agreement was amended pursuant to an amendment agreement to, among other things, ensure that the Convertible Notes constitute “Convertible Bonds” under and as defined in the TLB Credit Agreement. See Note 21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xml:space="preserve"> for more information on the Company’s Convertible Notes.</w:t>
      </w:r>
    </w:p>
    <w:p>
      <w:pPr>
        <w:spacing w:after="0" w:line="18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February 14, 2024, the Sustainable Revolving Credit Facility Agreement and the Term Loan B Credit Agreement were amended and restated to, among other things, (i) reset the financial covenant levels applying to the minimum EBITDA (including separate testing of the Group’s Europe &amp; International EBITDA, the definition of which has subsequently been corrected by way of subsequent amendment), minimum liquidity and total net leverage ratio financial covenants and, in relation to the Sustainable Revolving Credit Facility Agreement, the tangible solvency ratio financial covenant,</w:t>
      </w:r>
    </w:p>
    <w:p>
      <w:pPr>
        <w:spacing w:after="0" w:line="3" w:lineRule="exact"/>
        <w:rPr>
          <w:sz w:val="20"/>
          <w:szCs w:val="20"/>
          <w:color w:val="auto"/>
        </w:rPr>
      </w:pPr>
    </w:p>
    <w:p>
      <w:pPr>
        <w:jc w:val="both"/>
        <w:ind w:firstLine="8"/>
        <w:spacing w:after="0" w:line="252"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certain financial definitions to permit additional adjustments for the purpose of the calculation of the financial covenants and (iii) provide certain flexibility for disposals of assets relating to the Group’s production facilities in Dallas Fort Worth, Texas, United States of America and Peterborough, United Kingdom. In addition, the existing draw-stop level for the Sustainable Revolving Credit Facility Agreement, which requires that a certain amount of such facility remains undrawn for as long as the last twelve months’ (“LTM”) consolidated EBITDA of the Group is negative, was increased from $50 million to $100 million, and the original 24 months’ non-call/make-whole period applying under the Term Loan B Credit Agreement was reset to apply for the 18 months following the amendment effective date (for the avoidance of doubt, the subsequent 12 months’ prepayment fee period still applies after the end of such 18-month period).</w:t>
      </w:r>
    </w:p>
    <w:p>
      <w:pPr>
        <w:spacing w:after="0" w:line="18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Under the amended Sustainable Revolving Credit Facility Agreement and Term Loan B Credit Agreement, the total net leverage ratio financial covenant, tested in respect of the LTM period ending on each quarter date, will start to apply in respect of the LTM period ending on 31 December 2026 and the applicable financial covenant level will be 4.50:1, stepping down to 3.50:1 for each LTM period ending in 2027 and to 3.00:1 for each LTM period in 2028. The reset quarterly tangible solvency ratio financial covenant level applying under the amended Sustainable Revolving Credit Facility Agreement is 30%.</w:t>
      </w:r>
    </w:p>
    <w:p>
      <w:pPr>
        <w:spacing w:after="0" w:line="18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February 14, 2024, the EIF Facility was amended and restated to, where and to the extent applicable, implement equivalent amendments as those made to the Sustainable Revolving Credit Facility Agreement on February 14, 2024.</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11, 2025, the SRCF Agreement and TLB Credit Agreement were amended and restated to, among other things, (i) reset certain financial covenant levels applying to the minimum liquidity financial covenant, (ii) revise certain financial definitions to permit additional adjustments for the purpose of the calculation of certain financial covenants, including in relation to certain costs relating to the discontinuance of certain of the Group’s manufacturing facilities and (iii) provide certain flexibility for disposals of assets relating to the relevant manufacturing facilities.</w:t>
      </w:r>
    </w:p>
    <w:p>
      <w:pPr>
        <w:spacing w:after="0" w:line="11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amended SRCF Agreement and TLB Credit Agreement impose limitations on drawdowns under the SRCF Agreement (other than under ancillary facilities, such as overdraft facilities and bank guarantees, which are exempted from these limitations) based on the last four quarters’ consolidated EBITDA of the Group, where, if last four quarters’ consolidated EBITDA of the Group is:</w:t>
      </w:r>
    </w:p>
    <w:p>
      <w:pPr>
        <w:spacing w:after="0" w:line="95" w:lineRule="exact"/>
        <w:rPr>
          <w:sz w:val="20"/>
          <w:szCs w:val="20"/>
          <w:color w:val="auto"/>
        </w:rPr>
      </w:pPr>
    </w:p>
    <w:p>
      <w:pPr>
        <w:ind w:left="820" w:hanging="363"/>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$0, $0 may be drawn; and</w:t>
      </w:r>
    </w:p>
    <w:p>
      <w:pPr>
        <w:spacing w:after="0" w:line="157" w:lineRule="exact"/>
        <w:rPr>
          <w:rFonts w:ascii="Times New Roman" w:cs="Times New Roman" w:eastAsia="Times New Roman" w:hAnsi="Times New Roman"/>
          <w:sz w:val="18"/>
          <w:szCs w:val="18"/>
          <w:color w:val="auto"/>
        </w:rPr>
      </w:pPr>
    </w:p>
    <w:p>
      <w:pPr>
        <w:ind w:left="820" w:hanging="363"/>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or greater than $75 million, the full amount of the existing facility may be drawn,</w:t>
      </w:r>
    </w:p>
    <w:p>
      <w:pPr>
        <w:spacing w:after="0" w:line="158"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with interim steps in between, and increases requiring improved performance for two consecutive four quarter periods and reductions requiring decreased performance for one four quarter period.</w:t>
      </w:r>
    </w:p>
    <w:p>
      <w:pPr>
        <w:sectPr>
          <w:pgSz w:w="11900" w:h="16838" w:orient="portrait"/>
          <w:cols w:equalWidth="0" w:num="1">
            <w:col w:w="11240"/>
          </w:cols>
          <w:pgMar w:left="320" w:top="765" w:right="3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ind w:right="2440" w:firstLine="449"/>
        <w:spacing w:after="0" w:line="282" w:lineRule="auto"/>
        <w:rPr>
          <w:sz w:val="20"/>
          <w:szCs w:val="20"/>
          <w:color w:val="auto"/>
        </w:rPr>
      </w:pPr>
      <w:r>
        <w:rPr>
          <w:rFonts w:ascii="Times New Roman" w:cs="Times New Roman" w:eastAsia="Times New Roman" w:hAnsi="Times New Roman"/>
          <w:sz w:val="18"/>
          <w:szCs w:val="18"/>
          <w:color w:val="auto"/>
        </w:rPr>
        <w:t>On February 11, 2025, the EIF Facility was amended and restated to, where and to the extent applicable, implement equivalent amendments as those made to the Sustainable Revolving Credit Facility Agreement on February 11, 2025.</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March 19, 2025, Oatly Shanghai Co., Ltd. entered into a new RMB 30 million (equivalent of $4.2 million) working capital credit facility with China Merchants Bank Co., Ltd. Shanghai Branch (the “CMB Credit Facility”). Individual utilizations under the CMB Credit Facility are subject to the lender’s approval. The CMB Credit Facility is available for one year, is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June 30, 2025, the Group had no utilized loan amounts under the amended CMB Credit Facility.</w:t>
      </w:r>
    </w:p>
    <w:p>
      <w:pPr>
        <w:spacing w:after="0" w:line="185"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on the Group’s credit facilities, see Item 2.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 Liquidity and Capital Resources”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Currency risk (transaction risk)</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TLB Credit Agreement is denominated in USD and the borrower within the Group is Oatly AB with a functional currency of SEK. The Group is therefore exposed to currency risk SEK/USD and if the rate would increase/decrease by 10% the impact on loss before tax for the six months ended June 30, 2025, would be $11.7 million.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is exposed to interest rate risk that arises from the term loan that carries an interest of Term SOFR with a floor of 2.5%. To manage the risk the Group has entered into interest rate caps for the full amount of the term loan of $130 million. The cap is 4.6% and has a maturity of 3 years (April 2026). The effect from increase in basis points is limited due to the cap that economically hedges the TLB Credit Agreement. If variable interest increased by 300 basis points the impact on loss before tax for the six months ended June 30, 2025, would be $0.2 million. If variable interest decreased by 300 basis points the impact on loss before tax for the six months ended June 30, 2025, would be $1.1 million, taking into account the floor of 2.5% in the term loan.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Provisions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Restructuring</w:t>
            </w:r>
          </w:p>
        </w:tc>
      </w:tr>
      <w:tr>
        <w:trPr>
          <w:trHeight w:val="21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33,061</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Charged to the consolidated statement of operations: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Additional provisions recognized</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Unwinding of discount effect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Reversal of non-utilized amounts</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(1,636)</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Amounts used during the year</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(8,235)</w:t>
            </w: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Charged to other comprehensive loss:</w:t>
            </w:r>
          </w:p>
        </w:tc>
        <w:tc>
          <w:tcPr>
            <w:tcW w:w="1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Exchange differences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18"/>
                <w:szCs w:val="18"/>
                <w:color w:val="auto"/>
              </w:rPr>
            </w:pPr>
          </w:p>
        </w:tc>
      </w:tr>
      <w:tr>
        <w:trPr>
          <w:trHeight w:val="250"/>
        </w:trPr>
        <w:tc>
          <w:tcPr>
            <w:tcW w:w="9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9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Non-current</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9,317</w:t>
            </w:r>
          </w:p>
        </w:tc>
        <w:tc>
          <w:tcPr>
            <w:tcW w:w="100" w:type="dxa"/>
            <w:vAlign w:val="bottom"/>
          </w:tcPr>
          <w:p>
            <w:pPr>
              <w:spacing w:after="0"/>
              <w:rPr>
                <w:sz w:val="17"/>
                <w:szCs w:val="17"/>
                <w:color w:val="auto"/>
              </w:rPr>
            </w:pP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restructuring provisions recorded in 2024 was principally related to decommissioning and other exit costs for the closure of the production facility in Singapore. The costs relating to the closure of the facility are expected to be paid throughout the coming 2 years. The Group also recorded provisions related to organizational restructuring. The main part of the organizational restructuring plan was drawn up and announced to the employees during 2024, with some additional parts being announced and recorded as expense during 2025.</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 Group had $5.1 million in cash outflows relating to organizational restructuring and $3.1 million in cash outflows relating to the closure of the production facility in Singapore.</w:t>
      </w:r>
    </w:p>
    <w:p>
      <w:pPr>
        <w:sectPr>
          <w:pgSz w:w="11900" w:h="16838" w:orient="portrait"/>
          <w:cols w:equalWidth="0" w:num="1">
            <w:col w:w="11240"/>
          </w:cols>
          <w:pgMar w:left="320" w:top="765" w:right="339"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Convertible Notes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March 23, 2023 and April 18, 2023, the Company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Certain of the Company’s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the Company’s option, on April 15 and October 15 of each year, beginning on October 15, 2023. The Convertible Notes will mature on September 14, 2028, unless earlier converted by the holders or required to be converted, repurchased or redeemed by the Company.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18, 2025, the Company completed a ratio change whereby the ratio of the Company’s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the Company, in accordance with the terms and conditions of the Swedish Notes (the “Swedish Terms”), will interpret the definition of “Daily VWAP” therein to assume the trading price of 1/20 of an ADS. The conversion price of the Swedish Notes was reset again on March 23, 2025, to $1.36.</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may require conversion of the Convertible Notes if the last reported sale price of the Company’s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April 18, 2023, the Company, Oatly AB, Oatly Inc. and other parties entered into an intercreditor agreement (the “Intercreditor Agreement”) which includes customary ranking, enforcement and turnover provisions intended to govern the relationship between the creditor groups and which affects the Convertible Notes.</w:t>
      </w:r>
    </w:p>
    <w:p>
      <w:pPr>
        <w:spacing w:after="0" w:line="176"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On May 9, 2023, the Company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w:t>
      </w:r>
    </w:p>
    <w:p>
      <w:pPr>
        <w:spacing w:after="0" w:line="1" w:lineRule="exact"/>
        <w:rPr>
          <w:sz w:val="20"/>
          <w:szCs w:val="20"/>
          <w:color w:val="auto"/>
        </w:rPr>
      </w:pPr>
    </w:p>
    <w:p>
      <w:pPr>
        <w:jc w:val="both"/>
        <w:ind w:right="20" w:firstLine="8"/>
        <w:spacing w:after="0" w:line="253" w:lineRule="auto"/>
        <w:tabs>
          <w:tab w:leader="none" w:pos="3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were convertible at Hillhouse’s option at an initial conversion price of $2.52 per ADS, representing an approximate 17% premium to the last reported sale price of the Company’s ADSs on the Nasdaq Global Market on May 8, 2023, and (ii) with respect to the specified prices in connection with the conversion rate resets of the HH 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w:t>
      </w:r>
    </w:p>
    <w:p>
      <w:pPr>
        <w:spacing w:after="0" w:line="187"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In addition, on May 9, 2023, one of the existing holders of Swedish Notes and an affiliate of one of the Company’s shareholders, Verlinvest, agreed to sell and Hillhouse agreed to purchase from Verlinvest $15 million aggregate principal amount of Swedish Notes (the “Resale Notes”). The purchase and sale of the HH Notes and the Resale Notes closed on May 31, 2023. The HH Notes are also subject to the Intercreditor Agreement.</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terms of the Convertible Notes contain covenants limiting the Company’s ability to incur additional debt other than certain debt permitted under the TLB Credit Agreement, issue preferred stock, and incur convertible debt or subordinated debt, in each case without the consent of the holders of a majority of the Convertible Notes (as determined pursuant to the terms of the applicable Convertible Notes).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details on the fair value on Convertible Notes, see Note 13 </w:t>
      </w:r>
      <w:r>
        <w:rPr>
          <w:rFonts w:ascii="Times New Roman" w:cs="Times New Roman" w:eastAsia="Times New Roman" w:hAnsi="Times New Roman"/>
          <w:sz w:val="18"/>
          <w:szCs w:val="18"/>
          <w:i w:val="1"/>
          <w:iCs w:val="1"/>
          <w:color w:val="auto"/>
        </w:rPr>
        <w:t>Fair value of financial instruments.</w:t>
      </w:r>
    </w:p>
    <w:p>
      <w:pPr>
        <w:sectPr>
          <w:pgSz w:w="11900" w:h="16838" w:orient="portrait"/>
          <w:cols w:equalWidth="0" w:num="1">
            <w:col w:w="11240"/>
          </w:cols>
          <w:pgMar w:left="320" w:top="765" w:right="3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7" w:name="page28"/>
    <w:bookmarkEnd w:id="27"/>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Accrued expenses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31,849</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24,549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personnel expenses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25,320</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24,284</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production expenses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11,617</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12,701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logistic expenses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10,734</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10,762</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marketing and sales expenses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9,620</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9,218</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23,535</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22,205</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112,675</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103,719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Related party disclosures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to related parties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Information about share-based compensation to related parties is found in Note 6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On April 18, 2023 the Company issued Convertible Notes to related parties, Nativus Company Limited and Verlinvest, with a fair value of $174.0 million. As of June 30, 2025, the fair value of the outstanding Convertible Notes to related parties amounted to $161.3 million. The Convertible Notes were issued with the terms and conditions described in Note 21 </w:t>
      </w:r>
      <w:r>
        <w:rPr>
          <w:rFonts w:ascii="Times New Roman" w:cs="Times New Roman" w:eastAsia="Times New Roman" w:hAnsi="Times New Roman"/>
          <w:sz w:val="18"/>
          <w:szCs w:val="18"/>
          <w:i w:val="1"/>
          <w:iCs w:val="1"/>
          <w:color w:val="auto"/>
        </w:rPr>
        <w:t>Convertible Notes.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Loss per share</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Company calculates loss per share by dividing loss for the period attributable to the shareholders of the parent by the weighted average number of ordinary shares outstanding during the period (net of treasury shares).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60" w:type="dxa"/>
            <w:vAlign w:val="bottom"/>
          </w:tcPr>
          <w:p>
            <w:pPr>
              <w:spacing w:after="0"/>
              <w:rPr>
                <w:sz w:val="15"/>
                <w:szCs w:val="15"/>
                <w:color w:val="auto"/>
              </w:rPr>
            </w:pPr>
          </w:p>
        </w:tc>
        <w:tc>
          <w:tcPr>
            <w:tcW w:w="29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year, attributable to the shareholders of the parent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(55,911)</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(30,384)</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(68,341)</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(76,183)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601,195,247</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596,242,505</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599,884,824</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595,654,647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 U.S. $</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(0.09)</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(0.05)</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(0.11)</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(0.13)</w:t>
            </w:r>
          </w:p>
        </w:tc>
        <w:tc>
          <w:tcPr>
            <w:tcW w:w="0" w:type="dxa"/>
            <w:vAlign w:val="bottom"/>
          </w:tcPr>
          <w:p>
            <w:pPr>
              <w:spacing w:after="0"/>
              <w:rPr>
                <w:sz w:val="1"/>
                <w:szCs w:val="1"/>
                <w:color w:val="auto"/>
              </w:rPr>
            </w:pPr>
          </w:p>
        </w:tc>
      </w:tr>
      <w:tr>
        <w:trPr>
          <w:trHeight w:val="143"/>
        </w:trPr>
        <w:tc>
          <w:tcPr>
            <w:tcW w:w="566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6"/>
                <w:szCs w:val="16"/>
                <w:color w:val="auto"/>
              </w:rPr>
              <w:t>Weighted average number of ADS (1 ADS representing 20 ordinary shares)</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30,059,762</w:t>
            </w:r>
          </w:p>
        </w:tc>
        <w:tc>
          <w:tcPr>
            <w:tcW w:w="260" w:type="dxa"/>
            <w:vAlign w:val="bottom"/>
            <w:tcBorders>
              <w:top w:val="single" w:sz="8" w:color="CFF0FC"/>
            </w:tcBorders>
          </w:tcPr>
          <w:p>
            <w:pPr>
              <w:spacing w:after="0"/>
              <w:rPr>
                <w:sz w:val="12"/>
                <w:szCs w:val="12"/>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29,812,125</w:t>
            </w:r>
          </w:p>
        </w:tc>
        <w:tc>
          <w:tcPr>
            <w:tcW w:w="220" w:type="dxa"/>
            <w:vAlign w:val="bottom"/>
            <w:tcBorders>
              <w:top w:val="single" w:sz="8" w:color="CFF0FC"/>
            </w:tcBorders>
          </w:tcPr>
          <w:p>
            <w:pPr>
              <w:spacing w:after="0"/>
              <w:rPr>
                <w:sz w:val="12"/>
                <w:szCs w:val="12"/>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29,994,241</w:t>
            </w:r>
          </w:p>
        </w:tc>
        <w:tc>
          <w:tcPr>
            <w:tcW w:w="220" w:type="dxa"/>
            <w:vAlign w:val="bottom"/>
            <w:tcBorders>
              <w:top w:val="single" w:sz="8" w:color="CFF0FC"/>
            </w:tcBorders>
          </w:tcPr>
          <w:p>
            <w:pPr>
              <w:spacing w:after="0"/>
              <w:rPr>
                <w:sz w:val="12"/>
                <w:szCs w:val="12"/>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29,782,732</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(1)</w:t>
            </w:r>
          </w:p>
        </w:tc>
        <w:tc>
          <w:tcPr>
            <w:tcW w:w="12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ADS, U.S. $</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(1.86)</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(2.28)</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(2.56)</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6181725</wp:posOffset>
            </wp:positionH>
            <wp:positionV relativeFrom="paragraph">
              <wp:posOffset>-980440</wp:posOffset>
            </wp:positionV>
            <wp:extent cx="93980" cy="162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-980440</wp:posOffset>
            </wp:positionV>
            <wp:extent cx="93980" cy="1625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-410845</wp:posOffset>
            </wp:positionV>
            <wp:extent cx="774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-393700</wp:posOffset>
            </wp:positionV>
            <wp:extent cx="774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-410845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-393700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-410845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-393700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7747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both"/>
        <w:ind w:right="220" w:firstLine="8"/>
        <w:spacing w:after="0" w:line="269" w:lineRule="auto"/>
        <w:tabs>
          <w:tab w:leader="none" w:pos="22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February 18, 2025, the Company completed a ratio change whereby the ratio of its ADSs to ordinary shares was changed from one ADS representing one ordinary share to one ADS representing twenty ordinary shares. The weighted average number of ADSs has been calculated by dividing the weighted average number of shares by 20, even though the actual number of outstanding ADSs is lower since not all of the ordinary shares in the Company are represented by ADSs. For further details on the ADS Ratio Change, see Note 2 </w:t>
      </w:r>
      <w:r>
        <w:rPr>
          <w:rFonts w:ascii="Times New Roman" w:cs="Times New Roman" w:eastAsia="Times New Roman" w:hAnsi="Times New Roman"/>
          <w:sz w:val="16"/>
          <w:szCs w:val="16"/>
          <w:i w:val="1"/>
          <w:iCs w:val="1"/>
          <w:color w:val="auto"/>
        </w:rPr>
        <w:t>Summary of accounting policies</w:t>
      </w:r>
      <w:r>
        <w:rPr>
          <w:rFonts w:ascii="Times New Roman" w:cs="Times New Roman" w:eastAsia="Times New Roman" w:hAnsi="Times New Roman"/>
          <w:sz w:val="16"/>
          <w:szCs w:val="16"/>
          <w:color w:val="auto"/>
        </w:rPr>
        <w: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Potential dilutive securities that were not included in the diluted loss per share calculations because they would be anti-dilutive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56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3"/>
                <w:szCs w:val="13"/>
                <w:color w:val="auto"/>
              </w:rPr>
            </w:pPr>
          </w:p>
        </w:tc>
        <w:tc>
          <w:tcPr>
            <w:tcW w:w="26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8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representing ordinary shares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34,611,500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17,680,096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34,611,500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17,680,096</w:t>
            </w:r>
          </w:p>
        </w:tc>
        <w:tc>
          <w:tcPr>
            <w:tcW w:w="100" w:type="dxa"/>
            <w:vAlign w:val="bottom"/>
            <w:shd w:val="clear" w:color="auto" w:fill="CFF0FC"/>
          </w:tcPr>
          <w:p>
            <w:pPr>
              <w:spacing w:after="0"/>
              <w:rPr>
                <w:sz w:val="18"/>
                <w:szCs w:val="18"/>
                <w:color w:val="auto"/>
              </w:rPr>
            </w:pPr>
          </w:p>
        </w:tc>
      </w:tr>
      <w:tr>
        <w:trPr>
          <w:trHeight w:val="164"/>
        </w:trPr>
        <w:tc>
          <w:tcPr>
            <w:tcW w:w="58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Stock options representing ordinary shares</w:t>
            </w:r>
          </w:p>
        </w:tc>
        <w:tc>
          <w:tcPr>
            <w:tcW w:w="11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10,573,080</w:t>
            </w:r>
          </w:p>
        </w:tc>
        <w:tc>
          <w:tcPr>
            <w:tcW w:w="13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15,285,292</w:t>
            </w:r>
          </w:p>
        </w:tc>
        <w:tc>
          <w:tcPr>
            <w:tcW w:w="136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10,573,080</w:t>
            </w:r>
          </w:p>
        </w:tc>
        <w:tc>
          <w:tcPr>
            <w:tcW w:w="142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15,285,292</w:t>
            </w:r>
          </w:p>
        </w:tc>
        <w:tc>
          <w:tcPr>
            <w:tcW w:w="100" w:type="dxa"/>
            <w:vAlign w:val="bottom"/>
          </w:tcPr>
          <w:p>
            <w:pPr>
              <w:spacing w:after="0"/>
              <w:rPr>
                <w:sz w:val="14"/>
                <w:szCs w:val="14"/>
                <w:color w:val="auto"/>
              </w:rPr>
            </w:pPr>
          </w:p>
        </w:tc>
      </w:tr>
      <w:tr>
        <w:trPr>
          <w:trHeight w:val="268"/>
        </w:trPr>
        <w:tc>
          <w:tcPr>
            <w:tcW w:w="58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100" w:firstLine="8"/>
        <w:spacing w:after="0" w:line="272" w:lineRule="auto"/>
        <w:tabs>
          <w:tab w:leader="none" w:pos="22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number of potential dilutive shares from the Convertible Notes are calculated assuming the most advantageous conversion price from the standpoint of the holder and assuming all capitalized interest at maturity will be settled with shares or ADSs. For further details on the Convertible Notes and the conversion price reset mechanism, see Note 21 </w:t>
      </w:r>
      <w:r>
        <w:rPr>
          <w:rFonts w:ascii="Times New Roman" w:cs="Times New Roman" w:eastAsia="Times New Roman" w:hAnsi="Times New Roman"/>
          <w:sz w:val="16"/>
          <w:szCs w:val="16"/>
          <w:i w:val="1"/>
          <w:iCs w:val="1"/>
          <w:color w:val="auto"/>
        </w:rPr>
        <w:t>Convertible Notes</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Commitments and Contingencies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Minimum purchase commitments</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has several supplier contracts primarily for production and packaging services where minimum purchase commitments exist in the contract terms. The commitments are associated with contracts that are enforceable and legally binding and that specify significant terms, including fixed or minimum services to be purchased and fixed, minimum or variable price provisions. For the six months ended June 30, 2025, volume adjustments related to co-packer arrangements in Europe &amp; International and North America resulted in volume shortfall expenses of $5.6 million. The shortfall expenses are presented in cost of goods sold in the consolidated statement of operations.</w:t>
      </w:r>
    </w:p>
    <w:p>
      <w:pPr>
        <w:spacing w:after="0" w:line="2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future cash outflows relating to leases that have not yet commenced are disclosed in Note 11 </w:t>
      </w: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This Report on Form 6-K (the “Report”) contains forward-looking statements within the meaning of the Private Securities Litigation Reform Act of 1995 that relate to our current expectations and views of future events. These forward-looking statements are contained principally in this Item 2.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These statements relate to events that involve known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unknown risks, uncertainties and other factors, including those listed under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Annual Report on Form 20-F for the year ended December 31, 2024 (our “2024 Annual Report”), those listed under Part II, Item 1A of this Report and other filings with the SEC, which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All statements contained in this Report that do not relate to matters of historical fact should be considered forward-looking statements, including, without limitation, statements regarding our future results of operations and financial position, industry and business trends, business strategy, market growth, and anticipated cost savings. In some cases, these forward-looking statements can be identified by words or phrases such as “forecast”, “project”, “should” “may”, “will”, “expect”, “anticipate”, “aim”, “estimate”, “intend”, “plan”, “believe”, “potential”, “continue”, “is/are likely to” or other similar expressions.</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risk factors set forth in our 2024 Annual Report, the risk factors set forth in this Report on Form 6-K and the following:</w:t>
      </w:r>
    </w:p>
    <w:p>
      <w:pPr>
        <w:spacing w:after="0" w:line="72"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be unable to achieve or sustain profitability, including due to elevated inflation and increased costs for transportation, energy, and materials;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financial condition and results of operations may be adversely affected by reduced or limited availability of oats and other raw materials and ingredients, which meet our quality standards, that our limited number of suppliers are able to sell to us;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obtain necessary capital when needed on acceptable terms, or at all, may force us to delay, limit, reduce or terminate our product manufacturing and development and other operations.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our cash and cash equivalents at financial institutions, often in balances that exceed federally insured limits. If financial institutions where we hold deposits were to fail, we could be exposed to a potential loss of deposits, and our ability to raise capital may be impacted by these events;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components of all our products are manufactured in our production facilities, and damage or disruption at these facilities has in the past harmed, and may in the future harm, our business;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or reputation may be harmed due to real or perceived quality, food safety, nutrition or sustainability issues with our products, which could have an adverse effect on our business, reputation, financial condition and results of operations;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and food-borne illness incidents or other safety, concerns have led to product recalls, and may materially adversely affect our business, financial condition and results of operations by exposing us to lawsuits or regulatory enforcement actions in the future, increasing our operating costs and reducing demand for our product offerings;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in our highly competitive markets;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customers, the loss of a significant customer or the decrease of sales from a significant customer, could negatively impact our sales and profitability;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oatmilk varieties contribute a significant portion of our revenue and a reduction in such sales would have an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pursue an asset-light business model, which means we will rely heavily on our co-manufacturing partners;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partnerships with our co-manufacturers may not be successful, which could adversely affect our operations and manufacturing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logistics providers to deliver our products on time, or at all, could result in lost sales;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0" w:name="page31"/>
    <w:bookmarkEnd w:id="30"/>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ramp up operations at any of our facilities, or these facilities may not operate in accordance with our expectations;</w:t>
      </w:r>
    </w:p>
    <w:p>
      <w:pPr>
        <w:spacing w:after="0" w:line="117" w:lineRule="exact"/>
        <w:rPr>
          <w:rFonts w:ascii="Times New Roman" w:cs="Times New Roman" w:eastAsia="Times New Roman" w:hAnsi="Times New Roman"/>
          <w:sz w:val="18"/>
          <w:szCs w:val="18"/>
          <w:color w:val="auto"/>
        </w:rPr>
      </w:pPr>
    </w:p>
    <w:p>
      <w:pPr>
        <w:ind w:left="503" w:right="60" w:hanging="503"/>
        <w:spacing w:after="0" w:line="266"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expand our processing, manufacturing and production capacity through existing facilities or acceptable co-manufacturing partners as we continue to grow and scale our business to a steady operating level, our business, financial condition, results of operations and our brand reputation could be harmed;</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maintain our brand, our business could suffer;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introduce new products or successfully improve existing products may adversely affect our ability to continue to grow;</w:t>
      </w:r>
    </w:p>
    <w:p>
      <w:pPr>
        <w:spacing w:after="0" w:line="117" w:lineRule="exact"/>
        <w:rPr>
          <w:rFonts w:ascii="Times New Roman" w:cs="Times New Roman" w:eastAsia="Times New Roman" w:hAnsi="Times New Roman"/>
          <w:sz w:val="18"/>
          <w:szCs w:val="18"/>
          <w:color w:val="auto"/>
        </w:rPr>
      </w:pPr>
    </w:p>
    <w:p>
      <w:pPr>
        <w:ind w:left="503" w:right="340" w:hanging="503"/>
        <w:spacing w:after="0" w:line="312" w:lineRule="auto"/>
        <w:tabs>
          <w:tab w:leader="none" w:pos="50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cost-effectively acquire new customers and consumers or retain our existing customers and consumers, or if we fail to derive revenue from our existing customers consistent with our historical performance, our business could be materially adversely affected;</w:t>
      </w:r>
    </w:p>
    <w:p>
      <w:pPr>
        <w:spacing w:after="0" w:line="31" w:lineRule="exact"/>
        <w:rPr>
          <w:rFonts w:ascii="Times New Roman" w:cs="Times New Roman" w:eastAsia="Times New Roman" w:hAnsi="Times New Roman"/>
          <w:sz w:val="17"/>
          <w:szCs w:val="17"/>
          <w:color w:val="auto"/>
        </w:rPr>
      </w:pPr>
    </w:p>
    <w:p>
      <w:pPr>
        <w:ind w:left="503" w:right="2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for our products are difficult to predict and may change, and, if we are unable to respond quickly to new trends, our business may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future growth effectively, including maintenance of our workforce, our business, financial condition and results of operations could be materially adversely affected;</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recently recognized impairment charges for long-lived assets and other exit costs in connection with our production facilities, and we may need to recognize further costs in the future, which could adversely impact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w:t>
      </w:r>
    </w:p>
    <w:p>
      <w:pPr>
        <w:spacing w:after="0" w:line="71"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technology systems and any inadequacy, failure or interruption of, or cybersecurity incidents affecting, those systems may harm our reputation and ability to effectively operate our business;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or other technology disruptions could negatively impact our business and our relationships with customers;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generally are not obligated to continue purchasing products from us;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difficulties as we expand our operations into countries in which we have no prior operating experience;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nature of our business subjects us to additional global economic and geopolitical risks;</w:t>
      </w:r>
    </w:p>
    <w:p>
      <w:pPr>
        <w:spacing w:after="0" w:line="117"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execution of the strategic review of the Company’s Greater China operations, the outcome of the strategic review and the market reaction thereto;</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in China could Our operations in China could expose us to substantial business, regulatory, political, financial and economic risks;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reset in Asia may not be successful;</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trade compliance and economic sanctions laws and regulations of the U.S., the EU and other applicable international jurisdictions, it could materially adversely affect our reputation and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costs are volatile and may rise significantly, which may negatively impact the profitability of our business;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of operations may impact, and may have a disproportionate effect on, our overall financial condition and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legal proceedings could expose us to significant liabilities or costs and have a negative impact on our reputation or business;</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or to attract, train and retain qualified employees may adversely affect our operations or our ability to grow successfully;</w:t>
      </w:r>
    </w:p>
    <w:p>
      <w:pPr>
        <w:spacing w:after="0" w:line="157"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481330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07" w:right="339" w:bottom="1440" w:gutter="0" w:footer="0" w:header="0"/>
        </w:sectPr>
      </w:pPr>
    </w:p>
    <w:bookmarkStart w:id="31" w:name="page32"/>
    <w:bookmarkEnd w:id="31"/>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our company culture or focus on our mission as we grow, our success and our business and competitive position may be harmed;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may not provide adequate levels of coverage against claims or we may be unable to find insurance with sufficient coverage at a reasonable cost;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worldwide economy may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macroeconomic conditions, including rising inflation, interest rates and supply chain constraints;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conflicts, other effects of ongoing wars and conflicts, and increasing geopolitical tensions and changes to international trade policies, treaties and tariffs, including as a result of the emergence of a trade war, could negatively impact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government investigations or other regulatory enforcement actions could subject us to civil and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U.S., EU, China and other laws and regulations, and there is no assurance that we will be in compliance with all regulations;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laws or regulations, or the adoption of new laws or regulations may increase our costs and otherwise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environmental regulation and potentially subject to environmental litigation, proceedings and investigations;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enforce or defend our intellectual property and other proprietary rights adequately, which may impact our commercial success;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previously identified material weaknesses in our internal control environment. If we are unable to remediate any material weakness, or if other control deficiencies are identified, we may not be able to report our financial results accurately, prevent fraud or file our periodic reports as a public company in a timely manner;</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shareholder has significant influence over us, including significant influence over decisions that require the approval of shareholders;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the market price of our ADSs have been, and may be, volatile, and you may lose all or part of your investment;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as a foreign private issuer we are exempt from certain corporate governance standards applicable to U.S. issuers, if we cannot satisfy, or continue to satisfy, the continued listing requirements of Nasdaq it could result in a delisting of our securities;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be able to exercise your right to vote the ordinary shares underlying your ADSs;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subject to securities litigation, which is expensive and could divert management attention;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pay dividends on our ADSs in the future and, consequently, your ability to achieve a return on your investment will depend on the appreciation in the price of our ADSs;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or exposure to additional tax liabilities or assessments could affect our profitability, and audits by tax authorities could result in additional tax payments;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indebtedness that may decrease our business flexibility, access to capital, and/or increase our future borrowing costs;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the Convertible Notes may dilute the ownership interests of holders of our ADSs or ordinary shares and may adversely impact the value of such securities;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in our debt agreements may restrict our operating activities and adversely affect our financial condition.</w:t>
      </w:r>
    </w:p>
    <w:p>
      <w:pPr>
        <w:spacing w:after="0" w:line="22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on which the statements are made in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and the documents that we reference in this Report and have filed as exhibits to this Report completely and with the understanding that our actual future results or performance may be materially different from what we expect.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the world’s original and largest oat drink company. For over 30 years, we have exclusively focused on developing expertise around oats: a global power crop with inherent properties suited for sustainability and human health. Our commitment to oats has resulted in core technical advancements that enabled us to unlock the breadth of the dairy portfolio, including milks, ice creams, yogurts, cooking creams, spreads and on-the-go drinks. Since our founding, we have had a bold vision for a food system that is better for people and the planet. We believe that transforming the food industry is necessary to face humanity’s greatest challenges across climate, environment, health and lifestyle and have not only positioned our brand to capitalize on the growing consumer interest in sustainable, plant- based foods and dairy alternatives, but we have become a driving force behind increased consumer awareness and transition from traditional dairy consumers to Oatly.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Trends and Other Factors Affecting our Business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actions on Organizational Structure and Supply Chain</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continue to execute on our strategic priorities focused on achieving profitable growth. These actions are aimed at setting clear priorities for our teams, reducing complexity to increase organizational agility, and executing a more asset-light supply chain strategy.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executing these actions, we simplified our organizational structure. We reviewed the organizational structure to adjust the fixed cost base globally, including employee-related costs, professional services, and other related costs.</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During the fourth quarter 2023, we decided to discontinue the construction of our production facilities in Peterborough, United Kingdom and Dallas-Fort Worth, Texas. During 2024, we completed substantially all of the activities relating to the exit of these two facilities. Also, in 2024, we decided to close our production facility in Singapore and discontinued the construction of our second production facility in China, which we historically referred to as “Asia III.” For a further discussion on risks related to these discontinuations see Part I,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2024 Annual Report.</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Strategic Review of China Business</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have initiated a strategic review of our Greater China business. The review will consider a range of options, including a potential carve-out of the Greater China segment, with the goal of accelerating growth and maximizing the value of the business.</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continue to operate in the Greater China market, including operating our production facility, and we remain committed to our customers, consumers, and employees as we look to maximize the value of this part of the business.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There is no definitive timetable for completing the strategic review. We do not intend to provide further updates unless and until the Board of Directors have approved a specific course of action or determines that additional disclosure is appropriate or required. We caution that there can be no assurances that the process will result in any transaction or strategic change.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Impact of the Current Macroeconomic Environment on our Results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business continues to be exposed to the effects of the current global macroeconomic environment, including consumer spending, inflationary pressures, geopolitical tensions, tariffs and the current trade war, and foreign exchange impacts. We continue to maintain a global focus on the controllable aspects of the business, and will continue to actively monitor and respond accordingly to the macroeconomic environment.</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further information refer to Part I,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2024 Annual Report.</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generate revenue primarily from sales of our oatmilk and other oat-based products across our three segments: Europe &amp; International, North America and Greater China. Our customers include retailers, e-commerce channels, coffee shops and other specialty providers within the foodservice industry.</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Europe &amp; International is our largest revenue-producing segment, followed by the North America and Greater China segments. Currently, our primary markets in Europe &amp; International are the United Kingdom, Germany and Sweden. In North America, substantially all of our revenue to date can be attributed to the United States, and in Greater China, the majority of our revenue is generated in China. The channel and product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mix vary by country, where our more mature markets, such as Sweden and Finland, have a broader product portfolio available to customers and consumers.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 on a consolidated level, oatmilk accounted for 91% of our revenue (2024: 89%).</w:t>
      </w:r>
    </w:p>
    <w:p>
      <w:pPr>
        <w:spacing w:after="0" w:line="20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routinely offer sales discounts and promotions through various programs to customers. These programs include rebates, temporary on-shelf price reductions, retailer advertisements, product coupons and other trade activities. The expense associated with these discounts and promotions is estimated and recorded as a reduction in total gross revenue in order to arrive at reported revenue. These promotional activities impact our revenue and changes in such activities could impact period-over-period results.</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factors and trends in our business have driven revenue growth over prior periods and are expected to be key drivers of our revenue growth going forward:</w:t>
      </w:r>
    </w:p>
    <w:p>
      <w:pPr>
        <w:spacing w:after="0" w:line="54" w:lineRule="exact"/>
        <w:rPr>
          <w:sz w:val="20"/>
          <w:szCs w:val="20"/>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household penetration to reach new consumers and increase the repeat purchase rates of existing consumers by continuing to invest in advertising and marketing to increase awareness of our brand and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across channels:</w:t>
      </w:r>
    </w:p>
    <w:p>
      <w:pPr>
        <w:spacing w:after="0" w:line="117"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oGrow within food retail channels by increasing our distribution points with existing and new customers, capturing greater shelf space and continuing to drive velocity increases.</w:t>
      </w:r>
    </w:p>
    <w:p>
      <w:pPr>
        <w:spacing w:after="0" w:line="53" w:lineRule="exact"/>
        <w:rPr>
          <w:rFonts w:ascii="Times New Roman" w:cs="Times New Roman" w:eastAsia="Times New Roman" w:hAnsi="Times New Roman"/>
          <w:sz w:val="18"/>
          <w:szCs w:val="18"/>
          <w:color w:val="auto"/>
        </w:rPr>
      </w:pPr>
    </w:p>
    <w:p>
      <w:pPr>
        <w:ind w:left="1540" w:right="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oExpand footprint across the foodservice channel, including independent coffee shops, branded foodservice restaurant chains, and other foodservice customers such as universities and offices.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e-commerce capabilities by strategically partnering with leading third-party platforms.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product offering through new product development within existing and new product categories to capture the market-specific consumer needs in each of the regions in which we operate.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new international markets through our proven foodservice-led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global production capacity to meet consumer demand.</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the cost of oats and other raw materials, product packaging, co-manufacturing fees, direct labor and associated overhead costs and property, plant and equipment depreciation. Our cost of goods sold also includes warehousing and transportation of inventory. We expect our cost of goods sold to increase in absolute dollars to support our growth. However, we expect that, over time, cost of goods sold will decrease as a percentage of revenue, as a result of the scaling of our business and optimizing our production footprint.</w:t>
      </w:r>
    </w:p>
    <w:p>
      <w:pPr>
        <w:spacing w:after="0" w:line="2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Gross profit consists of our revenue less costs of goods sold. We have scaled our production capacity significantly over the past couple of years. Our gross profit and gross margin have benefited, and we expect will continue to benefit, from the reduction in cost of goods sold driven by an increased focus on our asset-light supply chain strategy, improvements in our manufacturing operational performance, leveraging the cost of our fixed production costs, as well as a higher focus on procurement efficiencies through scale of purchasing and diversification of suppliers. Additionally, our gross margin has benefited, and we expect will continue to benefit, from an improved mix of products sold driven by the reduction or elimination of low-margin products and the growth or addition of higher-margin products.</w:t>
      </w:r>
    </w:p>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consist primarily of personnel-related expenses for our research and development staff,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bonuses, but also third-party consultancy fees and expenses incurred related to product trial runs. Our research and development efforts are focused on enhancements to our existing product formulations and production processes in addition to the development of new products.</w:t>
      </w:r>
    </w:p>
    <w:p>
      <w:pPr>
        <w:spacing w:after="0" w:line="17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include primarily personnel-related expenses for our sales, general and administrative staff,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Selling, general and administrative expenses also include auditor fees and other third-party consultancy fees, expenses related to management, finance and accounting, information technology, human resources and other office functions.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4" w:name="page35"/>
    <w:bookmarkEnd w:id="34"/>
    <w:p>
      <w:pPr>
        <w:jc w:val="both"/>
        <w:ind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and (expenses), net, </w:t>
      </w:r>
      <w:r>
        <w:rPr>
          <w:rFonts w:ascii="Times New Roman" w:cs="Times New Roman" w:eastAsia="Times New Roman" w:hAnsi="Times New Roman"/>
          <w:sz w:val="18"/>
          <w:szCs w:val="18"/>
          <w:color w:val="auto"/>
        </w:rPr>
        <w:t>consists primarily of impacts related to strategic review of the Greater China segment, 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facility, discontinued construction of certain production facilities and net foreign exchange gains (losses) on operating related activities.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7"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Finance income and (expenses), net, </w:t>
      </w:r>
      <w:r>
        <w:rPr>
          <w:rFonts w:ascii="Times New Roman" w:cs="Times New Roman" w:eastAsia="Times New Roman" w:hAnsi="Times New Roman"/>
          <w:sz w:val="18"/>
          <w:szCs w:val="18"/>
          <w:color w:val="auto"/>
        </w:rPr>
        <w:t>primarily consists of fair value changes on Convertible Notes, transaction costs relating to amendments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arrangements, interest expenses related to Convertible Notes and loans from credit institutions, interest expenses on lease liabilities, interest income and foreign exchange gains and losses attributable to our external and internal financing arrangements.</w:t>
      </w:r>
    </w:p>
    <w:p>
      <w:pPr>
        <w:spacing w:after="0" w:line="173"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represents both current and deferred income tax expenses. Current tax expenses primarily represent income taxes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in multiple foreign jurisdictions.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interim condensed consolidated statements of operations in U.S. dollars and as a percentage of revenue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revenue</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revenue</w:t>
            </w:r>
          </w:p>
        </w:tc>
        <w:tc>
          <w:tcPr>
            <w:tcW w:w="36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(in thousands $)</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208,354</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405,884</w:t>
            </w:r>
          </w:p>
        </w:tc>
        <w:tc>
          <w:tcPr>
            <w:tcW w:w="10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(140,729)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(143,239)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(70.8)%</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(275,929)</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(68.0)%</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(288,496)</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67,625</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32.5%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58,956</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129,955</w:t>
            </w:r>
          </w:p>
        </w:tc>
        <w:tc>
          <w:tcPr>
            <w:tcW w:w="10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112,854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28.1%</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(4,605)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(10,898)</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(8,996)</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(15,540)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8"/>
        </w:trPr>
        <w:tc>
          <w:tcPr>
            <w:tcW w:w="27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(84,111)</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(84,261)</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(41.7)%</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(161,609)</w:t>
            </w:r>
          </w:p>
        </w:tc>
        <w:tc>
          <w:tcPr>
            <w:tcW w:w="9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(163,003)</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operating income and</w:t>
            </w:r>
          </w:p>
        </w:tc>
        <w:tc>
          <w:tcPr>
            <w:tcW w:w="12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8"/>
                <w:szCs w:val="18"/>
                <w:color w:val="auto"/>
              </w:rPr>
              <w:t>(1,025)</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(2,876)</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9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(1,803)</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(expenses), net</w:t>
            </w:r>
          </w:p>
        </w:tc>
        <w:tc>
          <w:tcPr>
            <w:tcW w:w="12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(22,116)</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(39,079)</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(19.3)%</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(40,707)</w:t>
            </w: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(67,492)</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(31,916)</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(22,505)</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(6,988)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(54,032)</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(28,690)</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(14.2)%</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(63,212)</w:t>
            </w: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(15.6)%</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(74,480)</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(1,914)</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(5,265)</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(1,805)</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(55,946)</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(30,441)</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(15.1)%</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(68,477)</w:t>
            </w: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(16.9)%</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(76,285)</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(55,911)</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(30,384)</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(68,341)</w:t>
            </w:r>
          </w:p>
        </w:tc>
        <w:tc>
          <w:tcPr>
            <w:tcW w:w="9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(76,183)</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six months ended June 30, 2025</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Revenue increased $6.2 million, or 3.0%, to $208.4 million for the three months ended June 30, 2025, net of sales discounts, rebates and trade promotions, compared to $202.2 million for the three months ended June 30, 2024. Excluding a foreign currency exchange tailwind of $6.6 million, revenue for the second quarter was $201.7 million, or a decrease of 0.2% compared to the prior year period (refer to Non-IFRS Financial Measures section below for tables reconciling revenue as reported to revenue on a constant currency basis by segment). The decrease in constant currency revenue was primarily driven by decline in North America and Greater China, partially offset by strong growth in Europe and International. Sold volume for the three months ended June 30, 2025 amounted to 140.4 million liters compared to 136.6 million liters for the three months ended June 30, 2024. Produced finished goods volume for the second quarter of 2025 amounted to 142.8 million liters compared to 142.0 million liters for the same period last year.</w:t>
      </w:r>
    </w:p>
    <w:p>
      <w:pPr>
        <w:spacing w:after="0" w:line="18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continued to experience revenue growth in the retail channel of 12.2% for the three months ended June 30, 2025 compared to the prior year period. In the three months ended June 30, 2025 and 2024, the retail channel accounted for 65.8% and 60.5% of our revenue, respectively,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the foodservice channel accounted for 31.8% and 35.6% of our revenue, respectively, and the other channel, comprised primarily of e-commerce sales, accounted for 2.4% and 3.9% of our revenue, respectively.</w:t>
      </w:r>
    </w:p>
    <w:p>
      <w:pPr>
        <w:spacing w:after="0" w:line="162" w:lineRule="exact"/>
        <w:rPr>
          <w:sz w:val="20"/>
          <w:szCs w:val="20"/>
          <w:color w:val="auto"/>
        </w:rPr>
      </w:pPr>
    </w:p>
    <w:p>
      <w:pPr>
        <w:jc w:val="both"/>
        <w:ind w:firstLine="505"/>
        <w:spacing w:after="0" w:line="282" w:lineRule="auto"/>
        <w:rPr>
          <w:sz w:val="20"/>
          <w:szCs w:val="20"/>
          <w:color w:val="auto"/>
        </w:rPr>
      </w:pPr>
      <w:r>
        <w:rPr>
          <w:rFonts w:ascii="Times New Roman" w:cs="Times New Roman" w:eastAsia="Times New Roman" w:hAnsi="Times New Roman"/>
          <w:sz w:val="18"/>
          <w:szCs w:val="18"/>
          <w:color w:val="auto"/>
        </w:rPr>
        <w:t>Europe &amp; International, North America and Greater China accounted for 56.7%, 30.3% and 13.0% of our total revenue in the three months ended June 30, 2025, respectively, as compared to 52.2%, 33.5% and 14.3% of our total revenue in the three months ended June 30, 2024, respectively.</w:t>
      </w:r>
    </w:p>
    <w:p>
      <w:pPr>
        <w:spacing w:after="0" w:line="16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Revenue increased $4.5 million, or 1.1%, to $405.9 million for the six months ended June 30, 2025, net of sales discounts, rebates and trade promotions, compared to $401.4 million for the six months ended June 30, 2024. Excluding a foreign currency exchange tailwind of $3.8 million, revenue was $402.1 million, or an increase of 0.2% compared to the prior year period (refer to Non-IFRS Financial Measures section below for tables reconciling revenue as reported to revenue on a constant currency basis by segment). The revenue growth was primarily driven by volume growth across the Europe &amp; International and Greater China segments, partially offset by volume decline in North America as well as price/mix declines in the Europe &amp; International and Greater China segments. Sold volume for the six months ended June 30, 2025 amounted to 284.9 million liters compared to 268.9 million liters for the six months ended June 30, 2024. Produced finished goods volume for the six months ended June 30, 2025 amounted to 285.8 million liters compared to 283.0 million liters for the same period last year.</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continued to experience revenue growth in the retail channel of 4.5% for the six months ended June 30, 2025 compared to the prior year period. In the six months ended June 30, 2025 and 2024, the retail channel accounted for 64.7% and 62.7% of our revenue, respectively, the foodservice channel accounted for 33.0% and 33.8% of our revenue, respectively, and the other channel, comprised primarily of e-commerce sales, accounted for 2.3% and 3.5% of our revenue, respectively.</w:t>
      </w:r>
    </w:p>
    <w:p>
      <w:pPr>
        <w:spacing w:after="0" w:line="180"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Europe &amp; International, North America and Greater China accounted for 55.7%, 30.3% and 14.0% of our total revenue in the six months ended June 30, 2025, respectively, as compared to 53.8%, 33.6% and 12.6% of our total revenue in the six months ended June 30, 2024, respectively.</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increase in sold volume growth in Europe &amp; International was driven by continued expansion in core markets, as well as incremental contributions from new markets. The revenue growth was assisted by foreign exchange tailwinds but partially offset by a price/mix decline. In North America, our sold volume and revenue decreased primarily due to lower volumes in the foodservice channel. Finally, Greater China revenue growth was primarily driven by sales to a new foodservice customer.</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a result of the strategic actions and restructuring activities we have undertaken to simplify our organizational structure, our number of employees has decreased by 39 employees, to 1,426 employees as of June 30, 2025 from 1,465 employees as of June 30, 2024. The average number of full-time consultants increased by 13 consultants to 88 consultants for the six months ended June 30, 2025 from 75 consultants for the six months ended June 30, 2024.</w:t>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Cost of goods sold decreased by $2.5 million, or 1.8%, to $140.7 million for the three months ended June 30, 2025, from $143.2 million for the three months ended June 30, 2024.</w:t>
      </w:r>
    </w:p>
    <w:p>
      <w:pPr>
        <w:spacing w:after="0" w:line="162" w:lineRule="exact"/>
        <w:rPr>
          <w:sz w:val="20"/>
          <w:szCs w:val="20"/>
          <w:color w:val="auto"/>
        </w:rPr>
      </w:pPr>
    </w:p>
    <w:p>
      <w:pPr>
        <w:jc w:val="both"/>
        <w:ind w:right="20" w:firstLine="502"/>
        <w:spacing w:after="0" w:line="282" w:lineRule="auto"/>
        <w:rPr>
          <w:sz w:val="20"/>
          <w:szCs w:val="20"/>
          <w:color w:val="auto"/>
        </w:rPr>
      </w:pPr>
      <w:r>
        <w:rPr>
          <w:rFonts w:ascii="Times New Roman" w:cs="Times New Roman" w:eastAsia="Times New Roman" w:hAnsi="Times New Roman"/>
          <w:sz w:val="18"/>
          <w:szCs w:val="18"/>
          <w:color w:val="auto"/>
        </w:rPr>
        <w:t>Cost of goods sold decreased by $12.6 million, or 4.4%, to $275.9 million for the six months ended June 30, 2025, from $288.5 million for the six months ended June 30, 2024.</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decrease for the three and six months ended June 30, 2025 was primarily driven by an increase in supply chain efficiencies, especially in the Europe &amp; International segment.</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Gross profit and margin</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Gross profit increased by $8.6 million, or 14.7%, to $67.6 million for the three months ended June 30, 2025, from $59.0 million for the three months ended June 30, 2024. Gross profit margin increased by 3.3 percentage points, to 32.5% for the three months ended June 30, 2025, from 29.2% for the three months ended June 30, 2024.</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Gross profit increased by $17.1 million, or 15.2%, to $130.0 million for the six months ended June 30, 2025, from $112.9 million for the six months ended June 30, 2024. Gross profit margin increased by 3.9 percentage points, to 32.0% for the six months ended June 30, 2025, from 28.1% for the six months ended June 30, 2024.</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increase for the three and six months ended June 30, 2025 in gross profit margin was primarily driven by improvements in supply chain efficiency, especially in the Europe &amp; International segment.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$6.3 million, or 57.7%, to $4.6 million for the three months ended June 30, 2025, from $10.9 million for the three months ended June 30, 2024 and decreased as a share of revenues 2.2% and 5.4%, respectively.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$6.5 million, or 42.1%, to $9.0 million for the six months ended June 30, 2025, from $15.5 million for the six months ended June 30, 2024 and decreased as a share of revenues 2.2% and 3.9%, respectively.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decrease for the three and six months ended June 30, 2025 was mainly driven by expenses in the prior year period related to a new product launch issue in the North America segment.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by $0.2 million, or 0.2%, to $84.1 million for the three months ended June 30, 2025 compared to $84.3 million for the three months ended June 30, 2024 and decreased as a share of revenue to 40.4% from 41.7%, respectively. The decrease was primarily due to the continued cost savings initiatives. Customer distribution expense increased as a share of revenue to 6.3% from 6.0%.</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by $1.4 million, or 0.9%, to $161.6 million for the six months ended June 30, 2025 compared to $163.0 million for the six months ended June 30, 2024 and decreased as a share of revenue to 39.8% from 40.6%, respectively. The decrease was primarily due to the various cost restructuring activities implemented since early 2023, which were partially offset by foreign exchange headwinds. Customer distribution expense increased as a share of revenue to 6.5% from 6.2%.</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operating income and (expenses), net</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Other operating income and (expenses), net for the three months ended June 30, 2025 was an expense of $1.0 million comprised primarily of $1.4 million in costs for our strategic review of our Greater China segment. Other operating income and (expenses), net for the three months ended June 30, 2024 was an expense of $2.9 million comprised primarily of non-cash impairment charges related to the Group’s discontinued construction of its production facility in Peterborough, UK.</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Other operating income and (expenses), net for the six months ended June 30, 2025 was an expense of $0.1 million comprised primarily of $1.4 million in costs for our strategic of our Greater China segment, offset by mainly $0.8 in reversal of other exit costs related to the closure of the production facility in Singapore. Other operating income and (expenses), net for the six months ended June 30, 2024 was an expense of $1.8 million comprised primarily of $2.9 million in non-cash impairment charges related to the Group’s discontinued construction of its production facility in Peterborough, partially offset by $0.9 million in reversal of previously recognized non-cash impairment charges related to the Group’s discontinued construction of its production facility in Dallas-Fort Worth, Texas.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Finance income and (expenses), net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Finance income and (expenses), net for the three months ended June 30, 2025 was an expense of $31.9 million comprised primarily of net interest expenses of $14.9 million, fair value losses on Convertible Notes of $8.6 million, and net foreign exchange loss of $7.8 million. The finance income and (expenses), net for the three months ended June 30, 2024 was an income of $10.4 million comprised primarily of fair value gains on Convertible Notes of $23.9 million, offset by net interest expenses of $13.0 million.</w:t>
      </w:r>
    </w:p>
    <w:p>
      <w:pPr>
        <w:spacing w:after="0" w:line="18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Finance income and (expenses), net for the six months ended June 30, 2025 was an expense of $22.5 million comprised primarily of net interest expenses of $28.5 million and net foreign exchange loss of $5.6 million, offset by fair value gains on Convertible Notes of $13.5 million. The finance income and (expenses), net for the six months ended June 30, 2024 was an expense of $7.0 million comprised primarily of net interest expenses of $25.3 million and other financial expenses of $5.7 million, offset by fair value gains on Convertible Notes of $23.0 million.</w:t>
      </w: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Income tax expense increased to $1.9 million for the three months ended June 30, 2025 compared to $1.8 million for the three months ended June 30, 2024. The effective tax rates for the three months ended June 30, 2025 was 3.5%. The main drivers of the effective tax rate relate to non-recognition of deferred tax assets on tax losses and tax effect relating to foreign exchange effects recognized in other comprehensive income. The effective tax rate for the three months ended June 30, 2024 was 6.1%, with non-recognition of deferred tax assets on tax losses being the main driver of the effective tax rate.</w:t>
      </w:r>
    </w:p>
    <w:p>
      <w:pPr>
        <w:spacing w:after="0" w:line="180"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Income tax expense increased to $5.3 million for the six months ended June 30, 2025 compared to $1.8 million for the six months ended June 30, 2024. The effective tax rates for the six months ended June 30, 2025 was 8.3%. The main drivers of the effective tax rate relate to</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non-recognition of deferred tax assets on tax losses and tax effect relating to foreign exchange effects recognized in other comprehensive income. The effective tax rate for the six months ended June 30, 2024 was 2.4%, with non-recognition of deferred tax assets on tax losses being the main driver of the effective tax rate.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Since our inception, we have financed our operations primarily through cash generated by the issuance of equity and Convertible Notes, and from borrowings under our credit facilities. Our primary requirements for liquidity and capital are to finance working capital, make capital expenditures, invest in our organizational capabilities to support profitable growth and for general corporate purposes. We are using this combination of financing to fund our business. We expect our capital expenditures for 2025 to be approximately $20 million, related primarily to investments in our production facilities. The amount and allocation of our future capital expenditures depend on several factors, and our strategic investment priorities may change. Our recent decisions to discontinue construction at the production facility in China (Asia III), and close the production facility in Singapore, have impacted our projected capital expenditures. We believe that our sources of liquidity and capital will be sufficient to meet our existing business needs for at least the next 12 months. See the risk factor entitled </w:t>
      </w:r>
      <w:r>
        <w:rPr>
          <w:rFonts w:ascii="Times New Roman" w:cs="Times New Roman" w:eastAsia="Times New Roman" w:hAnsi="Times New Roman"/>
          <w:sz w:val="18"/>
          <w:szCs w:val="18"/>
          <w:i w:val="1"/>
          <w:iCs w:val="1"/>
          <w:color w:val="auto"/>
        </w:rPr>
        <w:t>“A failure to obtain necessary capital when needed on acceptable terms, or at all, may force us to delay, limit, reduce or terminate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product manufacturing and development and other operations” </w:t>
      </w:r>
      <w:r>
        <w:rPr>
          <w:rFonts w:ascii="Times New Roman" w:cs="Times New Roman" w:eastAsia="Times New Roman" w:hAnsi="Times New Roman"/>
          <w:sz w:val="18"/>
          <w:szCs w:val="18"/>
          <w:color w:val="auto"/>
        </w:rPr>
        <w:t>under Part I, Item 3.D.</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of our 2024 Annual Report.</w:t>
      </w:r>
    </w:p>
    <w:p>
      <w:pPr>
        <w:spacing w:after="0" w:line="18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on hand and availability under our credit facilities. As of June 30, 2025, we had cash and cash equivalents of $67.9 million. Our cash and cash equivalents consist of cash in bank accounts.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above, we had access to $221.0 million in undrawn bank facilities as of June 30, 2025.</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Sustainable Revolving Credit Facility and Term Loan B Credit Facility</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April 18, 2023, the Company’s existing Sustainable Revolving Credit Facility Agreement (the “SRCF Agreement”) was amended and restated whereby, among other things, (i) the term of the SRCF Agreement was reset to three years and six months, with a one year uncommitted extension option,</w:t>
      </w:r>
    </w:p>
    <w:p>
      <w:pPr>
        <w:jc w:val="both"/>
        <w:ind w:firstLine="8"/>
        <w:spacing w:after="0" w:line="252" w:lineRule="auto"/>
        <w:tabs>
          <w:tab w:leader="none" w:pos="2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 (iv) the tangible solvency ratio, minimum EBITDA, minimum liquidity and total net leverage ratio financial covenants were reset, (v) the existing negative covenants were amended to further align with those included in the TLB Credit Agreement (as defined below), including in relation to incurrence of indebtedness, and (vi) the debt under the SRCF Agreement ranks pari passu with, and shares in the same security and guarantees from the Group as, the EIF Facility (as defined below) and the TLB Credit Agreement by way of the Intercreditor Agreement (as defined below).</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April 18, 2023, we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The term of the TLB Credit Agreement is five years from the funding date of the term loan facility, and the term loan facility is subject to 1% amortization per annum paid in quarterly installments. Borrowings carry an interest rate of Term SOFR (with a floor of 2.50%) plus 7.5% or Base Rate (with floor of 3.50%) plus 6.5%. The TLB Credit Agreement contains maintenance financial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shares in the same security and guarantees from the Group as, the EIF Facility (as defined below) and the SRCF Agreement by way of the Intercreditor Agreement. As of June 30, 2025, we had $130.4 million, including accrued interest, outstanding under the TLB Credit Agreement.</w:t>
      </w:r>
    </w:p>
    <w:p>
      <w:pPr>
        <w:spacing w:after="0" w:line="19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April 18, 2023, the Company, Oatly AB, Oatly Inc. and other parties entered into an intercreditor agreement (the “Intercreditor Agreement”) with, amongst others J.P. Morgan SE, as Senior Secured Term Facilities Agent, Wilmington Trust (London) Limited as Senior Secured Revolving Facilities Agent, Wilmington Trust (London) Limited as Common Security Agent and U.S. Bank Trust Company, National Association as trustee in respect of certain of the Convertible Notes (as defined below). The Intercreditor Agreement includes customary ranking, enforcement and turnover provisions intended to govern the relationship between the creditor groups.</w:t>
      </w:r>
    </w:p>
    <w:p>
      <w:pPr>
        <w:spacing w:after="0" w:line="183"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8"/>
          <w:szCs w:val="18"/>
          <w:color w:val="auto"/>
        </w:rPr>
        <w:t>In May 2023, (i) the SRCF Agreement was amended pursuant to an amendment letter to, among other things, ensure that the Convertible Notes constitute “PIPE Financing” under and as defined in the SRCF Agreement and (ii) the TLB Credit Agreement was amended pursuant to an amendment agreement to, among other things, ensure that the Convertible Notes constitute “Convertible Bonds” under and as defined in the TLB Credit Agreement.</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February 14, 2024, the SRCF Agreement and the TLB Credit Agreement were amended and restated to, among other things, (i) reset the financial covenant levels applying to the minimum EBITDA (including separate testing of the Group’s Europe &amp; International EBITDA, the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8" w:name="page39"/>
    <w:bookmarkEnd w:id="38"/>
    <w:p>
      <w:pPr>
        <w:jc w:val="both"/>
        <w:spacing w:after="0" w:line="254" w:lineRule="auto"/>
        <w:rPr>
          <w:sz w:val="20"/>
          <w:szCs w:val="20"/>
          <w:color w:val="auto"/>
        </w:rPr>
      </w:pPr>
      <w:r>
        <w:rPr>
          <w:rFonts w:ascii="Times New Roman" w:cs="Times New Roman" w:eastAsia="Times New Roman" w:hAnsi="Times New Roman"/>
          <w:sz w:val="18"/>
          <w:szCs w:val="18"/>
          <w:color w:val="auto"/>
        </w:rPr>
        <w:t>definition of which has subsequently been corrected by way of subsequent amendment), minimum liquidity and total net leverage ratio financial covenants and, in relation to the SRCF Agreement, the tangible solvency ratio financial covenant, (ii) revise certain financial definitions to permit additional adjustments for the purpose of the calculation of the financial covenants and (iii) provide certain flexibility for disposals of assets relating to our production facilities in Dallas Fort Worth, Texas, United States of America and Peterborough, United Kingdom. In addition, the existing draw-stop level for the SRCF Agreement, which requires that a certain amount of such facility remains undrawn for as long as the last twelve months’ (“LTM”) consolidated EBITDA of the Group is negative, has been increased from $50 million to $100 million, and the original 24 months’ non-call/make-whole period applying under the TLB Credit Agreement has been reset to apply for the 18 months following the amendment effective date (for the avoidance of doubt, the subsequent 12 months’ prepayment fee period still applies after the end of such 18-month period).</w:t>
      </w:r>
    </w:p>
    <w:p>
      <w:pPr>
        <w:spacing w:after="0" w:line="12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Under the amended SRCF Agreement and TLB Credit Agreement, the total net leverage ratio financial covenant, tested in respect of the LTM period ending on each quarter date, will start to apply in respect of the LTM period ending on December 31, 2026, and the applicable financial covenant level will be 4.50:1, stepping down to 3.50:1 for each LTM period ending in 2027 and to 3.00:1 for each LTM period in 2028. The reset quarterly tangible solvency ratio financial covenant level applying under the amended SRCF Agreement is 30%.</w:t>
      </w:r>
    </w:p>
    <w:p>
      <w:pPr>
        <w:spacing w:after="0" w:line="9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11, 2025, the SRCF Agreement and TLB Credit Agreement were amended and restated to, among other things, (i) reset certain financial covenant levels applying to the minimum liquidity financial covenant, (ii) revise certain financial definitions to permit additional adjustments for the purpose of the calculation of certain financial covenants, including in relation to certain costs relating to the discontinuance of certain of the Group’s manufacturing facilities and (iii) provide certain flexibility for disposals of assets relating to the relevant manufacturing facilities.</w:t>
      </w:r>
    </w:p>
    <w:p>
      <w:pPr>
        <w:spacing w:after="0" w:line="11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amended SRCF Agreement and TLB Credit Agreement impose limitations on drawdowns under the SRCF Agreement (other than under ancillary facilities, such as overdraft facilities and bank guarantees, which are exempted from these limitations) based on the last four quarters’ consolidated EBITDA of the Group, where, if last four quarters’ consolidated EBITDA of the Group is:</w:t>
      </w:r>
    </w:p>
    <w:p>
      <w:pPr>
        <w:spacing w:after="0" w:line="108" w:lineRule="exact"/>
        <w:rPr>
          <w:sz w:val="20"/>
          <w:szCs w:val="20"/>
          <w:color w:val="auto"/>
        </w:rPr>
      </w:pPr>
    </w:p>
    <w:p>
      <w:pPr>
        <w:ind w:left="820" w:hanging="36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$0, $0 may be drawn; and</w:t>
      </w:r>
    </w:p>
    <w:p>
      <w:pPr>
        <w:spacing w:after="0" w:line="144" w:lineRule="exact"/>
        <w:rPr>
          <w:rFonts w:ascii="Times New Roman" w:cs="Times New Roman" w:eastAsia="Times New Roman" w:hAnsi="Times New Roman"/>
          <w:sz w:val="18"/>
          <w:szCs w:val="18"/>
          <w:color w:val="auto"/>
        </w:rPr>
      </w:pPr>
    </w:p>
    <w:p>
      <w:pPr>
        <w:ind w:left="820" w:hanging="36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or greater than $75 million, the full amount of the existing facility may be drawn,</w:t>
      </w:r>
    </w:p>
    <w:p>
      <w:pPr>
        <w:spacing w:after="0" w:line="15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with interim steps in between, and increases requiring improved performance for two consecutive four quarter periods and reductions requiring decreased performance for one four quarter period.</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March 23, 2023 and April 18, 2023, we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spacing w:after="0" w:line="9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Certain of our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108"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our option, on April 15 and October 15 of each year, beginning on October 15, 2023. The Convertible Notes will mature on September 14, 2028, unless earlier converted by the holders or required to be converted, repurchased or redeemed by us.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 On February 18, 2025, we completed a ratio change whereby the ratio of our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w:t>
      </w:r>
    </w:p>
    <w:p>
      <w:pPr>
        <w:spacing w:after="0" w:line="12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we, in accordance with the Swedish Terms, will interpret the definition of “Daily VWAP” therein to assume the trading price of 1/20 of an ADS. The conversion price of the Swedish Notes was reset again on March 23, 2025, to $1.36.</w:t>
      </w:r>
    </w:p>
    <w:p>
      <w:pPr>
        <w:spacing w:after="0" w:line="10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may require conversion of the Convertible Notes if the last reported sale price of our ADSs equals or exceeds 200% of the applicable conversion price (in the case of the Swedish Notes, the definition of “Last Reported Sale Price” is interpreted to equal 1/20 of an ADS) on any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45 trading days during any 90 consecutive day period beginning on or after the third anniversary of the issuance of the U.S. Notes (with respect to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the HH Notes) and the Swedish Notes (with respect to the Swedish Notes).</w:t>
      </w:r>
    </w:p>
    <w:p>
      <w:pPr>
        <w:spacing w:after="0" w:line="13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April 18, 2023, we, Oatly AB, Oatly Inc. and other parties entered into the Intercreditor Agreement which includes customary ranking, enforcement and turnover provisions intended to govern the relationship between the creditor groups and which affect the Convertible Notes.</w:t>
      </w:r>
    </w:p>
    <w:p>
      <w:pPr>
        <w:spacing w:after="0" w:line="8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May 9, 2023, we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 HH Notes were convertible at Hillhouse’s option at an initial conversion price of $2.52 per ADS, representing an approximate 17% premium to the last reported sale price of our ADSs on the Nasdaq Global Market on May 8, 2023, and (ii) with respect to the specified prices in connection with the conversion rate resets of the</w:t>
      </w:r>
    </w:p>
    <w:p>
      <w:pPr>
        <w:spacing w:after="0" w:line="3" w:lineRule="exact"/>
        <w:rPr>
          <w:sz w:val="20"/>
          <w:szCs w:val="20"/>
          <w:color w:val="auto"/>
        </w:rPr>
      </w:pPr>
    </w:p>
    <w:p>
      <w:pPr>
        <w:jc w:val="both"/>
        <w:ind w:firstLine="8"/>
        <w:spacing w:after="0" w:line="253" w:lineRule="auto"/>
        <w:tabs>
          <w:tab w:leader="none" w:pos="3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 In addition, on May 9, 2023, one of the existing holders of Swedish Notes and an affiliate of one of our shareholders, Verlinvest, agreed to sell and Hillhouse agreed to purchase from Verlinvest $15 million aggregate principal amount of Swedish Notes (the “Resale Notes”). The purchase and sale of the HH Notes and the Resale Notes closed on May 31, 2023. The HH Notes are also subject to the Intercreditor Agreement.</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terms of the Convertible Notes contain covenants limiting our ability to incur additional debt other than certain debt permitted under the TLB Credit Agreement, issue preferred stock, and incur convertible debt or subordinated debt, in each case without the consent of the holders of a majority of the Convertible Notes (as determined pursuant to the applicable terms of the Convertible Notes).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Credit Facilities</w:t>
      </w:r>
    </w:p>
    <w:p>
      <w:pPr>
        <w:spacing w:after="0" w:line="243"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In October 2019, we entered into a European Investment Fund guaranteed three-year term loan facility of €7.5 million (equivalent of $8.0 million) with Svensk Exportkredit (the “EIF Facility”). The EIF Facility bears interest at EURIBOR + 2.75%. On October 6, 2022, the termination date of the EIF Facility was extended to October 11, 2025, and the amortization schedule thereunder revised, with amortizations in an amount of €0.3 million to be made on a quarterly basis effective January 11, 2023. The loan facility and interest margin remained unchanged.</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February 14, 2024, the EIF Facility was amended and restated to, where and to the extent applicable, implement equivalent amendments as those made to the SRCF Agreement on February 14, 2024.</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February 11, 2025, the EIF Facility was amended and restated to, where and to the extent applicable, implement equivalent amendments as those made to the SRCF Agreement on February 11, 2025.</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March 19, 2025, Oatly Shanghai Co., Ltd. entered into a new RMB 30 million (equivalent of $4.2 million) working capital credit facility with China Merchants Bank Co., Ltd. Shanghai Branch (the “CMB Credit Facility”). Individual utilizations under the CMB Credit Facility are subject to the lender’s approval. The CMB Credit Facility is available for one year, is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June 30, 2025, the Group had no utilized loan amounts under the amended CMB Credit Facility.</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2025, we had €0.6 million (equivalent of $0.7 million) outstanding under the EIF Facility, including accrued interest.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18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80" w:type="dxa"/>
            <w:vAlign w:val="bottom"/>
            <w:tcBorders>
              <w:bottom w:val="single" w:sz="8" w:color="auto"/>
            </w:tcBorders>
          </w:tcPr>
          <w:p>
            <w:pPr>
              <w:jc w:val="right"/>
              <w:ind w:right="8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8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(15,005)</w:t>
            </w:r>
          </w:p>
        </w:tc>
        <w:tc>
          <w:tcPr>
            <w:tcW w:w="7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(86,013)</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in)/from investing activities</w:t>
            </w:r>
          </w:p>
        </w:tc>
        <w:tc>
          <w:tcPr>
            <w:tcW w:w="2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(10,220)</w:t>
            </w:r>
          </w:p>
        </w:tc>
        <w:tc>
          <w:tcPr>
            <w:tcW w:w="7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(8,151)</w:t>
            </w:r>
          </w:p>
        </w:tc>
        <w:tc>
          <w:tcPr>
            <w:tcW w:w="7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(20,213)</w:t>
            </w:r>
          </w:p>
        </w:tc>
      </w:tr>
    </w:tbl>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Net cash flows used in operating activities decreased by $71.0 million, to $15.0 million for the six months ended June 30, 2025 from $86.0 million for the six months ended June 30, 2024, which was driven by improved operating results and improvements in net working capital.</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in)/from investing activities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Net cash flows (used in)/from investing activities decreased by $11.1 million, to an outflow of $10.2 million for the six months ended June 30, 2025 compared to an inflow of $0.9 million for the six months ended June 30, 2024. During the six months ended June 30, 2025 our investments in property, plant and equipment amounted to $9.8 million. For the six months ended June 30, 2024 our investments in property plant and equipment amounted to $19.6 million which was offset by proceeds from sale of property, plant and equipment of $20.4 million related to sold assets due to the discontinued construction of our new production facilities in Peterborough, UK and Dallas-Fort Worth, Texas.</w:t>
      </w:r>
    </w:p>
    <w:p>
      <w:pPr>
        <w:spacing w:after="0" w:line="2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Net cash flows used in financing activities decreased by $12.1 million, to an outflow of $8.2 million for the six months ended June 30, 2025 from an outflow of $20.2 million for the six months ended June 30, 2024, which was primarily driven by lower repayment of lease liabilities in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7"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our contractual commitments and contingencies, see Note 25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interim condensed consolidated financial statements, which are included elsewhere in this Report.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Non-IFRS Financial Measures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use EBITDA, Adjusted EBITDA, Constant Currency Revenue as non-IFRS financial measures in assessing our operating performance and Free Cash Flow as a non-IFRS liquidity measure, and each in our financial communications.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“EBITDA” is defined as loss for the period adjusted to exclude, when applicable, income tax expense, finance expenses, finance income and depreciation and amortization expense.</w:t>
      </w:r>
    </w:p>
    <w:p>
      <w:pPr>
        <w:spacing w:after="0" w:line="162"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“Adjusted EBITDA” is defined as loss for the period adjusted to exclude, when applicable, income tax expense, finance expenses, finance income, depreciation and amortization expense, share-based compensation expense, restructuring costs, costs related to the strategic review of the Greater China business, impacts related to the closure of production facility, discontinued construction of production facilities, expenses related to a new product launch issue and non-controlling interests.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spacing w:after="0" w:line="284" w:lineRule="exact"/>
        <w:rPr>
          <w:sz w:val="20"/>
          <w:szCs w:val="20"/>
          <w:color w:val="auto"/>
        </w:rPr>
      </w:pPr>
    </w:p>
    <w:p>
      <w:pPr>
        <w:ind w:left="1020" w:right="1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restructuring costs that reduce cash available to us in future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costs related to the strategic review of the Greater China business that reduce cash available to us;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the closure of production facility,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discontinued construction of production facilities,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expenses related to a new product launch issue that reduce cash available to us;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41" w:name="page42"/>
    <w:bookmarkEnd w:id="41"/>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2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300" w:type="dxa"/>
            <w:vAlign w:val="bottom"/>
            <w:tcBorders>
              <w:top w:val="single" w:sz="8" w:color="auto"/>
              <w:bottom w:val="single" w:sz="8" w:color="auto"/>
            </w:tcBorders>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(55,946)</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(30,441)</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(68,477)</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(76,285)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31,916</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(10,389)</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23,475</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25,321</w:t>
            </w:r>
          </w:p>
        </w:tc>
        <w:tc>
          <w:tcPr>
            <w:tcW w:w="100" w:type="dxa"/>
            <w:vAlign w:val="bottom"/>
          </w:tcPr>
          <w:p>
            <w:pPr>
              <w:spacing w:after="0"/>
              <w:rPr>
                <w:sz w:val="18"/>
                <w:szCs w:val="18"/>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(9,822)</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(26,771)</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(17,232)</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(42,171)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(846)</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r>
      <w:tr>
        <w:trPr>
          <w:trHeight w:val="22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(3,563)</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(10,997)</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(7,294)</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(24,201)</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-25400</wp:posOffset>
            </wp:positionV>
            <wp:extent cx="768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768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(1)Relates primarily to severance costs as the Group adjusts its organizational structure.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(2)Relates to costs for the strategic review of the Greater China segment.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(3)Relates to reversal of previously recognized exit costs related to closure of the Group’s production facility in Singapore.</w:t>
      </w:r>
    </w:p>
    <w:p>
      <w:pPr>
        <w:spacing w:after="0" w:line="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(4)Relates primarily to non-cash impairments related to discontinued construction of the Group’s production facility in Peterborough, UK, and reversal of previously recognized non-cash impairments related to discontinued construction of the Group’s production facility in Dallas-Fort Worth, Texas.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(5)Expenses related to a new product launch issue.</w:t>
      </w:r>
    </w:p>
    <w:p>
      <w:pPr>
        <w:spacing w:after="0" w:line="230"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8"/>
          <w:szCs w:val="18"/>
          <w:color w:val="auto"/>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Constant currency revenue is used to provide a framework in assessing how our business and geographic segments performed excluding the effects of foreign currency exchange rate fluctuations and we believe this information is useful to investors to facilitate comparisons and better identify trends in our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reconciles revenue as reported to revenue on a constant currency basis by segment for the three and six months ended June 30, 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960" w:type="dxa"/>
            <w:vAlign w:val="bottom"/>
            <w:vMerge w:val="restart"/>
          </w:tcPr>
          <w:p>
            <w:pPr>
              <w:jc w:val="right"/>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vMerge w:val="restart"/>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118,19</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111,60</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118,193</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2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94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26,927</w:t>
            </w:r>
          </w:p>
        </w:tc>
        <w:tc>
          <w:tcPr>
            <w:tcW w:w="11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87"/>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208,35</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201,71</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208,354</w:t>
            </w:r>
          </w:p>
        </w:tc>
        <w:tc>
          <w:tcPr>
            <w:tcW w:w="220" w:type="dxa"/>
            <w:vAlign w:val="bottom"/>
            <w:vMerge w:val="restart"/>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22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6,642</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2520" w:type="dxa"/>
            <w:vAlign w:val="bottom"/>
            <w:vMerge w:val="continue"/>
          </w:tcPr>
          <w:p>
            <w:pPr>
              <w:spacing w:after="0"/>
              <w:rPr>
                <w:sz w:val="24"/>
                <w:szCs w:val="24"/>
                <w:color w:val="auto"/>
              </w:rPr>
            </w:pPr>
          </w:p>
        </w:tc>
        <w:tc>
          <w:tcPr>
            <w:tcW w:w="19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Foreign</w:t>
            </w:r>
          </w:p>
        </w:tc>
        <w:tc>
          <w:tcPr>
            <w:tcW w:w="6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960" w:type="dxa"/>
            <w:vAlign w:val="bottom"/>
            <w:vMerge w:val="restart"/>
          </w:tcPr>
          <w:p>
            <w:pPr>
              <w:jc w:val="right"/>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vMerge w:val="restart"/>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5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5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225,85</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221,86</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225,858</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215,948</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94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123,07</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123,07</w:t>
            </w:r>
          </w:p>
        </w:tc>
        <w:tc>
          <w:tcPr>
            <w:tcW w:w="11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26"/>
        </w:trPr>
        <w:tc>
          <w:tcPr>
            <w:tcW w:w="2520" w:type="dxa"/>
            <w:vAlign w:val="bottom"/>
            <w:vMerge w:val="continue"/>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123,071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134,786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56,955</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56,955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57,195</w:t>
            </w: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87"/>
        </w:trPr>
        <w:tc>
          <w:tcPr>
            <w:tcW w:w="252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405,88</w:t>
            </w:r>
          </w:p>
        </w:tc>
        <w:tc>
          <w:tcPr>
            <w:tcW w:w="200" w:type="dxa"/>
            <w:vAlign w:val="bottom"/>
            <w:tcBorders>
              <w:top w:val="single" w:sz="8" w:color="CFF0F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402,13</w:t>
            </w:r>
          </w:p>
        </w:tc>
        <w:tc>
          <w:tcPr>
            <w:tcW w:w="1120" w:type="dxa"/>
            <w:vAlign w:val="bottom"/>
            <w:tcBorders>
              <w:top w:val="single" w:sz="8" w:color="CFF0FC"/>
            </w:tcBorders>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1120" w:type="dxa"/>
            <w:vAlign w:val="bottom"/>
            <w:tcBorders>
              <w:top w:val="single" w:sz="8" w:color="CFF0FC"/>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w:t>
            </w:r>
          </w:p>
        </w:tc>
        <w:tc>
          <w:tcPr>
            <w:tcW w:w="960" w:type="dxa"/>
            <w:vAlign w:val="bottom"/>
            <w:tcBorders>
              <w:top w:val="single" w:sz="8" w:color="CFF0FC"/>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w:t>
            </w:r>
          </w:p>
        </w:tc>
        <w:tc>
          <w:tcPr>
            <w:tcW w:w="940" w:type="dxa"/>
            <w:vAlign w:val="bottom"/>
            <w:tcBorders>
              <w:top w:val="single" w:sz="8" w:color="CFF0FC"/>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405,884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3,751</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-2005330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-2005330</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-2005330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-2005330</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-2005330</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-307975</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-307975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-307975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-307975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-307975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2" w:name="page43"/>
    <w:bookmarkEnd w:id="42"/>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interim condensed consolidated financial statements appearing elsewhere in this document. Below we have provided a reconciliation of Free Cash Flow to net cash flows used in operating activities for the periods presented.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96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8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4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(1,447)</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(46,935)</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(15,005)</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(86,013)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(3,748)</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(14,226)</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(10,699)</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(20,420)</w:t>
            </w:r>
          </w:p>
        </w:tc>
      </w:tr>
      <w:tr>
        <w:trPr>
          <w:trHeight w:val="20"/>
        </w:trPr>
        <w:tc>
          <w:tcPr>
            <w:tcW w:w="5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(5,195)</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(61,161)</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(25,704)</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(106,433)</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-25400</wp:posOffset>
            </wp:positionV>
            <wp:extent cx="76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768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Free cash flow was an outflow of $25.7 million for the six months ended June 30, 2025 compared to an outflow of $106.4 million during the prior year period. The improvement in free cash flow was driven by decreased net cash flows used in operating activities and lower capital expenditures.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Adjusted EBITDA and EBITDA</w:t>
      </w: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118,193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(455)</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118,648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63,185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26,976</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24,261</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(2,369)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(636)</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(24,819)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(3,563)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(515)</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(2,276)</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(471)</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(585)</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23,275</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(3,282)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(2,425)</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(27,390)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(9,822)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(31,916)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(12,294)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(54,032)</w:t>
            </w:r>
          </w:p>
        </w:tc>
        <w:tc>
          <w:tcPr>
            <w:tcW w:w="0" w:type="dxa"/>
            <w:vAlign w:val="bottom"/>
          </w:tcPr>
          <w:p>
            <w:pPr>
              <w:spacing w:after="0"/>
              <w:rPr>
                <w:sz w:val="1"/>
                <w:szCs w:val="1"/>
                <w:color w:val="auto"/>
              </w:rPr>
            </w:pPr>
          </w:p>
        </w:tc>
      </w:tr>
      <w:tr>
        <w:trPr>
          <w:trHeight w:val="34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(1,814)</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107,355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67,819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28,835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(1,814)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12,638</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(428)</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(24,373)</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(10,997)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(501)</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(855)</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(1,470)</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(5,677)</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8,359</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(5,235)</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(2,435)</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(27,460)</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(26,771)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(12,308)</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(28,690)</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2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225,858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123,071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(1,144)</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227,002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123,071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56,955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(1,144)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39,797</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(1,240)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(46,833)</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(7,294)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(983)</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(686)</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(7,045)</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(471)</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(1,253)</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39,189</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(3,179)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(1,297)</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(51,945)</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(17,232)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(22,505)</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(23,475)</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(63,212)</w:t>
            </w:r>
          </w:p>
        </w:tc>
        <w:tc>
          <w:tcPr>
            <w:tcW w:w="0" w:type="dxa"/>
            <w:vAlign w:val="bottom"/>
          </w:tcPr>
          <w:p>
            <w:pPr>
              <w:spacing w:after="0"/>
              <w:rPr>
                <w:sz w:val="1"/>
                <w:szCs w:val="1"/>
                <w:color w:val="auto"/>
              </w:rPr>
            </w:pPr>
          </w:p>
        </w:tc>
      </w:tr>
      <w:tr>
        <w:trPr>
          <w:trHeight w:val="31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215,948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(3,778)</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219,726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134,786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50,616</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(3,778)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27,134</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(3,856)</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(48,257)</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(24,201)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(879)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(1,179)</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(855)</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(1,940)</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(5,677)</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22,477</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(3,480)</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(7,077)</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(54,091)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(42,171)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(25,321)</w:t>
            </w:r>
          </w:p>
        </w:tc>
        <w:tc>
          <w:tcPr>
            <w:tcW w:w="0" w:type="dxa"/>
            <w:vAlign w:val="bottom"/>
          </w:tcPr>
          <w:p>
            <w:pPr>
              <w:spacing w:after="0"/>
              <w:rPr>
                <w:sz w:val="1"/>
                <w:szCs w:val="1"/>
                <w:color w:val="auto"/>
              </w:rPr>
            </w:pPr>
          </w:p>
        </w:tc>
      </w:tr>
      <w:tr>
        <w:trPr>
          <w:trHeight w:val="231"/>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(74,480)</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consists of general costs not allocated to the segments.</w:t>
      </w:r>
    </w:p>
    <w:p>
      <w:pPr>
        <w:spacing w:after="0" w:line="16"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Eliminations in 2025 and 2024 refer to intersegment revenue for sales of products from Europe &amp; International to Greater China.</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severance costs as the Group adjusts its organizational structure.</w:t>
      </w:r>
    </w:p>
    <w:p>
      <w:pPr>
        <w:spacing w:after="0" w:line="31"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costs for the strategic review of the Greater China segment.</w:t>
      </w:r>
    </w:p>
    <w:p>
      <w:pPr>
        <w:spacing w:after="0" w:line="4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reversal of previously recognized exit costs related to closure of the Group’s production facility in Singapore.</w:t>
      </w:r>
    </w:p>
    <w:p>
      <w:pPr>
        <w:spacing w:after="0" w:line="26" w:lineRule="exact"/>
        <w:rPr>
          <w:rFonts w:ascii="Times New Roman" w:cs="Times New Roman" w:eastAsia="Times New Roman" w:hAnsi="Times New Roman"/>
          <w:sz w:val="16"/>
          <w:szCs w:val="16"/>
          <w:color w:val="auto"/>
        </w:rPr>
      </w:pPr>
    </w:p>
    <w:p>
      <w:pPr>
        <w:ind w:right="500" w:firstLine="8"/>
        <w:spacing w:after="0" w:line="264" w:lineRule="auto"/>
        <w:tabs>
          <w:tab w:leader="none" w:pos="229"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non-cash impairments related to discontinued construction of the Group’s production facility in Peterborough, UK, and reversal of previously recognized non-cash impairments related to discontinued construction of the Group’s production facility in Dallas-Fort Worth, Texas.</w:t>
      </w:r>
    </w:p>
    <w:p>
      <w:pPr>
        <w:ind w:left="240" w:hanging="232"/>
        <w:spacing w:after="0"/>
        <w:tabs>
          <w:tab w:leader="none" w:pos="24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related to a new product launch issue.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449"/>
        <w:spacing w:after="0" w:line="232" w:lineRule="exact"/>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or other contractually narrow or limited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We prepare our interim condensed consolidated financial statements in accordance with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Preparing these financial statements requires us to make estimates and assumptions that affect the reported amounts of assets, liabilities, equity, revenue, expenses, and related disclosures. We evaluate our estimates and assumptions on an ongoing basis. Our estimates are based on historical experience and various other assumptions that we believe to be reasonable under the circumstances. Our actual results may differ from these estimates. Other companies in similar businesses may use different estimation policies and methodologies, which may impact the comparability of our financial condition, results of operations and cash flows to those of other companies.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5" w:name="page46"/>
    <w:bookmarkEnd w:id="45"/>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“Critical Accounting Estimates” in our 2024 Annual Report and the notes to the audited financial statements in our 2024 Annual Report. Our critical accounting policies and estimates are the same as those discussed in our 2024 Annual Report.</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accounting policies</w:t>
      </w:r>
      <w:r>
        <w:rPr>
          <w:rFonts w:ascii="Times New Roman" w:cs="Times New Roman" w:eastAsia="Times New Roman" w:hAnsi="Times New Roman"/>
          <w:sz w:val="18"/>
          <w:szCs w:val="18"/>
          <w:color w:val="auto"/>
        </w:rPr>
        <w:t xml:space="preserve"> to our interim condensed consolidated financial statements appearing elsewhere in this Report.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Qualitative and Quantitative Disclosures about Market Risk</w:t>
      </w:r>
    </w:p>
    <w:p>
      <w:pPr>
        <w:spacing w:after="0" w:line="22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 xml:space="preserve">We are exposed to certain market risks in the ordinary course of our business. These risks primarily consist of foreign exchange risk, interest rate risk, credit risk, liquidity risk and commodity price risk. For further discussion and sensitivity analysis of these risks, see Note 3 </w:t>
      </w:r>
      <w:r>
        <w:rPr>
          <w:rFonts w:ascii="Times New Roman" w:cs="Times New Roman" w:eastAsia="Times New Roman" w:hAnsi="Times New Roman"/>
          <w:sz w:val="18"/>
          <w:szCs w:val="18"/>
          <w:i w:val="1"/>
          <w:iCs w:val="1"/>
          <w:color w:val="auto"/>
        </w:rPr>
        <w:t>Financial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w:t>
      </w:r>
      <w:r>
        <w:rPr>
          <w:rFonts w:ascii="Times New Roman" w:cs="Times New Roman" w:eastAsia="Times New Roman" w:hAnsi="Times New Roman"/>
          <w:sz w:val="18"/>
          <w:szCs w:val="18"/>
          <w:color w:val="auto"/>
        </w:rPr>
        <w:t>to our audited consolidated financial statements for the year ended December 31, 2024 included in our 2024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227"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risk factors since those reported in Part I,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2024 Annual Report other than as noted 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Strategic Review of our China Business may not be successful</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have initiated a strategic review of our Greater China business. The review will consider a broad range of strategic options to enhance shareholder value, including a potential carve-out of the Greater China segment. There is no guarantee that this strategic review will be successful or will yield results that enhance shareholder value. The strategic review will also take time and the attention of management. The strategic review may also take longer than expected. There are no assurances that the process will result in any transaction or strategic change. If the strategic review is not successful, this will likely have a negative result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2 in Part II of the Company’s Report on Form 6-K filed on November 15, 2021 is incorporated by reference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20" w:type="dxa"/>
            <w:vAlign w:val="bottom"/>
          </w:tcPr>
          <w:p>
            <w:pPr>
              <w:spacing w:after="0"/>
              <w:rPr>
                <w:sz w:val="22"/>
                <w:szCs w:val="22"/>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20"/>
                <w:szCs w:val="20"/>
                <w:b w:val="1"/>
                <w:bCs w:val="1"/>
                <w:color w:val="auto"/>
              </w:rPr>
              <w:t>Oatly Group AB</w:t>
            </w:r>
          </w:p>
        </w:tc>
        <w:tc>
          <w:tcPr>
            <w:tcW w:w="0" w:type="dxa"/>
            <w:vAlign w:val="bottom"/>
          </w:tcPr>
          <w:p>
            <w:pPr>
              <w:spacing w:after="0"/>
              <w:rPr>
                <w:sz w:val="1"/>
                <w:szCs w:val="1"/>
                <w:color w:val="auto"/>
              </w:rPr>
            </w:pPr>
          </w:p>
        </w:tc>
      </w:tr>
      <w:tr>
        <w:trPr>
          <w:trHeight w:val="66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2025</w:t>
            </w: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 Marie-José David</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90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2900" w:type="dxa"/>
            <w:vAlign w:val="bottom"/>
            <w:vMerge w:val="continue"/>
          </w:tcPr>
          <w:p>
            <w:pPr>
              <w:spacing w:after="0"/>
              <w:rPr>
                <w:sz w:val="15"/>
                <w:szCs w:val="15"/>
                <w:color w:val="auto"/>
              </w:rPr>
            </w:pPr>
          </w:p>
        </w:tc>
        <w:tc>
          <w:tcPr>
            <w:tcW w:w="48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Marie-José David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lowerRoman"/>
      <w:start w:val="2"/>
    </w:lvl>
  </w:abstractNum>
  <w:abstractNum w:abstractNumId="6">
    <w:nsid w:val="109CF92E"/>
    <w:multiLevelType w:val="hybridMultilevel"/>
    <w:lvl w:ilvl="0">
      <w:lvlJc w:val="left"/>
      <w:lvlText w:val="(%1)"/>
      <w:numFmt w:val="lowerRoman"/>
      <w:start w:val="1"/>
    </w:lvl>
  </w:abstractNum>
  <w:abstractNum w:abstractNumId="7">
    <w:nsid w:val="DED7263"/>
    <w:multiLevelType w:val="hybridMultilevel"/>
    <w:lvl w:ilvl="0">
      <w:lvlJc w:val="left"/>
      <w:lvlText w:val="%1"/>
      <w:numFmt w:val="upperLetter"/>
      <w:start w:val="34"/>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Roman"/>
      <w:start w:val="2"/>
    </w:lvl>
  </w:abstractNum>
  <w:abstractNum w:abstractNumId="15">
    <w:nsid w:val="431BD7B7"/>
    <w:multiLevelType w:val="hybridMultilevel"/>
    <w:lvl w:ilvl="0">
      <w:lvlJc w:val="left"/>
      <w:lvlText w:val="(%1)"/>
      <w:numFmt w:val="lowerRoman"/>
      <w:start w:val="1"/>
    </w:lvl>
  </w:abstractNum>
  <w:abstractNum w:abstractNumId="16">
    <w:nsid w:val="3F2DBA31"/>
    <w:multiLevelType w:val="hybridMultilevel"/>
    <w:lvl w:ilvl="0">
      <w:lvlJc w:val="left"/>
      <w:lvlText w:val="%1"/>
      <w:numFmt w:val="upperLetter"/>
      <w:start w:val="34"/>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2025-09-24T06:10:58Z</dcterms:created>
  <dcterms:modified xsi:type="dcterms:W3CDTF">2025-09-24T06:10:58Z</dcterms:modified>
</cp:coreProperties>
</file>