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29, 2025, the Company issued a press release announcing its financial results for the quarter ended September 30, 2025. A copy of the press release is furnished as Exhibit 99.1 to this Report on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1147445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83" w:right="5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October 29, 2025</w:t>
            </w:r>
          </w:p>
        </w:tc>
      </w:tr>
      <w:tr>
        <w:trPr>
          <w:trHeight w:val="99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20" w:type="dxa"/>
            <w:vAlign w:val="bottom"/>
            <w:tcBorders>
              <w:top w:val="single" w:sz="8" w:color="0000FF"/>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720" w:type="dxa"/>
            <w:vAlign w:val="bottom"/>
          </w:tcPr>
          <w:p>
            <w:pPr>
              <w:spacing w:after="0"/>
              <w:rPr>
                <w:sz w:val="16"/>
                <w:szCs w:val="16"/>
                <w:color w:val="auto"/>
              </w:rPr>
            </w:pPr>
          </w:p>
        </w:tc>
        <w:tc>
          <w:tcPr>
            <w:tcW w:w="27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72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7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167640</wp:posOffset>
            </wp:positionV>
            <wp:extent cx="16027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Oatly Reports Third Quarter 2025 Financial Results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MALMÖ, Sweden, October 29, 2025 – Oatly Group AB (Nasdaq: OTLY) (“Oatly”, the “Company” or the “Group”), the world’s original and largest oat drink company, today announced financial results for the third quarter ended September 30,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Jean-Christophe Flatin, Oatly’s CEO, commented, “I am proud to report that we drove profitable growth in the quarter, with solid constant currency revenue growth and positive adjusted EBITDA. Achieving this milestone reflects the disciplined, strategic actions we have taken over the past three years to strengthen the foundation of our entire business. While we are proud of this achievement, we know that profitable growth is a milestone and not the finish line. We see significant potential ahead of us, and we are confident that we are taking the right steps to drive durable, scalable, and profitable growth as we execute on our mission.”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reconcile revenue as reported to revenue on a constant currency basis by segment for the three and nine months ended September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1900" w:type="dxa"/>
            <w:vAlign w:val="bottom"/>
            <w:tcBorders>
              <w:bottom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20" w:type="dxa"/>
            <w:vAlign w:val="bottom"/>
            <w:vMerge w:val="restart"/>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123,26</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116,45</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109,853</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37,418</w:t>
            </w:r>
          </w:p>
        </w:tc>
        <w:tc>
          <w:tcPr>
            <w:tcW w:w="112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7"/>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222,79</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215,96</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220" w:type="dxa"/>
            <w:vAlign w:val="bottom"/>
            <w:vMerge w:val="restart"/>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6,829</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180" w:type="dxa"/>
            <w:vAlign w:val="bottom"/>
            <w:gridSpan w:val="2"/>
            <w:vMerge w:val="restart"/>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180" w:type="dxa"/>
            <w:vAlign w:val="bottom"/>
            <w:tcBorders>
              <w:bottom w:val="single" w:sz="8" w:color="auto"/>
            </w:tcBorders>
            <w:gridSpan w:val="2"/>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220" w:type="dxa"/>
            <w:vAlign w:val="bottom"/>
          </w:tcPr>
          <w:p>
            <w:pPr>
              <w:spacing w:after="0"/>
              <w:rPr>
                <w:sz w:val="10"/>
                <w:szCs w:val="10"/>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960" w:type="dxa"/>
            <w:vAlign w:val="bottom"/>
            <w:vMerge w:val="restart"/>
          </w:tcPr>
          <w:p>
            <w:pPr>
              <w:jc w:val="right"/>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5"/>
                <w:szCs w:val="5"/>
                <w:color w:val="auto"/>
              </w:rPr>
            </w:pPr>
          </w:p>
        </w:tc>
        <w:tc>
          <w:tcPr>
            <w:tcW w:w="720" w:type="dxa"/>
            <w:vAlign w:val="bottom"/>
            <w:vMerge w:val="restart"/>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60" w:type="dxa"/>
            <w:vAlign w:val="bottom"/>
            <w:gridSpan w:val="2"/>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9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96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349,12</w:t>
            </w: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338,20</w:t>
            </w:r>
          </w:p>
        </w:tc>
        <w:tc>
          <w:tcPr>
            <w:tcW w:w="112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26"/>
        </w:trPr>
        <w:tc>
          <w:tcPr>
            <w:tcW w:w="2520" w:type="dxa"/>
            <w:vAlign w:val="bottom"/>
            <w:vMerge w:val="continue"/>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2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vMerge w:val="continue"/>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185,16</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185,16</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26"/>
        </w:trPr>
        <w:tc>
          <w:tcPr>
            <w:tcW w:w="2520" w:type="dxa"/>
            <w:vAlign w:val="bottom"/>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203,859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94,590</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87"/>
        </w:trPr>
        <w:tc>
          <w:tcPr>
            <w:tcW w:w="25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628,68</w:t>
            </w:r>
          </w:p>
        </w:tc>
        <w:tc>
          <w:tcPr>
            <w:tcW w:w="20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617,96</w:t>
            </w:r>
          </w:p>
        </w:tc>
        <w:tc>
          <w:tcPr>
            <w:tcW w:w="1120" w:type="dxa"/>
            <w:vAlign w:val="bottom"/>
            <w:tcBorders>
              <w:top w:val="single" w:sz="8" w:color="CFF0FC"/>
            </w:tcBorders>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12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tcBorders>
              <w:top w:val="single" w:sz="8" w:color="CFF0FC"/>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w:t>
            </w:r>
          </w:p>
        </w:tc>
        <w:tc>
          <w:tcPr>
            <w:tcW w:w="940" w:type="dxa"/>
            <w:vAlign w:val="bottom"/>
            <w:tcBorders>
              <w:top w:val="single" w:sz="8" w:color="CFF0FC"/>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10,718</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12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-2065020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-2065020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-2065020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-2065020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-2065020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-307975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-307975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-307975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-307975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02" w:lineRule="exact"/>
        <w:rPr>
          <w:sz w:val="20"/>
          <w:szCs w:val="20"/>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revenue of $222.8 million, a 7.1% increase compared to the prior year period, with a constant currency revenue increase of 3.8% compared to the prior year period.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 the third quarter was 29.8%, which was flat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net loss attributable to shareholders of the parent was $65.3 million, which is an increase of $30.7 million compared to a net loss attributable to shareholders of the parent of $34.6 million in the prior year period primarily due to fair value losses on Convertible Notes.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Adjusted EBITDA was $3.1 million, which is an improvement of $8.2 million compared to the prior year period.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reaffirming its 2025 outlook on its primary guidance metrics as follows:</w:t>
      </w:r>
    </w:p>
    <w:p>
      <w:pPr>
        <w:spacing w:after="0" w:line="185" w:lineRule="exact"/>
        <w:rPr>
          <w:sz w:val="20"/>
          <w:szCs w:val="20"/>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approximately flat to +1%;</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positive $5 million to $15 million;</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approximately $20 million.</w:t>
      </w:r>
    </w:p>
    <w:p>
      <w:pPr>
        <w:sectPr>
          <w:pgSz w:w="11900" w:h="16838" w:orient="portrait"/>
          <w:cols w:equalWidth="0" w:num="1">
            <w:col w:w="11240"/>
          </w:cols>
          <w:pgMar w:left="320" w:top="772" w:right="3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4" w:name="page5"/>
    <w:bookmarkEnd w:id="4"/>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strategic review of its Greater China business is ongoing.</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quarter-end, on October 3, 2025, the Company completed its previously-announced refinancing by using proceeds from issuance of Nordic Bonds to prepay the Term Loan B Credit Agreement in full, repurchase and cancel certain of its U.S. Convertible Notes and by canceling, terminating, and replacing its existing revolving credit facility with a new super senior revolving credit facility.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Results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$14.8 million, or 7.1% to $222.8 million for the third quarter ended September 30, 2025, compared to $208.0 million for the prior year period. Excluding a foreign currency exchange tailwind of $6.8 million, revenue for the third quarter was $216.0 million, or an increase of 3.8% compared to the prior year period. The growth in constant currency revenue was primarily driven by another quarter of consistent performance in Europe &amp; International and by a strong quarter in Greater China, partially offset by decline in North America, driven mainly by reduction in revenue to the segment’s largest foodservice customer. Sold volume for the third quarter of 2025 increased 6.6% to 150.6 million liters compared to 141.3 million liters in the third quarter of 2024. Produced finished goods volume for the third quarter of 2025 was 147.6 million liters compared to 148.0 million liters for the third quarter of 2024.</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$66.3 million for the third quarter of 2025 compared to $62.0 million for the third quarter of 2024. Gross profit margin was 29.8% in the third quarter of 2025, which was flat compared to the prior year period. The margin stability compared to the third quarter of 2024 was explained by improvements in supply chain efficiency in Europe &amp; International and the benefits of foreign exchange, offset by declines due to lower volumes in North America, negative mix impact in Greater China, and inflation.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third quarter of 2025 decreased $6.3 million to $4.5 million compared to $10.9 million in the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mainly explained by expenses in the prior year period related to a new product launch issue in the North America segment.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the third quarter of 2025 decreased $4.6 million to $75.1 million compared to $79.7 million in the prior year period. The Company continued to take actions to reduce overhead expenses, which was partially offset by foreign exchange movements and increased customer distribution expenses related to increased sold volume.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and (expenses), net for the third quarter of 2025 was an expense of $3.6 million comprised primarily of $3.5 million in costs for the Company’s strategic review of the Greater China segment. Other operating income and (expenses), net for the prior year period was an expense of $0.4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income and (expenses), net for the third quarter of 2025 was an expense of $47.6 million comprised primarily of fair value losses on Convertible Notes of $32.2 million and net interest expenses of $15.2 million. The finance income and (expenses), net for the prior year period was an expense of $4.3 million comprised primarily of net interest expenses of $13.3 million, offset by fair value gains on Convertible Notes of $5.3 million and net foreign exchange gains of $4.5 million.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shareholders of the parent was $65.3 million for the third quarter of 2025 compared to a loss of $34.6 million in the prior year period. The increase in loss was primarily due to fair value losses on Convertible Notes, partially offset by higher gross profit, lower research and development and selling, general and administrative expenses.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for the third quarter of 2025 was $3.1 million, compared to a loss of $5.0 million in the prior year period. The improvement in Adjusted EBITDA was primarily a result of higher gross profit, lower research and development and selling, general and administrative expenses.</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EBITDA, Adjusted EBITDA loss, and Constant Currency Revenue are non-IFRS financial measures defined under “Non-IFRS financial measures”. Please see above revenue at constant currency table and “Reconciliation of IFRS to Non-IFRS Financial measures” at the end of this press release.</w:t>
      </w:r>
    </w:p>
    <w:p>
      <w:pPr>
        <w:spacing w:after="0" w:line="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 Adjusted EBITDA, EBITDA and loss before tax for the Company’s three reportable segments for the periods presented.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Revenue, Adjusted EBITDA and EBITDA</w:t>
      </w: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123,267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123,397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21,876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(19,076)</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(47,557)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0" w:type="dxa"/>
            <w:vAlign w:val="bottom"/>
          </w:tcPr>
          <w:p>
            <w:pPr>
              <w:spacing w:after="0"/>
              <w:rPr>
                <w:sz w:val="1"/>
                <w:szCs w:val="1"/>
                <w:color w:val="auto"/>
              </w:rPr>
            </w:pPr>
          </w:p>
        </w:tc>
      </w:tr>
      <w:tr>
        <w:trPr>
          <w:trHeight w:val="34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109,853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(1,325)</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111,178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69,073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29,074</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3,271</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(22,352)</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11,579</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(25,109)</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(16,244)</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(33,241)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349,125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350,399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185,167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94,388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61,673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(65,909)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(1,487)</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(6,417)</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(1,551)</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(972)</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60,322</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(5,065)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(73,298)</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(35,735)</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0" w:type="dxa"/>
            <w:vAlign w:val="bottom"/>
          </w:tcPr>
          <w:p>
            <w:pPr>
              <w:spacing w:after="0"/>
              <w:rPr>
                <w:sz w:val="1"/>
                <w:szCs w:val="1"/>
                <w:color w:val="auto"/>
              </w:rPr>
            </w:pPr>
          </w:p>
        </w:tc>
      </w:tr>
      <w:tr>
        <w:trPr>
          <w:trHeight w:val="31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(5,103)</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330,904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203,859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79,690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39,548</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4,049</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(2,234)</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(70,609)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(29,246)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3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(890)</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(1,940)</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(12,565)</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(12,565)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34,056</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(7,335)</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(5,936)</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(79,200)</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(58,415)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(38,034)</w:t>
            </w:r>
          </w:p>
        </w:tc>
        <w:tc>
          <w:tcPr>
            <w:tcW w:w="0" w:type="dxa"/>
            <w:vAlign w:val="bottom"/>
          </w:tcPr>
          <w:p>
            <w:pPr>
              <w:spacing w:after="0"/>
              <w:rPr>
                <w:sz w:val="1"/>
                <w:szCs w:val="1"/>
                <w:color w:val="auto"/>
              </w:rPr>
            </w:pPr>
          </w:p>
        </w:tc>
      </w:tr>
      <w:tr>
        <w:trPr>
          <w:trHeight w:val="22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8"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(2)Relates to costs related to the strategic review of the Greater China segment.</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18" w:lineRule="exact"/>
        <w:rPr>
          <w:rFonts w:ascii="Times New Roman" w:cs="Times New Roman" w:eastAsia="Times New Roman" w:hAnsi="Times New Roman"/>
          <w:sz w:val="16"/>
          <w:szCs w:val="16"/>
          <w:color w:val="auto"/>
        </w:rPr>
      </w:pPr>
    </w:p>
    <w:p>
      <w:pPr>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and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(5)Expenses related to a new product launch issue.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International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&amp; International revenue increased $13.4 million, or 12.2%, to $123.3 million for the third quarter of 2025, compared to $109.9 million in the prior year period. Excluding a foreign currency exchange tailwind of $6.8 million, Europe &amp; International revenue for the third quarter was $116.5 million, or an increase of 6.0%. For the third quarter of 2025, the volume growth was 8.4% primarily driven by growth in the Barista products. The revenue increase from volume growth for the third quarter was partially offset by a price/mix decline of 2.4%. Approximately 79% of Europe &amp; International revenue was from the retail channel for the third quarter of 2025 compared to 82% in the prior year period. The sold finished goods volume for the three months ended September 30, 2025 and 2024 amounted to 83.6 and 77.2 million liters, respectively.</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Europe &amp; International Adjusted EBITDA increased $9.5 million to $21.9 million for the third quarter of 2025 compared to $12.4 million in the prior year period. The improvement in Adjusted EBITDA was primarily driven by higher gross profit driven by higher revenue and continued supply chain productivity.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 w:name="page8"/>
    <w:bookmarkEnd w:id="7"/>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 America revenue decreased $7.0 million, or 10.1%, to $62.1 million for the third quarter of 2025, compared to $69.1 million in the prior year period. The sold finished goods volume for the three months ended September 30, 2025 and 2024 amounted to 34.4 million and 39.5 million liters, respectively. The 12.8% volume decrease was primarily due to reduction in sales to the segment’s largest foodservice customer. Approximately 61% of North America revenue was from the retail channel in the third quarter of compared to 52% in the prior year period.</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North America Adjusted EBITDA decreased $4.5 million to a loss of $1.3 million compared to a profit of $3.3 million in the prior year period. The reduction in Adjusted EBITDA was primarily due to lower gross profit, largely driven by lower sold volume and decreased fixed cost absorption.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China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Greater China revenue increased $8.4 million, or 28.8%, to $37.4 million for the third quarter of 2025, compared to $29.1 million in the prior year period. The foreign currency exchange impact was minor for the quarter. The Greater China segment growth was primarily driven by increased sales across both the Foodservice and retail channels. Approximately 66% of Greater China revenue was from the foodservice channel for the third quarter of 2025 compared to 72% in the prior year period. The sold finished goods volume for the three months ended September 30, 2025 and 2024 amounted to 32.5 million and 24.6 million liters, respectively.</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Greater China Adjusted EBITDA was stable versus prior year period at $1.6 million. The stability in EBITDA is explained by higher gross profit offset by higher selling, 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Oatly’s corporate expense, which consists of general costs not allocated to the segments, in the third quarter of 2025 was $21.4 million, a decrease of $3.8 million compared to the prior year period. Adjusted EBITDA in the third quarter of 2025 was a loss of $19.1 million compared to a loss of $22.4 million in the prior 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cash and cash equivalents of $58.9 million and total outstanding debt of $507.7 million consisting of Convertible Notes and liabilities to credit institutions. Net cash used in operating activities was $17.4 million for the nine months ended September 30, 2025, compared to $104.2 million during the prior year period, which was primarily driven by improved operating results and improvements in net working capital.</w:t>
      </w: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September 30, 2025, the Company issued Nordic Bonds with an initial issue amount of SEK 1,700 million and entered into a SEK 750 million super senior revolving credit facility. Following the satisfaction of certain conditions, the proceeds from the Nordic Bonds were released to the Company from escrow on October 3, 2025, and used to prepay the Term Loan B Credit Agreement in full, repurchase and cancel an aggregate amount of $42.9 million of its U.S. Convertible Notes and pay related transaction costs. Further, on October 3, 2025, the Company cancelled, terminated, and replaced its existing revolving credit facility with the new super senior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were $13.8 million for the nine months ended September 30, 2025, compared to $28.9 million in the prior year period.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$31.1 million for the nine months ended September 30, 2025 compared to an outflow of $133.1 million during the prior year period. The improvement in free cash flow was driven by decreased net cash flows used in operating activities and lower capital expenditures.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Free Cash Flow is a non-IFRS liquidity measure defined under “Non-IFRS financial measures.” Please see “Reconciliation of IFRS to Non-IFRS Financial measures” at the end of this press release.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Review of Greater China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its strategic review of the Company’s Greater China business announced last quarter.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definitive timetable for completing the strategic review.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Company’s outlook continues to include the expected results of the Greater China segment. Based on the Company’s assessment of the current operating environment and the actions it is taking, the Company is reaffirming its 2025 outlook for its primary metrics.</w:t>
      </w:r>
    </w:p>
    <w:p>
      <w:pPr>
        <w:spacing w:after="0" w:line="73" w:lineRule="exact"/>
        <w:rPr>
          <w:sz w:val="20"/>
          <w:szCs w:val="20"/>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revenue growth is expected to be in the range of approximately flat to +1%;</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positive $5 million to $15 million;</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approximately $20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recent foreign exchange rates, the full-year impact of foreign exchange is expected to be a tailwind to revenue growth by approximately 250 basis, compared to the prior expectation of a tailwind of approximately 150 basis points.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outlook is provided in the context of significant macroeconomic uncertainty and other geopolitical uncertainties.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Supplemental Presentation Details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Oatly will host a conference call and webcast at 8:00 a.m. ET today to discuss these results. The conference call, simultaneous, live webcast and supplemental presentation can be accessed on Oatly’s Investors website at https://investors.oatly.com under “Events.” The webcast will be archived for 30 days.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Oatly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50 countries globally.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www.oatly.com.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2025, profitability improvement, profitable growth in 2025,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our history of losses and how we may be unable to achieve or sustain profitability, including 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us; how a failure to obtain necessary capital when needed on acceptable terms, or at all, may force us to delay, limit, reduce or terminate our product manufacturing and development and other operations; those concerning our cash and cash equivalents maintained at financial institutions, often in balances that exceed federally insured limits;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51" w:lineRule="auto"/>
        <w:rPr>
          <w:sz w:val="20"/>
          <w:szCs w:val="20"/>
          <w:color w:val="auto"/>
        </w:rPr>
      </w:pPr>
      <w:r>
        <w:rPr>
          <w:rFonts w:ascii="Times New Roman" w:cs="Times New Roman" w:eastAsia="Times New Roman" w:hAnsi="Times New Roman"/>
          <w:sz w:val="18"/>
          <w:szCs w:val="18"/>
          <w:color w:val="auto"/>
        </w:rPr>
        <w:t>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uncertainty about future related mandatory disclosure requirements,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 risks associated with how our customers generally are not obligated to continue purchasing products from us; difficulties as we expand our operations into countries in which we have no prior operating experience; risks associated with the international nature of our business; the successful execution of the strategic review of the Company’s Greater China operations, the outcome of the strategic review and the market reaction thereto; how our operations in China could expose us to substantial business, regulatory, political, financial and economic risks; our strategic reset in Asia may not be successful; if we fail to comply with trade compliance and economic sanctions laws and regulations of the United States, the EU and other applicable international jurisdictions, it could materially adversely affect our reputation and results of operations;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global conflicts, other effects of ongoing wars and conflicts, and increasing geopolitical tensions and changes to international trade policies, treaties and tariffs, including as a result of the emergence of a trade war; the risk that legal claims, government investigations or other regulatory enforcement actions could subject us to civil and criminal penalties; how our operations are subject to U.S., EU, China and other laws and regulations, and there is no assurance that we will be in compliance with all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 failure to protect our intellectual property, enforce or defend our intellectual property and other proprietary rights adequately, which may impact our commercial success; if we are unable to remediate material weaknesses, or if other material weaknesses are identified, we may not be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and the other important factors discussed under the caption “Risk Factors” in our Annual Report on Form 20-F for the year ended December 31, 2024 filed with the U.S. Securities and Exchange Commission (“SEC”) on March 13, 2025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defined as 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discontinued construction of production facilities, expenses related to a new product launch issue and non-controlling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right="1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reduced cash available to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+1 866-704-0391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investors@oatly.com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press.us@oatly.com</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operations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7"/>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and ADS data)</w:t>
            </w:r>
          </w:p>
        </w:tc>
        <w:tc>
          <w:tcPr>
            <w:tcW w:w="12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222,796</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628,680</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609,350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(156,449)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(145,979)</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(432,378)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(434,475)</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66,347</w:t>
            </w:r>
          </w:p>
        </w:tc>
        <w:tc>
          <w:tcPr>
            <w:tcW w:w="24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62,021</w:t>
            </w:r>
          </w:p>
        </w:tc>
        <w:tc>
          <w:tcPr>
            <w:tcW w:w="26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196,302</w:t>
            </w:r>
          </w:p>
        </w:tc>
        <w:tc>
          <w:tcPr>
            <w:tcW w:w="2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174,875</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(4,524)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(10,867)</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(13,520)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(26,407)</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(75,146)</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(79,743)</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(236,755)</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(242,746)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(3,601)</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(2,171)</w:t>
            </w:r>
          </w:p>
        </w:tc>
      </w:tr>
      <w:tr>
        <w:trPr>
          <w:trHeight w:val="20"/>
        </w:trPr>
        <w:tc>
          <w:tcPr>
            <w:tcW w:w="5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(16,924)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(28,957)</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(57,631)</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(96,449)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(47,557)</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(4,284)</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(70,062)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(11,272)</w:t>
            </w:r>
          </w:p>
        </w:tc>
      </w:tr>
      <w:tr>
        <w:trPr>
          <w:trHeight w:val="20"/>
        </w:trPr>
        <w:tc>
          <w:tcPr>
            <w:tcW w:w="5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(64,481)</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(33,241)</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(127,693)</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(107,721)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(923)</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(1,389)</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(3,194)</w:t>
            </w:r>
          </w:p>
        </w:tc>
      </w:tr>
      <w:tr>
        <w:trPr>
          <w:trHeight w:val="20"/>
        </w:trPr>
        <w:tc>
          <w:tcPr>
            <w:tcW w:w="5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(65,404)</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(34,630)</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(133,881)</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(110,915)</w:t>
            </w:r>
          </w:p>
        </w:tc>
      </w:tr>
      <w:tr>
        <w:trPr>
          <w:trHeight w:val="197"/>
        </w:trPr>
        <w:tc>
          <w:tcPr>
            <w:tcW w:w="5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(65,287)</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(34,560)</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(133,628)</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(110,743)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(0.11)</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540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5400" w:type="dxa"/>
            <w:vAlign w:val="bottom"/>
            <w:tcBorders>
              <w:bottom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 ADS representing 20 ordinary shares):</w:t>
            </w:r>
          </w:p>
        </w:tc>
        <w:tc>
          <w:tcPr>
            <w:tcW w:w="12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5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4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(4.44)</w:t>
            </w:r>
          </w:p>
        </w:tc>
        <w:tc>
          <w:tcPr>
            <w:tcW w:w="1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(3.71)</w:t>
            </w:r>
          </w:p>
        </w:tc>
      </w:tr>
      <w:tr>
        <w:trPr>
          <w:trHeight w:val="20"/>
        </w:trPr>
        <w:tc>
          <w:tcPr>
            <w:tcW w:w="5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4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606,332,281</w:t>
            </w:r>
          </w:p>
        </w:tc>
        <w:tc>
          <w:tcPr>
            <w:tcW w:w="2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597,968,449</w:t>
            </w:r>
          </w:p>
        </w:tc>
        <w:tc>
          <w:tcPr>
            <w:tcW w:w="26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602,057,593</w:t>
            </w:r>
          </w:p>
        </w:tc>
        <w:tc>
          <w:tcPr>
            <w:tcW w:w="26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596,434,390</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-1499870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-1482090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-1499870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-1482090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-1499870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-1482090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-513715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-496570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-513715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-496570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-513715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-496570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financial position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134,432</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116,208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298,939</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294,199</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41,124</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45,555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42,138</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44,331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4,562</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521,195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504,854</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63,810</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65,602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95,717</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103,366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5,334</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20,410</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15,738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14,260</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58,903</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98,923</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258,434</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299,126</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779,629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1,628,156</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1,628,045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2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(236,768)</w:t>
            </w: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(274,160)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(1,372,806)</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(1,249,303)</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parent</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18,689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19,884</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106,123</w:t>
            </w: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27,033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31,724</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116,312</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116,216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5,962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149,307</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162,797</w:t>
            </w: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12,862</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386,783</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4,586</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5,757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70,862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60,152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8,262</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7,998</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109,332</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103,719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17,021</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610,438</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535,060</w:t>
            </w:r>
          </w:p>
        </w:tc>
      </w:tr>
      <w:tr>
        <w:trPr>
          <w:trHeight w:val="20"/>
        </w:trPr>
        <w:tc>
          <w:tcPr>
            <w:tcW w:w="660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759,745</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697,857</w:t>
            </w:r>
          </w:p>
        </w:tc>
      </w:tr>
      <w:tr>
        <w:trPr>
          <w:trHeight w:val="20"/>
        </w:trPr>
        <w:tc>
          <w:tcPr>
            <w:tcW w:w="66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779,629</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803,980</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-5382895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-4268470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-3977005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-3959860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-2562225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-1722120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-1704975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-316865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cash flows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7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(133,881)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(110,915)</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right-of-use assets and</w:t>
            </w: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100" w:type="dxa"/>
            <w:vAlign w:val="bottom"/>
          </w:tcPr>
          <w:p>
            <w:pPr>
              <w:spacing w:after="0"/>
              <w:rPr>
                <w:sz w:val="20"/>
                <w:szCs w:val="20"/>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of inventories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(gain)/loss on trade receivables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—Movements in provisions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(11,902)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(37,520)</w:t>
            </w: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reversal related to discontinued construction of production facilities</w:t>
            </w:r>
          </w:p>
        </w:tc>
        <w:tc>
          <w:tcPr>
            <w:tcW w:w="230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(187)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9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(17,807)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(18,767)</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(2,348)</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inventories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(15,110)</w:t>
            </w: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trade receivables, other current receivables, prepaid 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23,164</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—Increase/(decrease) in trade payables, other current liabilities, accrued expenses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9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(13,811)</w:t>
            </w:r>
          </w:p>
        </w:tc>
      </w:tr>
      <w:tr>
        <w:trPr>
          <w:trHeight w:val="20"/>
        </w:trPr>
        <w:tc>
          <w:tcPr>
            <w:tcW w:w="74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(17,359)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(104,192)</w:t>
            </w: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0" w:type="dxa"/>
            <w:vAlign w:val="bottom"/>
            <w:tcBorders>
              <w:top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(1,707)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(12,068)</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9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100" w:type="dxa"/>
            <w:vAlign w:val="bottom"/>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9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(12,986)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(3,743)</w:t>
            </w: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0" w:type="dxa"/>
            <w:vAlign w:val="bottom"/>
            <w:tcBorders>
              <w:top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liabilities to credit institutions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(2,006)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loan transaction costs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(1,020)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(9,369)</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(17,246)</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3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(12,284)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(24,223)</w:t>
            </w:r>
          </w:p>
        </w:tc>
      </w:tr>
      <w:tr>
        <w:trPr>
          <w:trHeight w:val="20"/>
        </w:trPr>
        <w:tc>
          <w:tcPr>
            <w:tcW w:w="7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3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(42,629)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(132,158)</w:t>
            </w: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98,923</w:t>
            </w:r>
          </w:p>
        </w:tc>
        <w:tc>
          <w:tcPr>
            <w:tcW w:w="90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00" w:type="dxa"/>
            <w:vAlign w:val="bottom"/>
            <w:tcBorders>
              <w:top w:val="single" w:sz="8" w:color="CFF0FC"/>
            </w:tcBorders>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 in cash and cash equivalents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9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58,903</w:t>
            </w:r>
          </w:p>
        </w:tc>
        <w:tc>
          <w:tcPr>
            <w:tcW w:w="9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119,333</w:t>
            </w:r>
          </w:p>
        </w:tc>
        <w:tc>
          <w:tcPr>
            <w:tcW w:w="10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-2425065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-1584960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-744855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-453390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Reconciliation of IFRS to Non-IFRS Financial measures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to loss for the period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(65,404)</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(34,630)</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(133,881)</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(110,915)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70,062</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35,735</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10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(4,664)</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(16,244)</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(21,896)</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(58,415)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3,116</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(5,045)</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(4,178)</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(29,246)</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(2)Relates to costs related to the strategic review of the Greater China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reversal of previously recognized exit costs related to closure of the Group’s production facility in Singapore.</w:t>
      </w:r>
    </w:p>
    <w:p>
      <w:pPr>
        <w:spacing w:after="0" w:line="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Group’s production facility in Peterborough, UK, and reversal of previously recognized non-cash impairments related to discontinued construction of the Group’s production facility in Dallas-Fort Worth, Texas.</w:t>
      </w: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Flows used in Operating Activities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8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(2,354)</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(18,179)</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(17,359)</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(104,192)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(3,076)</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(8,502)</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(13,775)</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(28,922)</w:t>
            </w:r>
          </w:p>
        </w:tc>
      </w:tr>
      <w:tr>
        <w:trPr>
          <w:trHeight w:val="20"/>
        </w:trPr>
        <w:tc>
          <w:tcPr>
            <w:tcW w:w="4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(5,430)</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(26,681)</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(31,134)</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(133,114)</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o"/>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2025-10-29T06:16:58Z</dcterms:created>
  <dcterms:modified xsi:type="dcterms:W3CDTF">2025-10-29T06:16:58Z</dcterms:modified>
</cp:coreProperties>
</file>