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DESCHEEMAEKER STEFAN</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74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05/20/2026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Ordinary Shares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8"/>
                <w:szCs w:val="18"/>
                <w:color w:val="0000FF"/>
              </w:rPr>
              <w:t>25,305</w:t>
            </w:r>
          </w:p>
        </w:tc>
        <w:tc>
          <w:tcPr>
            <w:tcW w:w="1060" w:type="dxa"/>
            <w:vAlign w:val="bottom"/>
            <w:tcBorders>
              <w:bottom w:val="single" w:sz="8" w:color="2C2C2C"/>
            </w:tcBorders>
          </w:tcPr>
          <w:p>
            <w:pPr>
              <w:ind w:left="900"/>
              <w:spacing w:after="0"/>
              <w:rPr>
                <w:sz w:val="20"/>
                <w:szCs w:val="20"/>
                <w:color w:val="auto"/>
              </w:rPr>
            </w:pPr>
            <w:r>
              <w:rPr>
                <w:rFonts w:ascii="Times New Roman" w:cs="Times New Roman" w:eastAsia="Times New Roman" w:hAnsi="Times New Roman"/>
                <w:sz w:val="18"/>
                <w:szCs w:val="18"/>
                <w:color w:val="0000FF"/>
              </w:rPr>
              <w:t>I</w:t>
            </w:r>
          </w:p>
        </w:tc>
        <w:tc>
          <w:tcPr>
            <w:tcW w:w="3320" w:type="dxa"/>
            <w:vAlign w:val="bottom"/>
            <w:tcBorders>
              <w:bottom w:val="single" w:sz="8" w:color="2C2C2C"/>
            </w:tcBorders>
            <w:gridSpan w:val="4"/>
          </w:tcPr>
          <w:p>
            <w:pPr>
              <w:ind w:left="520"/>
              <w:spacing w:after="0"/>
              <w:rPr>
                <w:sz w:val="20"/>
                <w:szCs w:val="20"/>
                <w:color w:val="auto"/>
              </w:rPr>
            </w:pPr>
            <w:r>
              <w:rPr>
                <w:rFonts w:ascii="Times New Roman" w:cs="Times New Roman" w:eastAsia="Times New Roman" w:hAnsi="Times New Roman"/>
                <w:sz w:val="18"/>
                <w:szCs w:val="18"/>
                <w:color w:val="0000FF"/>
              </w:rPr>
              <w:t>By SDS Invest SRL</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Ordinary Shares may be converted into ADSs at a conversion ratio of 20-to-1, at the election of the Reporting Person.</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Ordinary Shares are held by SDS Invest SRL, an entity owned by the Reporting Person and the Reporting Person's spouse. The entity is solely controlled by the Reporting Person.</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05/29/2026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3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(publ)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20 day of May,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Stefan Descheemaeker</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Stefan Descheemaeker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6020"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2026-05-28T19:13:37Z</dcterms:created>
  <dcterms:modified xsi:type="dcterms:W3CDTF">2026-05-28T19:13:37Z</dcterms:modified>
</cp:coreProperties>
</file>