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right="40"/>
        <w:spacing w:after="0" w:line="24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-233045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2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-676910</wp:posOffset>
            </wp:positionV>
            <wp:extent cx="125730" cy="125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380" w:type="dxa"/>
            <w:vAlign w:val="bottom"/>
          </w:tcPr>
          <w:p>
            <w:pPr>
              <w:jc w:val="center"/>
              <w:ind w:right="7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80" w:type="dxa"/>
            <w:vAlign w:val="bottom"/>
            <w:vMerge w:val="restart"/>
          </w:tcPr>
          <w:p>
            <w:pPr>
              <w:jc w:val="center"/>
              <w:ind w:right="7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0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74"/>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80" w:type="dxa"/>
            <w:vAlign w:val="bottom"/>
            <w:vMerge w:val="restart"/>
          </w:tcPr>
          <w:p>
            <w:pPr>
              <w:jc w:val="center"/>
              <w:ind w:right="7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5300980</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4032250</wp:posOffset>
            </wp:positionH>
            <wp:positionV relativeFrom="paragraph">
              <wp:posOffset>-641985</wp:posOffset>
            </wp:positionV>
            <wp:extent cx="59055" cy="655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-1595755</wp:posOffset>
            </wp:positionH>
            <wp:positionV relativeFrom="paragraph">
              <wp:posOffset>765810</wp:posOffset>
            </wp:positionV>
            <wp:extent cx="6990080"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0080" cy="5083175"/>
                    </a:xfrm>
                    <a:prstGeom prst="rect">
                      <a:avLst/>
                    </a:prstGeom>
                    <a:noFill/>
                  </pic:spPr>
                </pic:pic>
              </a:graphicData>
            </a:graphic>
          </wp:anchor>
        </w:drawing>
      </w:r>
    </w:p>
    <w:p>
      <w:pPr>
        <w:spacing w:after="0" w:line="1273" w:lineRule="exact"/>
        <w:rPr>
          <w:sz w:val="24"/>
          <w:szCs w:val="24"/>
          <w:color w:val="auto"/>
        </w:rPr>
      </w:pPr>
    </w:p>
    <w:p>
      <w:pPr>
        <w:sectPr>
          <w:pgSz w:w="11900" w:h="16838" w:orient="portrait"/>
          <w:cols w:equalWidth="0" w:num="2">
            <w:col w:w="2340" w:space="160"/>
            <w:col w:w="858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Broadbent Simon Kenneth James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ANGFARJEKAJEN 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Oatly Group AB</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05/30/2026</w:t>
      </w:r>
    </w:p>
    <w:p>
      <w:pPr>
        <w:spacing w:after="0" w:line="20" w:lineRule="exact"/>
        <w:rPr>
          <w:sz w:val="24"/>
          <w:szCs w:val="24"/>
          <w:color w:val="auto"/>
        </w:rPr>
      </w:pPr>
      <w:r>
        <w:rPr>
          <w:sz w:val="24"/>
          <w:szCs w:val="24"/>
          <w:color w:val="auto"/>
        </w:rPr>
        <w:br w:type="column"/>
      </w:r>
    </w:p>
    <w:p>
      <w:pPr>
        <w:ind w:left="7" w:right="560" w:hanging="7"/>
        <w:spacing w:after="0" w:line="26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7"/>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8" w:lineRule="exact"/>
        <w:rPr>
          <w:sz w:val="24"/>
          <w:szCs w:val="24"/>
          <w:color w:val="auto"/>
        </w:rPr>
      </w:pPr>
    </w:p>
    <w:p>
      <w:pPr>
        <w:ind w:left="527"/>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7"/>
        <w:spacing w:after="0"/>
        <w:rPr>
          <w:sz w:val="20"/>
          <w:szCs w:val="20"/>
          <w:color w:val="auto"/>
        </w:rPr>
      </w:pPr>
      <w:r>
        <w:rPr>
          <w:rFonts w:ascii="Times New Roman" w:cs="Times New Roman" w:eastAsia="Times New Roman" w:hAnsi="Times New Roman"/>
          <w:sz w:val="17"/>
          <w:szCs w:val="17"/>
          <w:color w:val="0000FF"/>
        </w:rPr>
        <w:t>SVP Operations &amp; Sust.</w:t>
      </w:r>
    </w:p>
    <w:p>
      <w:pPr>
        <w:spacing w:after="0" w:line="329" w:lineRule="exact"/>
        <w:rPr>
          <w:sz w:val="24"/>
          <w:szCs w:val="24"/>
          <w:color w:val="auto"/>
        </w:rPr>
      </w:pPr>
    </w:p>
    <w:p>
      <w:pPr>
        <w:sectPr>
          <w:pgSz w:w="11900" w:h="16838" w:orient="portrait"/>
          <w:cols w:equalWidth="0" w:num="3">
            <w:col w:w="3180" w:space="720"/>
            <w:col w:w="3113" w:space="720"/>
            <w:col w:w="3347"/>
          </w:cols>
          <w:pgMar w:left="460" w:top="218"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358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40" w:type="dxa"/>
            <w:vAlign w:val="bottom"/>
            <w:gridSpan w:val="10"/>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580" w:type="dxa"/>
            <w:vAlign w:val="bottom"/>
            <w:gridSpan w:val="7"/>
            <w:vMerge w:val="continue"/>
          </w:tcPr>
          <w:p>
            <w:pPr>
              <w:spacing w:after="0"/>
              <w:rPr>
                <w:sz w:val="8"/>
                <w:szCs w:val="8"/>
                <w:color w:val="auto"/>
              </w:rPr>
            </w:pPr>
          </w:p>
        </w:tc>
        <w:tc>
          <w:tcPr>
            <w:tcW w:w="20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4"/>
          </w:tcPr>
          <w:p>
            <w:pPr>
              <w:ind w:left="20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7"/>
                <w:szCs w:val="17"/>
                <w:color w:val="0000FF"/>
              </w:rPr>
              <w:t>MALMO</w:t>
            </w:r>
          </w:p>
        </w:tc>
        <w:tc>
          <w:tcPr>
            <w:tcW w:w="780" w:type="dxa"/>
            <w:vAlign w:val="bottom"/>
          </w:tcPr>
          <w:p>
            <w:pPr>
              <w:ind w:left="540"/>
              <w:spacing w:after="0"/>
              <w:rPr>
                <w:sz w:val="20"/>
                <w:szCs w:val="20"/>
                <w:color w:val="auto"/>
              </w:rPr>
            </w:pPr>
            <w:r>
              <w:rPr>
                <w:rFonts w:ascii="Times New Roman" w:cs="Times New Roman" w:eastAsia="Times New Roman" w:hAnsi="Times New Roman"/>
                <w:sz w:val="17"/>
                <w:szCs w:val="17"/>
                <w:color w:val="0000FF"/>
              </w:rPr>
              <w:t>V7</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211 19</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7"/>
          </w:tcPr>
          <w:p>
            <w:pPr>
              <w:ind w:left="140"/>
              <w:spacing w:after="0" w:line="140"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20" w:type="dxa"/>
            <w:vAlign w:val="bottom"/>
            <w:gridSpan w:val="2"/>
            <w:vMerge w:val="restart"/>
          </w:tcPr>
          <w:p>
            <w:pPr>
              <w:ind w:left="5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6"/>
          </w:tcPr>
          <w:p>
            <w:pPr>
              <w:spacing w:after="0"/>
              <w:rPr>
                <w:sz w:val="10"/>
                <w:szCs w:val="10"/>
                <w:color w:val="auto"/>
              </w:rPr>
            </w:pPr>
          </w:p>
        </w:tc>
        <w:tc>
          <w:tcPr>
            <w:tcW w:w="2500" w:type="dxa"/>
            <w:vAlign w:val="bottom"/>
            <w:tcBorders>
              <w:bottom w:val="single" w:sz="8" w:color="2C2C2C"/>
            </w:tcBorders>
            <w:gridSpan w:val="5"/>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3140" w:type="dxa"/>
            <w:vAlign w:val="bottom"/>
            <w:gridSpan w:val="8"/>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2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ADSs</w:t>
            </w:r>
          </w:p>
        </w:tc>
        <w:tc>
          <w:tcPr>
            <w:tcW w:w="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05/30/2026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34,825</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60" w:type="dxa"/>
            <w:vAlign w:val="bottom"/>
            <w:tcBorders>
              <w:bottom w:val="single" w:sz="8" w:color="2C2C2C"/>
            </w:tcBorders>
            <w:gridSpan w:val="3"/>
          </w:tcPr>
          <w:p>
            <w:pPr>
              <w:jc w:val="center"/>
              <w:ind w:right="240"/>
              <w:spacing w:after="0"/>
              <w:rPr>
                <w:sz w:val="20"/>
                <w:szCs w:val="20"/>
                <w:color w:val="auto"/>
              </w:rPr>
            </w:pPr>
            <w:r>
              <w:rPr>
                <w:rFonts w:ascii="Times New Roman" w:cs="Times New Roman" w:eastAsia="Times New Roman" w:hAnsi="Times New Roman"/>
                <w:sz w:val="17"/>
                <w:szCs w:val="17"/>
                <w:color w:val="0000FF"/>
              </w:rPr>
              <w:t>70,665</w:t>
            </w:r>
            <w:r>
              <w:rPr>
                <w:rFonts w:ascii="Times New Roman" w:cs="Times New Roman" w:eastAsia="Times New Roman" w:hAnsi="Times New Roman"/>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(3)</w:t>
            </w:r>
          </w:p>
        </w:tc>
        <w:tc>
          <w:tcPr>
            <w:tcW w:w="8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381,186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24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2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21.2</w:t>
            </w: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ADSs</w:t>
            </w: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11,666</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11,666</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gridSpan w:val="2"/>
          </w:tcPr>
          <w:p>
            <w:pPr>
              <w:ind w:left="60"/>
              <w:spacing w:after="0" w:line="71"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8"/>
                <w:szCs w:val="8"/>
                <w:color w:val="008000"/>
                <w:vertAlign w:val="superscript"/>
              </w:rPr>
              <w:t>(4)</w:t>
            </w:r>
          </w:p>
        </w:tc>
        <w:tc>
          <w:tcPr>
            <w:tcW w:w="78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-2070735</wp:posOffset>
            </wp:positionV>
            <wp:extent cx="29210" cy="2075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7518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80" w:hanging="134"/>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RSUs, which vest in three equal annual increments beginning 5/30/2027. Each RSU represents a right to receive one ADS in the Issuer.</w:t>
      </w:r>
    </w:p>
    <w:p>
      <w:pPr>
        <w:spacing w:after="0" w:line="48" w:lineRule="exact"/>
        <w:rPr>
          <w:rFonts w:ascii="Times New Roman" w:cs="Times New Roman" w:eastAsia="Times New Roman" w:hAnsi="Times New Roman"/>
          <w:sz w:val="13"/>
          <w:szCs w:val="13"/>
          <w:color w:val="008000"/>
        </w:rPr>
      </w:pPr>
    </w:p>
    <w:p>
      <w:pPr>
        <w:ind w:left="40" w:right="160" w:firstLine="6"/>
        <w:spacing w:after="0" w:line="269"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RSUs, each RSU represents a right to receive one ADS in the Issuer. 667 RSUs vest on 5/30/2027, 20,336 RSUs will vest in two equal annual increments beginning 5/30/2027, and 34,825 RSUs will vest in three equal annual increments beginning 5/30/2027. There are no voting or dividend rights prior to vesting.</w:t>
      </w:r>
    </w:p>
    <w:p>
      <w:pPr>
        <w:spacing w:after="0" w:line="8" w:lineRule="exact"/>
        <w:rPr>
          <w:rFonts w:ascii="Times New Roman" w:cs="Times New Roman" w:eastAsia="Times New Roman" w:hAnsi="Times New Roman"/>
          <w:sz w:val="13"/>
          <w:szCs w:val="13"/>
          <w:color w:val="008000"/>
        </w:rPr>
      </w:pPr>
    </w:p>
    <w:p>
      <w:pPr>
        <w:ind w:left="180" w:hanging="134"/>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Ordinary Shares may be converted into ADSs at a conversion ratio of 20-to-1, at the election of the Reporting Person.</w:t>
      </w:r>
    </w:p>
    <w:p>
      <w:pPr>
        <w:spacing w:after="0" w:line="48" w:lineRule="exact"/>
        <w:rPr>
          <w:rFonts w:ascii="Times New Roman" w:cs="Times New Roman" w:eastAsia="Times New Roman" w:hAnsi="Times New Roman"/>
          <w:sz w:val="13"/>
          <w:szCs w:val="13"/>
          <w:color w:val="008000"/>
        </w:rPr>
      </w:pPr>
    </w:p>
    <w:p>
      <w:pPr>
        <w:ind w:left="180" w:hanging="134"/>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stock option represents a right to receive one ADS in the Issuer.</w:t>
      </w:r>
    </w:p>
    <w:p>
      <w:pPr>
        <w:spacing w:after="0" w:line="48" w:lineRule="exact"/>
        <w:rPr>
          <w:rFonts w:ascii="Times New Roman" w:cs="Times New Roman" w:eastAsia="Times New Roman" w:hAnsi="Times New Roman"/>
          <w:sz w:val="13"/>
          <w:szCs w:val="13"/>
          <w:color w:val="008000"/>
        </w:rPr>
      </w:pPr>
    </w:p>
    <w:p>
      <w:pPr>
        <w:ind w:left="180" w:hanging="134"/>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 in three equal annual increments beginning 5/30/2025.</w:t>
      </w:r>
    </w:p>
    <w:p>
      <w:pPr>
        <w:spacing w:after="0" w:line="48" w:lineRule="exact"/>
        <w:rPr>
          <w:rFonts w:ascii="Times New Roman" w:cs="Times New Roman" w:eastAsia="Times New Roman" w:hAnsi="Times New Roman"/>
          <w:sz w:val="13"/>
          <w:szCs w:val="13"/>
          <w:color w:val="008000"/>
        </w:rPr>
      </w:pPr>
    </w:p>
    <w:p>
      <w:pPr>
        <w:ind w:left="180" w:hanging="134"/>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expire five years after the relevant vesting date.</w:t>
      </w:r>
    </w:p>
    <w:p>
      <w:pPr>
        <w:spacing w:after="0" w:line="6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Timothy Sjovall, pursuant to</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06/02/2026</w:t>
            </w:r>
          </w:p>
        </w:tc>
        <w:tc>
          <w:tcPr>
            <w:tcW w:w="0" w:type="dxa"/>
            <w:vAlign w:val="bottom"/>
          </w:tcPr>
          <w:p>
            <w:pPr>
              <w:spacing w:after="0"/>
              <w:rPr>
                <w:sz w:val="1"/>
                <w:szCs w:val="1"/>
                <w:color w:val="auto"/>
              </w:rPr>
            </w:pPr>
          </w:p>
        </w:tc>
      </w:tr>
      <w:tr>
        <w:trPr>
          <w:trHeight w:val="86"/>
        </w:trPr>
        <w:tc>
          <w:tcPr>
            <w:tcW w:w="1220" w:type="dxa"/>
            <w:vAlign w:val="bottom"/>
            <w:tcBorders>
              <w:top w:val="single" w:sz="8" w:color="auto"/>
            </w:tcBorders>
            <w:vMerge w:val="restart"/>
          </w:tcPr>
          <w:p>
            <w:pPr>
              <w:spacing w:after="0" w:line="192" w:lineRule="exact"/>
              <w:rPr>
                <w:sz w:val="20"/>
                <w:szCs w:val="20"/>
                <w:color w:val="auto"/>
              </w:rPr>
            </w:pPr>
            <w:r>
              <w:rPr>
                <w:rFonts w:ascii="Times New Roman" w:cs="Times New Roman" w:eastAsia="Times New Roman" w:hAnsi="Times New Roman"/>
                <w:sz w:val="17"/>
                <w:szCs w:val="17"/>
                <w:color w:val="0000FF"/>
                <w:w w:val="99"/>
              </w:rPr>
              <w:t>power of attorney</w:t>
            </w:r>
          </w:p>
        </w:tc>
        <w:tc>
          <w:tcPr>
            <w:tcW w:w="74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20" w:type="dxa"/>
            <w:vAlign w:val="bottom"/>
            <w:tcBorders>
              <w:top w:val="single" w:sz="8" w:color="auto"/>
              <w:bottom w:val="single" w:sz="8" w:color="auto"/>
            </w:tcBorders>
            <w:vMerge w:val="continue"/>
          </w:tcPr>
          <w:p>
            <w:pPr>
              <w:spacing w:after="0"/>
              <w:rPr>
                <w:sz w:val="7"/>
                <w:szCs w:val="7"/>
                <w:color w:val="auto"/>
              </w:rPr>
            </w:pPr>
          </w:p>
        </w:tc>
        <w:tc>
          <w:tcPr>
            <w:tcW w:w="74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4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8"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SECTION 16</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302" w:lineRule="exact"/>
        <w:rPr>
          <w:sz w:val="20"/>
          <w:szCs w:val="20"/>
          <w:color w:val="auto"/>
        </w:rPr>
      </w:pPr>
    </w:p>
    <w:p>
      <w:pPr>
        <w:jc w:val="both"/>
        <w:ind w:left="380" w:right="399" w:firstLine="401"/>
        <w:spacing w:after="0" w:line="265"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Pontus Mattsson, Timothy Sjövall, Brian Kearney, Martin Lind, Suzanne Lindstén and Johanna Ståhl, or any of them, the undersigned’s true and lawful attorney-in-fact to:</w:t>
      </w:r>
    </w:p>
    <w:p>
      <w:pPr>
        <w:spacing w:after="0" w:line="163" w:lineRule="exact"/>
        <w:rPr>
          <w:sz w:val="20"/>
          <w:szCs w:val="20"/>
          <w:color w:val="auto"/>
        </w:rPr>
      </w:pPr>
    </w:p>
    <w:p>
      <w:pPr>
        <w:jc w:val="both"/>
        <w:ind w:left="380" w:right="399" w:firstLine="637"/>
        <w:spacing w:after="0" w:line="265" w:lineRule="auto"/>
        <w:tabs>
          <w:tab w:leader="none" w:pos="1403"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of Oatly Group AB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Forms 3, 4, and 5 in accordance with Section 16(a) of the Securities Exchange Act of 1934 (the “</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 and the rules thereunder;</w:t>
      </w:r>
    </w:p>
    <w:p>
      <w:pPr>
        <w:spacing w:after="0" w:line="162" w:lineRule="exact"/>
        <w:rPr>
          <w:rFonts w:ascii="Times New Roman" w:cs="Times New Roman" w:eastAsia="Times New Roman" w:hAnsi="Times New Roman"/>
          <w:sz w:val="19"/>
          <w:szCs w:val="19"/>
          <w:color w:val="auto"/>
        </w:rPr>
      </w:pPr>
    </w:p>
    <w:p>
      <w:pPr>
        <w:jc w:val="both"/>
        <w:ind w:left="380" w:right="379" w:firstLine="390"/>
        <w:spacing w:after="0" w:line="265" w:lineRule="auto"/>
        <w:tabs>
          <w:tab w:leader="none" w:pos="1156"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62" w:lineRule="exact"/>
        <w:rPr>
          <w:rFonts w:ascii="Times New Roman" w:cs="Times New Roman" w:eastAsia="Times New Roman" w:hAnsi="Times New Roman"/>
          <w:sz w:val="19"/>
          <w:szCs w:val="19"/>
          <w:color w:val="auto"/>
        </w:rPr>
      </w:pPr>
    </w:p>
    <w:p>
      <w:pPr>
        <w:jc w:val="both"/>
        <w:ind w:left="380" w:right="379" w:firstLine="390"/>
        <w:spacing w:after="0" w:line="256" w:lineRule="auto"/>
        <w:tabs>
          <w:tab w:leader="none" w:pos="1156"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jc w:val="both"/>
        <w:ind w:left="380" w:right="379" w:firstLine="388"/>
        <w:spacing w:after="0" w:line="251"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0" w:lineRule="exact"/>
        <w:rPr>
          <w:sz w:val="20"/>
          <w:szCs w:val="20"/>
          <w:color w:val="auto"/>
        </w:rPr>
      </w:pPr>
    </w:p>
    <w:p>
      <w:pPr>
        <w:jc w:val="both"/>
        <w:ind w:left="380" w:right="379" w:firstLine="388"/>
        <w:spacing w:after="0" w:line="259"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8" w:lineRule="exact"/>
        <w:rPr>
          <w:sz w:val="20"/>
          <w:szCs w:val="20"/>
          <w:color w:val="auto"/>
        </w:rPr>
      </w:pPr>
    </w:p>
    <w:p>
      <w:pPr>
        <w:jc w:val="both"/>
        <w:ind w:left="380" w:right="379"/>
        <w:spacing w:after="0" w:line="284" w:lineRule="auto"/>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16 day of February, 2026.</w:t>
      </w:r>
    </w:p>
    <w:p>
      <w:pPr>
        <w:spacing w:after="0" w:line="356" w:lineRule="exact"/>
        <w:rPr>
          <w:sz w:val="20"/>
          <w:szCs w:val="20"/>
          <w:color w:val="auto"/>
        </w:rPr>
      </w:pPr>
    </w:p>
    <w:tbl>
      <w:tblPr>
        <w:tblLayout w:type="fixed"/>
        <w:tblInd w:w="480" w:type="dxa"/>
        <w:tblCellMar>
          <w:top w:w="0" w:type="dxa"/>
          <w:left w:w="0" w:type="dxa"/>
          <w:bottom w:w="0" w:type="dxa"/>
          <w:right w:w="0" w:type="dxa"/>
        </w:tblCellMar>
      </w:tblPr>
      <w:tr>
        <w:trPr>
          <w:trHeight w:val="24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2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/s/ Simon Broadbent</w:t>
            </w:r>
          </w:p>
        </w:tc>
      </w:tr>
      <w:tr>
        <w:trPr>
          <w:trHeight w:val="246"/>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23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Simon Broadbent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2103755</wp:posOffset>
            </wp:positionV>
            <wp:extent cx="689800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898005" cy="41910"/>
                    </a:xfrm>
                    <a:prstGeom prst="rect">
                      <a:avLst/>
                    </a:prstGeom>
                    <a:noFill/>
                  </pic:spPr>
                </pic:pic>
              </a:graphicData>
            </a:graphic>
          </wp:anchor>
        </w:drawing>
      </w:r>
    </w:p>
    <w:p>
      <w:pPr>
        <w:sectPr>
          <w:pgSz w:w="11900" w:h="16838" w:orient="portrait"/>
          <w:cols w:equalWidth="0" w:num="1">
            <w:col w:w="9019"/>
          </w:cols>
          <w:pgMar w:left="1440" w:top="1383"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1"/>
    </w:lvl>
  </w:abstractNum>
  <w:abstractNum w:abstractNumId="4">
    <w:nsid w:val="46E87CCD"/>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118257" TargetMode="External"/><Relationship Id="rId14"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2026-06-02T18:25:41Z</dcterms:created>
  <dcterms:modified xsi:type="dcterms:W3CDTF">2026-06-02T18:25:41Z</dcterms:modified>
</cp:coreProperties>
</file>