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128270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170815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month of April 2026</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128270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Oatly Group AB (publ)</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174625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Ångfärjekajen 8</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211 19 Malmö</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183515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27"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1299210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557530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5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2428875</wp:posOffset>
            </wp:positionV>
            <wp:extent cx="1671320" cy="1620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Group AB (publ)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condensed consolidated financial statements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610235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r>
      <w:tr>
        <w:trPr>
          <w:trHeight w:val="414"/>
        </w:trPr>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00" w:type="dxa"/>
            <w:vAlign w:val="bottom"/>
          </w:tcPr>
          <w:p>
            <w:pPr>
              <w:spacing w:after="0"/>
              <w:rPr>
                <w:sz w:val="24"/>
                <w:szCs w:val="24"/>
                <w:color w:val="auto"/>
              </w:rPr>
            </w:pPr>
          </w:p>
        </w:tc>
      </w:tr>
      <w:tr>
        <w:trPr>
          <w:trHeight w:val="194"/>
        </w:trPr>
        <w:tc>
          <w:tcPr>
            <w:tcW w:w="90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2200" w:type="dxa"/>
            <w:vAlign w:val="bottom"/>
          </w:tcPr>
          <w:p>
            <w:pPr>
              <w:spacing w:after="0"/>
              <w:rPr>
                <w:sz w:val="16"/>
                <w:szCs w:val="16"/>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1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Interim Condensed Consolidated Statement of Operations</w:t>
            </w:r>
          </w:p>
        </w:tc>
        <w:tc>
          <w:tcPr>
            <w:tcW w:w="4860" w:type="dxa"/>
            <w:vAlign w:val="bottom"/>
            <w:gridSpan w:val="9"/>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Comprehensive (Loss)/Income</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60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Financial Position</w:t>
            </w:r>
          </w:p>
        </w:tc>
        <w:tc>
          <w:tcPr>
            <w:tcW w:w="3440" w:type="dxa"/>
            <w:vAlign w:val="bottom"/>
            <w:gridSpan w:val="2"/>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7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Interim Condensed Consolidated Statement of Changes in Equity</w:t>
            </w:r>
          </w:p>
        </w:tc>
        <w:tc>
          <w:tcPr>
            <w:tcW w:w="4320" w:type="dxa"/>
            <w:vAlign w:val="bottom"/>
            <w:gridSpan w:val="6"/>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Cash Flows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the Interim Condensed Consolidated Financial Statements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5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8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2020" w:type="dxa"/>
            <w:vAlign w:val="bottom"/>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18"/>
        </w:trPr>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200" w:type="dxa"/>
            <w:vAlign w:val="bottom"/>
          </w:tcPr>
          <w:p>
            <w:pPr>
              <w:spacing w:after="0"/>
              <w:rPr>
                <w:sz w:val="18"/>
                <w:szCs w:val="18"/>
                <w:color w:val="auto"/>
              </w:rPr>
            </w:pPr>
          </w:p>
        </w:tc>
      </w:tr>
      <w:tr>
        <w:trPr>
          <w:trHeight w:val="194"/>
        </w:trPr>
        <w:tc>
          <w:tcPr>
            <w:tcW w:w="5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140" w:type="dxa"/>
            <w:vAlign w:val="bottom"/>
            <w:gridSpan w:val="12"/>
          </w:tcPr>
          <w:p>
            <w:pPr>
              <w:spacing w:after="0"/>
              <w:rPr>
                <w:sz w:val="16"/>
                <w:szCs w:val="16"/>
                <w:color w:val="auto"/>
              </w:rPr>
            </w:pPr>
          </w:p>
        </w:tc>
        <w:tc>
          <w:tcPr>
            <w:tcW w:w="2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7440" w:type="dxa"/>
            <w:vAlign w:val="bottom"/>
            <w:gridSpan w:val="13"/>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500" w:type="dxa"/>
            <w:vAlign w:val="bottom"/>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54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140" w:type="dxa"/>
            <w:vAlign w:val="bottom"/>
            <w:gridSpan w:val="4"/>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28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160" w:type="dxa"/>
            <w:vAlign w:val="bottom"/>
            <w:gridSpan w:val="10"/>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215"/>
        </w:trPr>
        <w:tc>
          <w:tcPr>
            <w:tcW w:w="5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228,325</w:t>
            </w:r>
          </w:p>
        </w:tc>
        <w:tc>
          <w:tcPr>
            <w:tcW w:w="2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(151,985)</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(135,200)</w:t>
            </w: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76,340</w:t>
            </w:r>
          </w:p>
        </w:tc>
        <w:tc>
          <w:tcPr>
            <w:tcW w:w="2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(4,876)</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(4,391)</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(83,470)</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(77,498)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(11,349)</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(18,591)</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(12,253)</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(9,180)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(3,351)</w:t>
            </w:r>
          </w:p>
        </w:tc>
      </w:tr>
      <w:tr>
        <w:trPr>
          <w:trHeight w:val="20"/>
        </w:trPr>
        <w:tc>
          <w:tcPr>
            <w:tcW w:w="7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(12,129)</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(12,531)</w:t>
            </w:r>
          </w:p>
        </w:tc>
      </w:tr>
      <w:tr>
        <w:trPr>
          <w:trHeight w:val="197"/>
        </w:trPr>
        <w:tc>
          <w:tcPr>
            <w:tcW w:w="7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7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(12,006)</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(12,430)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7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74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5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(0.03)</w:t>
            </w:r>
          </w:p>
        </w:tc>
      </w:tr>
      <w:tr>
        <w:trPr>
          <w:trHeight w:val="174"/>
        </w:trPr>
        <w:tc>
          <w:tcPr>
            <w:tcW w:w="714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w:t>
            </w:r>
          </w:p>
        </w:tc>
        <w:tc>
          <w:tcPr>
            <w:tcW w:w="7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7"/>
                <w:szCs w:val="17"/>
                <w:color w:val="auto"/>
              </w:rPr>
            </w:pPr>
          </w:p>
        </w:tc>
        <w:tc>
          <w:tcPr>
            <w:tcW w:w="16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15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(0.51)</w:t>
            </w:r>
          </w:p>
        </w:tc>
      </w:tr>
      <w:tr>
        <w:trPr>
          <w:trHeight w:val="20"/>
        </w:trPr>
        <w:tc>
          <w:tcPr>
            <w:tcW w:w="7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624,500,001</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598,559,840</w:t>
            </w:r>
          </w:p>
        </w:tc>
        <w:tc>
          <w:tcPr>
            <w:tcW w:w="10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1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74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624,500,001</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999,176,184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-1962785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-1945005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-1087755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-1071245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-650875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-633730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Comprehensive (Loss)/Income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5"/>
                <w:szCs w:val="15"/>
                <w:color w:val="auto"/>
              </w:rPr>
            </w:pPr>
          </w:p>
        </w:tc>
        <w:tc>
          <w:tcPr>
            <w:tcW w:w="342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2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(12,129)</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(12,531)</w:t>
            </w:r>
          </w:p>
        </w:tc>
      </w:tr>
      <w:tr>
        <w:trPr>
          <w:trHeight w:val="209"/>
        </w:trPr>
        <w:tc>
          <w:tcPr>
            <w:tcW w:w="7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operations (net of tax):</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(loss)/income for the period</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(5,866)</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24,697</w:t>
            </w:r>
          </w:p>
        </w:tc>
        <w:tc>
          <w:tcPr>
            <w:tcW w:w="100" w:type="dxa"/>
            <w:vAlign w:val="bottom"/>
            <w:shd w:val="clear" w:color="auto" w:fill="CFF0FC"/>
          </w:tcPr>
          <w:p>
            <w:pPr>
              <w:spacing w:after="0"/>
              <w:rPr>
                <w:sz w:val="18"/>
                <w:szCs w:val="18"/>
                <w:color w:val="auto"/>
              </w:rPr>
            </w:pPr>
          </w:p>
        </w:tc>
      </w:tr>
      <w:tr>
        <w:trPr>
          <w:trHeight w:val="20"/>
        </w:trPr>
        <w:tc>
          <w:tcPr>
            <w:tcW w:w="7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 for the period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(17,995)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10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(17,891)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-1148080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-582295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5"/>
                <w:szCs w:val="15"/>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132,023</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137,747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284,148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294,688</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35,156</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504,642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522,010</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76,760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68,537</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96,196</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103,522</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49,414</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252,574</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265,187</w:t>
            </w:r>
          </w:p>
        </w:tc>
        <w:tc>
          <w:tcPr>
            <w:tcW w:w="100" w:type="dxa"/>
            <w:vAlign w:val="bottom"/>
          </w:tcPr>
          <w:p>
            <w:pPr>
              <w:spacing w:after="0"/>
              <w:rPr>
                <w:sz w:val="18"/>
                <w:szCs w:val="18"/>
                <w:color w:val="auto"/>
              </w:rPr>
            </w:pPr>
          </w:p>
        </w:tc>
      </w:tr>
      <w:tr>
        <w:trPr>
          <w:trHeight w:val="25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757,216</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100" w:type="dxa"/>
            <w:vAlign w:val="bottom"/>
            <w:shd w:val="clear" w:color="auto" w:fill="CFF0FC"/>
          </w:tcPr>
          <w:p>
            <w:pPr>
              <w:spacing w:after="0"/>
              <w:rPr>
                <w:sz w:val="21"/>
                <w:szCs w:val="21"/>
                <w:color w:val="auto"/>
              </w:rPr>
            </w:pPr>
          </w:p>
        </w:tc>
      </w:tr>
      <w:tr>
        <w:trPr>
          <w:trHeight w:val="196"/>
        </w:trPr>
        <w:tc>
          <w:tcPr>
            <w:tcW w:w="7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(231,236)</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(225,351)</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(1,406,942)</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(1,397,805)</w:t>
            </w: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3,533</w:t>
            </w:r>
          </w:p>
        </w:tc>
        <w:tc>
          <w:tcPr>
            <w:tcW w:w="2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18,555</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4,545</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19,671</w:t>
            </w:r>
          </w:p>
        </w:tc>
        <w:tc>
          <w:tcPr>
            <w:tcW w:w="100" w:type="dxa"/>
            <w:vAlign w:val="bottom"/>
            <w:shd w:val="clear" w:color="auto" w:fill="CFF0FC"/>
          </w:tcPr>
          <w:p>
            <w:pPr>
              <w:spacing w:after="0"/>
              <w:rPr>
                <w:sz w:val="18"/>
                <w:szCs w:val="18"/>
                <w:color w:val="auto"/>
              </w:rPr>
            </w:pP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175,682</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182,783</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197,392</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210,209</w:t>
            </w:r>
          </w:p>
        </w:tc>
        <w:tc>
          <w:tcPr>
            <w:tcW w:w="100" w:type="dxa"/>
            <w:vAlign w:val="bottom"/>
            <w:shd w:val="clear" w:color="auto" w:fill="CFF0FC"/>
          </w:tcPr>
          <w:p>
            <w:pPr>
              <w:spacing w:after="0"/>
              <w:rPr>
                <w:sz w:val="18"/>
                <w:szCs w:val="18"/>
                <w:color w:val="auto"/>
              </w:rPr>
            </w:pP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337,428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340,266</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68,493</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109,923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107,932</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555,279</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557,317</w:t>
            </w:r>
          </w:p>
        </w:tc>
        <w:tc>
          <w:tcPr>
            <w:tcW w:w="100" w:type="dxa"/>
            <w:vAlign w:val="bottom"/>
          </w:tcPr>
          <w:p>
            <w:pPr>
              <w:spacing w:after="0"/>
              <w:rPr>
                <w:sz w:val="18"/>
                <w:szCs w:val="18"/>
                <w:color w:val="auto"/>
              </w:rPr>
            </w:pPr>
          </w:p>
        </w:tc>
      </w:tr>
      <w:tr>
        <w:trPr>
          <w:trHeight w:val="209"/>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752,671</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767,526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757,216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10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-5228590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-5228590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-4114165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-3822700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-3805555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-2407920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-1567815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-462280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Changes in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1,641,601</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(225,351)</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(1,397,805)</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18,555</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19,671</w:t>
            </w: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(12,006)</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(12,006)</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(12,129)</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0" w:type="dxa"/>
            <w:vAlign w:val="bottom"/>
          </w:tcPr>
          <w:p>
            <w:pPr>
              <w:spacing w:after="0"/>
              <w:rPr>
                <w:sz w:val="1"/>
                <w:szCs w:val="1"/>
                <w:color w:val="auto"/>
              </w:rPr>
            </w:pPr>
          </w:p>
        </w:tc>
      </w:tr>
      <w:tr>
        <w:trPr>
          <w:trHeight w:val="187"/>
        </w:trPr>
        <w:tc>
          <w:tcPr>
            <w:tcW w:w="3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(5,885)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(12,006)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(17,891)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(17,995)</w:t>
            </w:r>
          </w:p>
        </w:tc>
        <w:tc>
          <w:tcPr>
            <w:tcW w:w="0" w:type="dxa"/>
            <w:vAlign w:val="bottom"/>
          </w:tcPr>
          <w:p>
            <w:pPr>
              <w:spacing w:after="0"/>
              <w:rPr>
                <w:sz w:val="1"/>
                <w:szCs w:val="1"/>
                <w:color w:val="auto"/>
              </w:rPr>
            </w:pPr>
          </w:p>
        </w:tc>
      </w:tr>
      <w:tr>
        <w:trPr>
          <w:trHeight w:val="103"/>
        </w:trPr>
        <w:tc>
          <w:tcPr>
            <w:tcW w:w="30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2,869</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2,869</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1,641,601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(231,236)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(1,406,942)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4,545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(274,160)</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(1,249,303)</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0" w:type="dxa"/>
            <w:vAlign w:val="bottom"/>
          </w:tcPr>
          <w:p>
            <w:pPr>
              <w:spacing w:after="0"/>
              <w:rPr>
                <w:sz w:val="1"/>
                <w:szCs w:val="1"/>
                <w:color w:val="auto"/>
              </w:rPr>
            </w:pPr>
          </w:p>
        </w:tc>
      </w:tr>
      <w:tr>
        <w:trPr>
          <w:trHeight w:val="187"/>
        </w:trPr>
        <w:tc>
          <w:tcPr>
            <w:tcW w:w="3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24,695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(12,430)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12,265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0" w:type="dxa"/>
            <w:vAlign w:val="bottom"/>
          </w:tcPr>
          <w:p>
            <w:pPr>
              <w:spacing w:after="0"/>
              <w:rPr>
                <w:sz w:val="1"/>
                <w:szCs w:val="1"/>
                <w:color w:val="auto"/>
              </w:rPr>
            </w:pPr>
          </w:p>
        </w:tc>
      </w:tr>
      <w:tr>
        <w:trPr>
          <w:trHeight w:val="103"/>
        </w:trPr>
        <w:tc>
          <w:tcPr>
            <w:tcW w:w="30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(249,465)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(1,258,141)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120,545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121,881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-2673985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-2656840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-2673985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-2656840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-2673985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-2656840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-2673985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-2656840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-2673985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-2656840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-2673985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-2656840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-2673985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-2656840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-2373630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-2373630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-2373630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-2373630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-2373630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-2373630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-2373630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-1953895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-1953895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-1953895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-1953895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-1953895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-1953895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-1953895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-890905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-873760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-890905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-873760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-890905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-873760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-890905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-873760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-890905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-873760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-890905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-873760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-890905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-873760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-591185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-591185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-591185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-591185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-591185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-591185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-591185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3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80" w:type="dxa"/>
            <w:vAlign w:val="bottom"/>
            <w:gridSpan w:val="2"/>
            <w:vMerge w:val="continue"/>
          </w:tcPr>
          <w:p>
            <w:pPr>
              <w:spacing w:after="0"/>
              <w:rPr>
                <w:sz w:val="12"/>
                <w:szCs w:val="12"/>
                <w:color w:val="auto"/>
              </w:rPr>
            </w:pPr>
          </w:p>
        </w:tc>
        <w:tc>
          <w:tcPr>
            <w:tcW w:w="1500" w:type="dxa"/>
            <w:vAlign w:val="bottom"/>
            <w:tcBorders>
              <w:top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(12,129)</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 amortization of</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9,10,11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1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22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trade receivables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—Movements in provisions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(4,147)</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(9,411)</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plant and equipment and intangible assets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(6,239)</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(5,944)</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 in inventories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(10,012)</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—Increase/(decrease) in trade payables, other current liabilities, accrued expenses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(7,871)</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(5,201)</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(13,558)</w:t>
            </w: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(5,646)</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(6,660)</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(6,265)</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(6,649)</w:t>
            </w:r>
          </w:p>
        </w:tc>
        <w:tc>
          <w:tcPr>
            <w:tcW w:w="0" w:type="dxa"/>
            <w:vAlign w:val="bottom"/>
          </w:tcPr>
          <w:p>
            <w:pPr>
              <w:spacing w:after="0"/>
              <w:rPr>
                <w:sz w:val="1"/>
                <w:szCs w:val="1"/>
                <w:color w:val="auto"/>
              </w:rPr>
            </w:pPr>
          </w:p>
        </w:tc>
      </w:tr>
      <w:tr>
        <w:trPr>
          <w:trHeight w:val="20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(3,118)</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(2,823)</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(5,064)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(14,289)</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(25,271)</w:t>
            </w:r>
          </w:p>
        </w:tc>
        <w:tc>
          <w:tcPr>
            <w:tcW w:w="0" w:type="dxa"/>
            <w:vAlign w:val="bottom"/>
          </w:tcPr>
          <w:p>
            <w:pPr>
              <w:spacing w:after="0"/>
              <w:rPr>
                <w:sz w:val="1"/>
                <w:szCs w:val="1"/>
                <w:color w:val="auto"/>
              </w:rPr>
            </w:pPr>
          </w:p>
        </w:tc>
      </w:tr>
      <w:tr>
        <w:trPr>
          <w:trHeight w:val="210"/>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6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220" w:type="dxa"/>
            <w:vAlign w:val="bottom"/>
            <w:tcBorders>
              <w:top w:val="single" w:sz="8" w:color="CFF0FC"/>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(642)</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66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49,414</w:t>
            </w:r>
          </w:p>
        </w:tc>
        <w:tc>
          <w:tcPr>
            <w:tcW w:w="220" w:type="dxa"/>
            <w:vAlign w:val="bottom"/>
            <w:tcBorders>
              <w:top w:val="single" w:sz="8" w:color="CFF0FC"/>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74,428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-2425065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-1584960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-744855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Corporate Information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Oatly Group AB (publ) (the “Company” or the “parent”) is a public limited company incorporated and domiciled in Sweden. The Company’s registered office is located at Ångfärjekajen 8, Malmö, Sweden.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(publ) and its subsidiaries (together, the “Group”) manufacture, distribute and sell oat-based products.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Accounting Policies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of Oatly Group AB (publ) for the three months ended March 31, 2026 and 2025 have been prepared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 Group has prepared the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 and corresponding interim reporting period.</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interim financial information reflects all normal recurring adjustments that are, in the opinion of management, necessary to fairly present the information set forth herein. The interim condensed consolidated financial statements should be read in conjunction with the Group’s consolidated financial statements for the year ended December 31, 2025, as they do not include all the information and disclosures required in the annual consolidated financial statements. Interim results are not necessarily indicative of the results for a full year. The interim condensed consolidated financial statements are presented in thousands of U.S. dollars, unless otherwise stated.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Standards and Interpretations Issued but not yet Adopted</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are no IFRS® Accounting Standards as issued by the International Accounting Standards Board (“IFRS Accounting standards”) that are expected to have a material impact on the Group in the current or future reporting periods or on foreseeable future transactions, other than those included in the 2025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Judgments, Estimates and Assessments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the significant judgments made by management in applying the Group’s accounting policies and the key sources of estimation and uncertainty were the same as those applied to the consolidated financial statements for the year ended December 31, 2025.</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 of future events.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Seasonality</w:t>
      </w:r>
    </w:p>
    <w:p>
      <w:pPr>
        <w:spacing w:after="0" w:line="20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Greater China and the rest of the Asia business compared to the remaining quarterly periods of the year.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Revenue, Adjusted EBITDA and EBITDA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 Adjusted EBITDA and EBITDA</w:t>
            </w:r>
          </w:p>
        </w:tc>
        <w:tc>
          <w:tcPr>
            <w:tcW w:w="12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136,796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(696)</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137,492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62,190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29,339</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31,568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659</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(767)</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(26,497)</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(538)</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(265)</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(454)</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(1,612)</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31,068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(28,377)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(12,854)</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(12,253)</w:t>
            </w:r>
          </w:p>
        </w:tc>
        <w:tc>
          <w:tcPr>
            <w:tcW w:w="0" w:type="dxa"/>
            <w:vAlign w:val="bottom"/>
          </w:tcPr>
          <w:p>
            <w:pPr>
              <w:spacing w:after="0"/>
              <w:rPr>
                <w:sz w:val="1"/>
                <w:szCs w:val="1"/>
                <w:color w:val="auto"/>
              </w:rPr>
            </w:pPr>
          </w:p>
        </w:tc>
      </w:tr>
      <w:tr>
        <w:trPr>
          <w:trHeight w:val="32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(689)</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108,354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59,886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29,979</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15,536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(22,014)</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(3,731)</w:t>
            </w: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(468)</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(358)</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(389)</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(2,377)</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15,914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(24,555)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(7,410)</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Corporate consists of general costs not allocated to the segments.</w:t>
      </w:r>
    </w:p>
    <w:p>
      <w:pPr>
        <w:spacing w:after="0" w:line="13" w:lineRule="exact"/>
        <w:rPr>
          <w:sz w:val="20"/>
          <w:szCs w:val="20"/>
          <w:color w:val="auto"/>
        </w:rPr>
      </w:pPr>
    </w:p>
    <w:p>
      <w:pPr>
        <w:ind w:right="100" w:firstLine="8"/>
        <w:spacing w:after="0" w:line="264" w:lineRule="auto"/>
        <w:tabs>
          <w:tab w:leader="none" w:pos="24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2026 refers to intersegment revenue for sales of products from Europe &amp; International to Greater China and North America. Eliminations in 2025 refers to intersegment revenue for sales of products from Europe &amp; International to Greater China.</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reversal of previously recognized exit costs related to closure of the Group’s production facility in Singapore.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5.2 Non-current Assets by Country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assets for this purpose consist of property, plant and equipment and right-of-use assets.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3"/>
                <w:szCs w:val="13"/>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3"/>
                <w:szCs w:val="13"/>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119,689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319,304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332,595</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5.3 Revenue From External Customers, Broken Down by Location of the Customers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15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58,794</w:t>
            </w:r>
          </w:p>
        </w:tc>
        <w:tc>
          <w:tcPr>
            <w:tcW w:w="12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120" w:type="dxa"/>
            <w:vAlign w:val="bottom"/>
          </w:tcPr>
          <w:p>
            <w:pPr>
              <w:spacing w:after="0"/>
              <w:rPr>
                <w:sz w:val="18"/>
                <w:szCs w:val="18"/>
                <w:color w:val="auto"/>
              </w:rPr>
            </w:pP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31,813</w:t>
            </w:r>
          </w:p>
        </w:tc>
        <w:tc>
          <w:tcPr>
            <w:tcW w:w="12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29,639</w:t>
            </w:r>
          </w:p>
        </w:tc>
        <w:tc>
          <w:tcPr>
            <w:tcW w:w="120" w:type="dxa"/>
            <w:vAlign w:val="bottom"/>
          </w:tcPr>
          <w:p>
            <w:pPr>
              <w:spacing w:after="0"/>
              <w:rPr>
                <w:sz w:val="18"/>
                <w:szCs w:val="18"/>
                <w:color w:val="auto"/>
              </w:rPr>
            </w:pP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2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20" w:type="dxa"/>
            <w:vAlign w:val="bottom"/>
          </w:tcPr>
          <w:p>
            <w:pPr>
              <w:spacing w:after="0"/>
              <w:rPr>
                <w:sz w:val="18"/>
                <w:szCs w:val="18"/>
                <w:color w:val="auto"/>
              </w:rPr>
            </w:pP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Switzerland</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2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Finland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33,078</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228,325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197,530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countries that individually make up greater than 10% of total revenue included in “Other”.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 Revenue From External Customers, Broken Down by Channel and Segment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and segment, is shown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15"/>
                <w:szCs w:val="15"/>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108,787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157,014</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27,615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18,569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67,602</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136,796</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62,190</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29,339</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228,325</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125,397</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23,511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67,617</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107,665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59,886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29,979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197,530</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-985520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-985520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-985520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Oatmilk accounted for 93% and 92% of the Group’s revenue in the three months ended March 31, 2026 and 2025,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2021, in connection with the initial public offering,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ordinary shares have been reserved for grants pursuant to a variety of share-based compensation awards, including, but not limited to, stock options and RSUs. To secure the future delivery of ordinary shares and ADSs under the 2021 Plan, the Company’s shareholders resolved to issue 69,496,515 warrants. The right to subscribe for the warrants vests only in the Company. See Note 18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under the 2021 Plan, granted no new RSUs. The RSUs are accounted for as equity-settled share-based compensation transactions. The RSUs are measured based on the fair market value of the underlying ADSs on the date of grant. The RSUs granted to employees under the 2021 Plan vest in equal installments on each of the first three anniversaries of the date of grant, subject to continued service. The RSUs granted to members of the Company’s Board of Directors vest on the date of the next Annual</w:t>
      </w:r>
    </w:p>
    <w:p>
      <w:pPr>
        <w:sectPr>
          <w:pgSz w:w="11900" w:h="16838" w:orient="portrait"/>
          <w:cols w:equalWidth="0" w:num="1">
            <w:col w:w="11240"/>
          </w:cols>
          <w:pgMar w:left="320" w:top="765"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Meeting of shareholders following the grant date, subject to continued service on the applicable vesting date. No RSUs vested during the three months ended March 31, 2026.</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7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auto"/>
            </w:tcBorders>
          </w:tcPr>
          <w:p>
            <w:pPr>
              <w:jc w:val="right"/>
              <w:ind w:right="11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7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1,621,503</w:t>
            </w:r>
          </w:p>
        </w:tc>
        <w:tc>
          <w:tcPr>
            <w:tcW w:w="220" w:type="dxa"/>
            <w:vAlign w:val="bottom"/>
            <w:tcBorders>
              <w:bottom w:val="single" w:sz="8" w:color="CFF0FC"/>
            </w:tcBorders>
            <w:shd w:val="clear" w:color="auto" w:fill="CFF0FC"/>
          </w:tcPr>
          <w:p>
            <w:pPr>
              <w:spacing w:after="0"/>
              <w:rPr>
                <w:sz w:val="18"/>
                <w:szCs w:val="18"/>
                <w:color w:val="auto"/>
              </w:rPr>
            </w:pP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7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(48,320)</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78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1,573,183</w:t>
            </w:r>
          </w:p>
        </w:tc>
        <w:tc>
          <w:tcPr>
            <w:tcW w:w="220" w:type="dxa"/>
            <w:vAlign w:val="bottom"/>
            <w:tcBorders>
              <w:bottom w:val="single" w:sz="8" w:color="CFF0FC"/>
            </w:tcBorders>
            <w:shd w:val="clear" w:color="auto" w:fill="CFF0FC"/>
          </w:tcPr>
          <w:p>
            <w:pPr>
              <w:spacing w:after="0"/>
              <w:rPr>
                <w:sz w:val="21"/>
                <w:szCs w:val="21"/>
                <w:color w:val="auto"/>
              </w:rPr>
            </w:pPr>
          </w:p>
        </w:tc>
        <w:tc>
          <w:tcPr>
            <w:tcW w:w="2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-316230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under the 2021 Plan, granted no new stock options.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 No new stock options vested during the three months ended March 31, 2026.</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stock options outstanding and related information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7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 average exercise price ($)</w:t>
            </w: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464,838</w:t>
            </w:r>
          </w:p>
        </w:tc>
        <w:tc>
          <w:tcPr>
            <w:tcW w:w="200" w:type="dxa"/>
            <w:vAlign w:val="bottom"/>
            <w:tcBorders>
              <w:bottom w:val="single" w:sz="8" w:color="CFF0FC"/>
            </w:tcBorders>
            <w:shd w:val="clear" w:color="auto" w:fill="CFF0FC"/>
          </w:tcPr>
          <w:p>
            <w:pPr>
              <w:spacing w:after="0"/>
              <w:rPr>
                <w:sz w:val="18"/>
                <w:szCs w:val="18"/>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(2,917)</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2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(16,353)</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shd w:val="clear" w:color="auto" w:fill="CFF0FC"/>
          </w:tcPr>
          <w:p>
            <w:pPr>
              <w:spacing w:after="0"/>
              <w:rPr>
                <w:sz w:val="18"/>
                <w:szCs w:val="18"/>
                <w:color w:val="auto"/>
              </w:rPr>
            </w:pPr>
          </w:p>
        </w:tc>
      </w:tr>
      <w:tr>
        <w:trPr>
          <w:trHeight w:val="209"/>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445,568</w:t>
            </w:r>
          </w:p>
        </w:tc>
        <w:tc>
          <w:tcPr>
            <w:tcW w:w="20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c>
          <w:tcPr>
            <w:tcW w:w="10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exercisable as of March 31, 2026</w:t>
            </w:r>
          </w:p>
        </w:tc>
        <w:tc>
          <w:tcPr>
            <w:tcW w:w="2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182,076</w:t>
            </w:r>
          </w:p>
        </w:tc>
        <w:tc>
          <w:tcPr>
            <w:tcW w:w="200" w:type="dxa"/>
            <w:vAlign w:val="bottom"/>
            <w:tcBorders>
              <w:bottom w:val="single" w:sz="8" w:color="CFF0FC"/>
            </w:tcBorders>
            <w:shd w:val="clear" w:color="auto" w:fill="CFF0FC"/>
          </w:tcPr>
          <w:p>
            <w:pPr>
              <w:spacing w:after="0"/>
              <w:rPr>
                <w:sz w:val="20"/>
                <w:szCs w:val="20"/>
                <w:color w:val="auto"/>
              </w:rPr>
            </w:pPr>
          </w:p>
        </w:tc>
        <w:tc>
          <w:tcPr>
            <w:tcW w:w="2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33.22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-616585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-333375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options granted during the financial year 2021 was $124.8 for the May 2021 grant date and $73.4 for the November 2021 grant date. The fair value of the stock options at grant date has been determined using the Black-Scholes option-pricing model, which takes into account the exercise price, the expected term of the stock options, the ADS price at grant date, expected price volatility of the underlying ADS,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spacing w:after="0" w:line="14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Each RSU or stock option entitles the holder to acquire, as determined by the Board of Directors, either twenty ordinary shares, twenty warrants or one ADS in the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$2.9 million for the three months ended March 31, 2026 (2025: $3.6 million).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Finance Income and Expenses</w:t>
      </w:r>
    </w:p>
    <w:p>
      <w:pPr>
        <w:spacing w:after="0" w:line="11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FF0FC"/>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Pr>
          <w:p>
            <w:pPr>
              <w:spacing w:after="0"/>
              <w:rPr>
                <w:sz w:val="18"/>
                <w:szCs w:val="18"/>
                <w:color w:val="auto"/>
              </w:rPr>
            </w:pP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 on lease liabilities</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(624)</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 on loans and borrowings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(13,721)</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(14,140)</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(656)</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FF0FC"/>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on Convertible Notes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(745)</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(1,599)</w:t>
            </w: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income and expenses, net</w:t>
            </w:r>
          </w:p>
        </w:tc>
        <w:tc>
          <w:tcPr>
            <w:tcW w:w="9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(904)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9,411</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Fair value changes on Convertible Notes contain the fair value changes less the coupon rate and changes in credit risk. The coupon rate on the Convertible Notes is 9.25%. Interest expenses on loan and borrowings for the three months ended March 31, 2026 and March 31, 2025 contain interest expense on Convertible Notes of $8.7 million and $8.9 million, respectively. See Note 13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and Note 19 </w:t>
      </w:r>
      <w:r>
        <w:rPr>
          <w:rFonts w:ascii="Times New Roman" w:cs="Times New Roman" w:eastAsia="Times New Roman" w:hAnsi="Times New Roman"/>
          <w:sz w:val="18"/>
          <w:szCs w:val="18"/>
          <w:i w:val="1"/>
          <w:iCs w:val="1"/>
          <w:color w:val="auto"/>
        </w:rPr>
        <w:t>Interest-bearing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borrowings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19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 xml:space="preserve"> for further details on the Group’s credit facilities.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Total tax benefit for the three months ended March 31, 2026 was $0.1 million. Total tax expense for the three months ended March 31, 2025 was $3.4 million. The effective tax rate for the three months ended March 31, 2026 was (1.0%). The effective tax rate for three months ended March 31, 2025 was 36.5%. The main drivers of the effective tax rate relate to non-recognition of deferred tax assets on tax losses and tax effect relating to foreign exchange effects recognized in other comprehensive income. The Group operates in a global environment with significant operations in various jurisdictions outside Sweden. Accordingly, the consolidated income tax rate is a composite rate reflecting the Group’s earnings and the applicable tax rates in the various jurisdictions where the Group operates, and whether or not deferred tax assets are able to be recognized.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intangible assets as at March 31, 2026 and December 31, 2025 is as follows:</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Ongoing</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128,489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10,830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123,357</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17,911</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10,776</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2,269</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154,313</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(7,107)</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(275)</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(22,134)</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Amortization charge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12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2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(14,780)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(7,245)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(265)</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(22,290)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128,489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3,904</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March 31, 2026</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123,357</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3,131</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3,531</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2,004</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132,023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-1250950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-1233805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-1250950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-1233805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-1250950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-1233805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-1250950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-1233805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-1250950</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-1233805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-942340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-925195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-942340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-925195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-942340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-925195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-942340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-925195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-642620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-642620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-642620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-642620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-333375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-333375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-333375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-333375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2026 was $1.1 million (2025: $1.0 million).</w:t>
      </w:r>
    </w:p>
    <w:p>
      <w:pPr>
        <w:sectPr>
          <w:pgSz w:w="11900" w:h="16838" w:orient="portrait"/>
          <w:cols w:equalWidth="0" w:num="1">
            <w:col w:w="11240"/>
          </w:cols>
          <w:pgMar w:left="320" w:top="765"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property, plant, and equipment as at March 31, 2026 and December 31, 2025 is as follows:</w:t>
      </w:r>
    </w:p>
    <w:tbl>
      <w:tblPr>
        <w:tblLayout w:type="fixed"/>
        <w:tblInd w:w="0" w:type="dxa"/>
        <w:tblCellMar>
          <w:top w:w="0" w:type="dxa"/>
          <w:left w:w="0" w:type="dxa"/>
          <w:bottom w:w="0" w:type="dxa"/>
          <w:right w:w="0" w:type="dxa"/>
        </w:tblCellMar>
      </w:tblPr>
      <w:tr>
        <w:trPr>
          <w:trHeight w:val="151"/>
        </w:trPr>
        <w:tc>
          <w:tcPr>
            <w:tcW w:w="5800" w:type="dxa"/>
            <w:vAlign w:val="bottom"/>
          </w:tcPr>
          <w:p>
            <w:pPr>
              <w:spacing w:after="0"/>
              <w:rPr>
                <w:sz w:val="13"/>
                <w:szCs w:val="13"/>
                <w:color w:val="auto"/>
              </w:rPr>
            </w:pPr>
          </w:p>
        </w:tc>
        <w:tc>
          <w:tcPr>
            <w:tcW w:w="1420" w:type="dxa"/>
            <w:vAlign w:val="bottom"/>
            <w:gridSpan w:val="2"/>
          </w:tcPr>
          <w:p>
            <w:pPr>
              <w:jc w:val="right"/>
              <w:ind w:right="540"/>
              <w:spacing w:after="0" w:line="151" w:lineRule="exact"/>
              <w:rPr>
                <w:sz w:val="20"/>
                <w:szCs w:val="20"/>
                <w:color w:val="auto"/>
              </w:rPr>
            </w:pPr>
            <w:r>
              <w:rPr>
                <w:rFonts w:ascii="Times New Roman" w:cs="Times New Roman" w:eastAsia="Times New Roman" w:hAnsi="Times New Roman"/>
                <w:sz w:val="14"/>
                <w:szCs w:val="14"/>
                <w:b w:val="1"/>
                <w:bCs w:val="1"/>
                <w:color w:val="auto"/>
              </w:rPr>
              <w:t>Land and</w:t>
            </w:r>
          </w:p>
        </w:tc>
        <w:tc>
          <w:tcPr>
            <w:tcW w:w="1360" w:type="dxa"/>
            <w:vAlign w:val="bottom"/>
            <w:gridSpan w:val="2"/>
          </w:tcPr>
          <w:p>
            <w:pPr>
              <w:jc w:val="right"/>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360" w:type="dxa"/>
            <w:vAlign w:val="bottom"/>
            <w:gridSpan w:val="2"/>
          </w:tcPr>
          <w:p>
            <w:pPr>
              <w:jc w:val="right"/>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113,151</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313,567</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32,415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(2,271)</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(5,974)</w:t>
            </w: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111,575</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311,855</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32,131</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455,561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(26,039)</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(120,016)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(18,390)</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(164,445)</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Depreciation charge</w:t>
            </w:r>
          </w:p>
        </w:tc>
        <w:tc>
          <w:tcPr>
            <w:tcW w:w="1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(1,811)</w:t>
            </w:r>
          </w:p>
        </w:tc>
        <w:tc>
          <w:tcPr>
            <w:tcW w:w="1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(7,219)</w:t>
            </w: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(9,030)</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(27,296)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(125,478)</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(18,639)</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(171,413)</w:t>
            </w:r>
          </w:p>
        </w:tc>
        <w:tc>
          <w:tcPr>
            <w:tcW w:w="0" w:type="dxa"/>
            <w:vAlign w:val="bottom"/>
          </w:tcPr>
          <w:p>
            <w:pPr>
              <w:spacing w:after="0"/>
              <w:rPr>
                <w:sz w:val="1"/>
                <w:szCs w:val="1"/>
                <w:color w:val="auto"/>
              </w:rPr>
            </w:pPr>
          </w:p>
        </w:tc>
      </w:tr>
      <w:tr>
        <w:trPr>
          <w:trHeight w:val="197"/>
        </w:trPr>
        <w:tc>
          <w:tcPr>
            <w:tcW w:w="58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87,112</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193,551</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14,025</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294,688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March 31, 2026</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84,279</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186,377</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13,492</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284,148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-1388110</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-1370965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-1388110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-1370965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-1388110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-1370965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-1079500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-1062355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-1079500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-1062355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-496570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-479425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-496570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-479425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-496570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-479425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was $9.0 million (2025: $7.4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roll-forward of lease right-of-use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54,852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27,054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81,906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(259)</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54,610</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26,294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80,904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(28,260)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(15,739)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(43,999)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6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(1,850)</w:t>
            </w:r>
          </w:p>
        </w:tc>
        <w:tc>
          <w:tcPr>
            <w:tcW w:w="15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(911)</w:t>
            </w:r>
          </w:p>
        </w:tc>
        <w:tc>
          <w:tcPr>
            <w:tcW w:w="14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(29,858)</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(15,890)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(45,748)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26,592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11,315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37,907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March 31, 2026</w:t>
            </w:r>
          </w:p>
        </w:tc>
        <w:tc>
          <w:tcPr>
            <w:tcW w:w="16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24,752</w:t>
            </w:r>
          </w:p>
        </w:tc>
        <w:tc>
          <w:tcPr>
            <w:tcW w:w="15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10,404</w:t>
            </w:r>
          </w:p>
        </w:tc>
        <w:tc>
          <w:tcPr>
            <w:tcW w:w="14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35,156</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-1533525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-1533525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-1224915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-1224915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-641985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-641985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-333375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-333375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Depreciation expense for the three months ended March 31, 2026 was $2.8 million (2025: $2.7 million).</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maturity analysis of lease liabilities:</w:t>
      </w:r>
    </w:p>
    <w:p>
      <w:pPr>
        <w:sectPr>
          <w:pgSz w:w="11900" w:h="16838" w:orient="portrait"/>
          <w:cols w:equalWidth="0" w:num="1">
            <w:col w:w="11240"/>
          </w:cols>
          <w:pgMar w:left="320" w:top="765" w:right="3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Maturity Analysis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3 months and 1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2 and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liabilities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liabilities included in the condensed consolidated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7620</wp:posOffset>
            </wp:positionV>
            <wp:extent cx="12255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3,147</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9,440</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8,495</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11,540</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5715</wp:posOffset>
            </wp:positionV>
            <wp:extent cx="12255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43,132</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5715</wp:posOffset>
            </wp:positionV>
            <wp:extent cx="12255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33,919</w:t>
      </w:r>
    </w:p>
    <w:p>
      <w:pPr>
        <w:spacing w:after="0" w:line="200" w:lineRule="exact"/>
        <w:rPr>
          <w:sz w:val="20"/>
          <w:szCs w:val="20"/>
          <w:color w:val="auto"/>
        </w:rPr>
      </w:pPr>
    </w:p>
    <w:p>
      <w:pPr>
        <w:spacing w:after="0" w:line="2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21,710</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12,209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5715</wp:posOffset>
            </wp:positionV>
            <wp:extent cx="12255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33,919</w:t>
      </w:r>
    </w:p>
    <w:p>
      <w:pPr>
        <w:spacing w:after="0" w:line="200" w:lineRule="exact"/>
        <w:rPr>
          <w:sz w:val="20"/>
          <w:szCs w:val="20"/>
          <w:color w:val="auto"/>
        </w:rPr>
      </w:pPr>
    </w:p>
    <w:p>
      <w:pPr>
        <w:sectPr>
          <w:pgSz w:w="11900" w:h="16838" w:orient="portrait"/>
          <w:cols w:equalWidth="0" w:num="2">
            <w:col w:w="8960" w:space="720"/>
            <w:col w:w="1560"/>
          </w:cols>
          <w:pgMar w:left="320" w:top="765" w:right="339" w:bottom="1440" w:gutter="0" w:footer="0" w:header="0"/>
          <w:type w:val="continuous"/>
        </w:sectPr>
      </w:pP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the following lease agreements, which had not commenced as of March 31, 2026, but to which the Group is committed:</w:t>
      </w:r>
    </w:p>
    <w:p>
      <w:pPr>
        <w:spacing w:after="0" w:line="117" w:lineRule="exact"/>
        <w:rPr>
          <w:sz w:val="20"/>
          <w:szCs w:val="20"/>
          <w:color w:val="auto"/>
        </w:rPr>
      </w:pPr>
    </w:p>
    <w:p>
      <w:pPr>
        <w:ind w:left="1020" w:right="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production equipment in Ma’anshan, China, under which the Group’s obligations collectively amount to $3.7 million for a term of six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Non-current Receivables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48,720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46,992</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prepaid expenses consist primarily of a credit toward future use of shared assets at the manufacturing facility in Ogden.</w:t>
      </w:r>
    </w:p>
    <w:p>
      <w:pPr>
        <w:spacing w:after="0" w:line="223" w:lineRule="exact"/>
        <w:rPr>
          <w:sz w:val="20"/>
          <w:szCs w:val="20"/>
          <w:color w:val="auto"/>
        </w:rPr>
      </w:pPr>
    </w:p>
    <w:p>
      <w:pPr>
        <w:ind w:right="1020" w:firstLine="449"/>
        <w:spacing w:after="0" w:line="284" w:lineRule="auto"/>
        <w:rPr>
          <w:sz w:val="20"/>
          <w:szCs w:val="20"/>
          <w:color w:val="auto"/>
        </w:rPr>
      </w:pPr>
      <w:r>
        <w:rPr>
          <w:rFonts w:ascii="Times New Roman" w:cs="Times New Roman" w:eastAsia="Times New Roman" w:hAnsi="Times New Roman"/>
          <w:sz w:val="18"/>
          <w:szCs w:val="18"/>
          <w:color w:val="auto"/>
        </w:rPr>
        <w:t xml:space="preserve">Derivatives consist of interest rate cap and embedded derivatives related to the Company’s Nordic Bonds. See Note 19 </w:t>
      </w:r>
      <w:r>
        <w:rPr>
          <w:rFonts w:ascii="Times New Roman" w:cs="Times New Roman" w:eastAsia="Times New Roman" w:hAnsi="Times New Roman"/>
          <w:sz w:val="18"/>
          <w:szCs w:val="18"/>
          <w:i w:val="1"/>
          <w:iCs w:val="1"/>
          <w:color w:val="auto"/>
        </w:rPr>
        <w:t>Interest-bearing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loans and borrowings </w:t>
      </w:r>
      <w:r>
        <w:rPr>
          <w:rFonts w:ascii="Times New Roman" w:cs="Times New Roman" w:eastAsia="Times New Roman" w:hAnsi="Times New Roman"/>
          <w:sz w:val="18"/>
          <w:szCs w:val="18"/>
          <w:color w:val="auto"/>
        </w:rPr>
        <w:t>for further details on the Nordic Bonds.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72"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The fair value of financial instruments traded in active markets (such as publicly traded derivatives and equity securities) is based on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prices at the end of the reporting period. The quoted market price used for financial assets held by the Group is the current bid price. These instruments are included in Level 1.</w:t>
      </w:r>
    </w:p>
    <w:p>
      <w:pPr>
        <w:sectPr>
          <w:pgSz w:w="11900" w:h="16838" w:orient="portrait"/>
          <w:cols w:equalWidth="0" w:num="1">
            <w:col w:w="11240"/>
          </w:cols>
          <w:pgMar w:left="320" w:top="765" w:right="3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1"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The fair value of financial instruments that are not traded in an active market (for example, over-the-counter derivatives) is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caps – option pricing models (e.g. Black-Scholes model)</w:t>
      </w:r>
    </w:p>
    <w:p>
      <w:pPr>
        <w:spacing w:after="0" w:line="221" w:lineRule="exact"/>
        <w:rPr>
          <w:sz w:val="20"/>
          <w:szCs w:val="20"/>
          <w:color w:val="auto"/>
        </w:rPr>
      </w:pPr>
    </w:p>
    <w:p>
      <w:pPr>
        <w:ind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 This is the case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unlisted equity securities.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March 31, 2026</w:t>
            </w:r>
          </w:p>
        </w:tc>
        <w:tc>
          <w:tcPr>
            <w:tcW w:w="12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4,130</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7"/>
        </w:trPr>
        <w:tc>
          <w:tcPr>
            <w:tcW w:w="6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 (part of Current interest-bearing loans and borrowings)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329,595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329,595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5"/>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2025</w:t>
            </w:r>
          </w:p>
        </w:tc>
        <w:tc>
          <w:tcPr>
            <w:tcW w:w="12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4,504</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(part of Current interest-bearing loans and borrowings)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00" w:type="dxa"/>
            <w:vAlign w:val="bottom"/>
          </w:tcPr>
          <w:p>
            <w:pPr>
              <w:spacing w:after="0"/>
              <w:rPr>
                <w:sz w:val="18"/>
                <w:szCs w:val="18"/>
                <w:color w:val="auto"/>
              </w:rPr>
            </w:pPr>
          </w:p>
        </w:tc>
      </w:tr>
      <w:tr>
        <w:trPr>
          <w:trHeight w:val="25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333,145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-1876425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-1859915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-1876425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-1859915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-1293495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-1276350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-1293495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-1276350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-616585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-616585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levels during the three months ended March 31, 2026 and the year ended December 31, 2025.</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carrying amount of the promissory note is a reasonable approximation of fair value. See Note 12 </w:t>
      </w:r>
      <w:r>
        <w:rPr>
          <w:rFonts w:ascii="Times New Roman" w:cs="Times New Roman" w:eastAsia="Times New Roman" w:hAnsi="Times New Roman"/>
          <w:sz w:val="18"/>
          <w:szCs w:val="18"/>
          <w:i w:val="1"/>
          <w:iCs w:val="1"/>
          <w:color w:val="auto"/>
        </w:rPr>
        <w:t>Other non-current receivables.</w:t>
      </w:r>
    </w:p>
    <w:p>
      <w:pPr>
        <w:spacing w:after="0" w:line="225"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 xml:space="preserve">The carrying amount of the Nordic Bonds in the Group is a reasonable approximation of fair value. See Note 19 </w:t>
      </w:r>
      <w:r>
        <w:rPr>
          <w:rFonts w:ascii="Times New Roman" w:cs="Times New Roman" w:eastAsia="Times New Roman" w:hAnsi="Times New Roman"/>
          <w:sz w:val="18"/>
          <w:szCs w:val="18"/>
          <w:i w:val="1"/>
          <w:iCs w:val="1"/>
          <w:color w:val="auto"/>
        </w:rPr>
        <w:t>Interest-bearing loans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borrowings.</w:t>
      </w:r>
    </w:p>
    <w:p>
      <w:pPr>
        <w:spacing w:after="0" w:line="16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 of current liabilities to credit institutions and other financial instruments in the Group is a reasonable approximation of fair value since they are short-term, and the discount effect is not significant.</w:t>
      </w:r>
    </w:p>
    <w:p>
      <w:pPr>
        <w:sectPr>
          <w:pgSz w:w="11900" w:h="16838" w:orient="portrait"/>
          <w:cols w:equalWidth="0" w:num="1">
            <w:col w:w="11240"/>
          </w:cols>
          <w:pgMar w:left="320" w:top="765" w:right="33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right="1440"/>
        <w:spacing w:after="0" w:line="255" w:lineRule="auto"/>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 Change in fair value recognized in consolidated statement of comprehensive (loss)/income Repurchase of U.S.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7620</wp:posOffset>
            </wp:positionV>
            <wp:extent cx="12255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324,395</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30,739</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16,355</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(38,344)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5715</wp:posOffset>
            </wp:positionV>
            <wp:extent cx="122555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333,145</w:t>
      </w:r>
    </w:p>
    <w:p>
      <w:pPr>
        <w:spacing w:after="0" w:line="4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17145</wp:posOffset>
            </wp:positionV>
            <wp:extent cx="12255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329,595</w:t>
      </w:r>
    </w:p>
    <w:p>
      <w:pPr>
        <w:spacing w:after="0" w:line="200" w:lineRule="exact"/>
        <w:rPr>
          <w:sz w:val="20"/>
          <w:szCs w:val="20"/>
          <w:color w:val="auto"/>
        </w:rPr>
      </w:pPr>
    </w:p>
    <w:p>
      <w:pPr>
        <w:sectPr>
          <w:pgSz w:w="11900" w:h="16838" w:orient="portrait"/>
          <w:cols w:equalWidth="0" w:num="2">
            <w:col w:w="8880" w:space="720"/>
            <w:col w:w="1640"/>
          </w:cols>
          <w:pgMar w:left="320" w:top="765"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8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329,595</w:t>
            </w:r>
          </w:p>
        </w:tc>
        <w:tc>
          <w:tcPr>
            <w:tcW w:w="2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 at maturity</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490,873</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 obligated to</w:t>
            </w:r>
          </w:p>
        </w:tc>
        <w:tc>
          <w:tcPr>
            <w:tcW w:w="1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(161,278)</w:t>
            </w:r>
          </w:p>
        </w:tc>
        <w:tc>
          <w:tcPr>
            <w:tcW w:w="1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(157,728)</w:t>
            </w:r>
          </w:p>
        </w:tc>
        <w:tc>
          <w:tcPr>
            <w:tcW w:w="0" w:type="dxa"/>
            <w:vAlign w:val="bottom"/>
          </w:tcPr>
          <w:p>
            <w:pPr>
              <w:spacing w:after="0"/>
              <w:rPr>
                <w:sz w:val="1"/>
                <w:szCs w:val="1"/>
                <w:color w:val="auto"/>
              </w:rPr>
            </w:pPr>
          </w:p>
        </w:tc>
      </w:tr>
      <w:tr>
        <w:trPr>
          <w:trHeight w:val="21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pay to holders of Convertible Notes at maturity</w:t>
            </w:r>
          </w:p>
        </w:tc>
        <w:tc>
          <w:tcPr>
            <w:tcW w:w="1820" w:type="dxa"/>
            <w:vAlign w:val="bottom"/>
            <w:gridSpan w:val="2"/>
            <w:vMerge w:val="continue"/>
            <w:shd w:val="clear" w:color="auto" w:fill="CFF0FC"/>
          </w:tcPr>
          <w:p>
            <w:pPr>
              <w:spacing w:after="0"/>
              <w:rPr>
                <w:sz w:val="18"/>
                <w:szCs w:val="18"/>
                <w:color w:val="auto"/>
              </w:rPr>
            </w:pPr>
          </w:p>
        </w:tc>
        <w:tc>
          <w:tcPr>
            <w:tcW w:w="1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the instrument in its entirety has been determined by using a combination of a Monte Carlo simulation and a discounted cash flow analysis.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key inputs and assumptions used in the valuation model as of March 31,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Conversion price per ADS ($)</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ADS price at valuation date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price volatility of the Company ADS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FF0FC"/>
          </w:tcPr>
          <w:p>
            <w:pPr>
              <w:spacing w:after="0"/>
              <w:rPr>
                <w:sz w:val="18"/>
                <w:szCs w:val="18"/>
                <w:color w:val="auto"/>
              </w:rPr>
            </w:pPr>
          </w:p>
        </w:tc>
      </w:tr>
    </w:tbl>
    <w:p>
      <w:pPr>
        <w:spacing w:after="0" w:line="270" w:lineRule="exact"/>
        <w:rPr>
          <w:sz w:val="20"/>
          <w:szCs w:val="20"/>
          <w:color w:val="auto"/>
        </w:rPr>
      </w:pPr>
    </w:p>
    <w:p>
      <w:pPr>
        <w:jc w:val="both"/>
        <w:ind w:firstLine="8"/>
        <w:spacing w:after="0" w:line="275" w:lineRule="auto"/>
        <w:tabs>
          <w:tab w:leader="none" w:pos="23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Notes (as defined below) are convertible at the option of each holder at a conversion price of $27.20 per ADS, subject to customary anti-dilution adjustments. The HH Notes (as defined below) are convertible at the option of each holder at a conversion price of $28.20 per ADS, subject to customary anti-dilution adjustments. The Swedish Notes (as defined below) are convertible at the option of each holder at a conversion price of $1.36 per ordinary share, subject to customary anti-dilution adjustments. For further details on the Convertible Notes, see Note 19 </w:t>
      </w:r>
      <w:r>
        <w:rPr>
          <w:rFonts w:ascii="Times New Roman" w:cs="Times New Roman" w:eastAsia="Times New Roman" w:hAnsi="Times New Roman"/>
          <w:sz w:val="16"/>
          <w:szCs w:val="16"/>
          <w:i w:val="1"/>
          <w:iCs w:val="1"/>
          <w:color w:val="auto"/>
        </w:rPr>
        <w:t>Interest-bearing loans and borrowings.</w:t>
      </w:r>
    </w:p>
    <w:p>
      <w:pPr>
        <w:spacing w:after="0" w:line="178"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market interest rate has been assessed based on the observed range of yields on corporate bonds with comparable terms and comparable credit ratings to that of the Group.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impact of the key inputs and assumptions on the fair value of the Convertible Notes: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ADS price decrease 30%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320,225</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322,377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ADS price increase 30%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341,838</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346,524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decrease 10 percentage points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327,642</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327,779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Volatility increase 10 percentage points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333,639</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336,942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decrease 1 percentage point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329,107</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332,581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increase 1 percentage point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330,086</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333,707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decrease 1 percentage point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336,112</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340,451</w:t>
            </w:r>
          </w:p>
        </w:tc>
        <w:tc>
          <w:tcPr>
            <w:tcW w:w="100" w:type="dxa"/>
            <w:vAlign w:val="bottom"/>
            <w:shd w:val="clear" w:color="auto" w:fill="CFF0FC"/>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increase 1 percentage point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323,263</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326,065</w:t>
            </w:r>
          </w:p>
        </w:tc>
        <w:tc>
          <w:tcPr>
            <w:tcW w:w="100" w:type="dxa"/>
            <w:vAlign w:val="bottom"/>
          </w:tcPr>
          <w:p>
            <w:pPr>
              <w:spacing w:after="0"/>
              <w:rPr>
                <w:sz w:val="20"/>
                <w:szCs w:val="20"/>
                <w:color w:val="auto"/>
              </w:rPr>
            </w:pPr>
          </w:p>
        </w:tc>
      </w:tr>
      <w:tr>
        <w:trPr>
          <w:trHeight w:val="495"/>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 further information on the Convertible Notes, see Note 19 </w:t>
            </w:r>
            <w:r>
              <w:rPr>
                <w:rFonts w:ascii="Times New Roman" w:cs="Times New Roman" w:eastAsia="Times New Roman" w:hAnsi="Times New Roman"/>
                <w:sz w:val="18"/>
                <w:szCs w:val="18"/>
                <w:i w:val="1"/>
                <w:iCs w:val="1"/>
                <w:color w:val="auto"/>
              </w:rPr>
              <w:t>Interest-bearing loans and borrowings.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Inventories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700" w:type="dxa"/>
            <w:vAlign w:val="bottom"/>
          </w:tcPr>
          <w:p>
            <w:pPr>
              <w:spacing w:after="0"/>
              <w:rPr>
                <w:sz w:val="24"/>
                <w:szCs w:val="24"/>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gridSpan w:val="2"/>
          </w:tcPr>
          <w:p>
            <w:pPr>
              <w:spacing w:after="0"/>
              <w:rPr>
                <w:sz w:val="24"/>
                <w:szCs w:val="24"/>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15,242</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12,326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61,518</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76,760</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68,537</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Inventories recognized as an expense for the three months ended March 31, 2026 amounted to $141.8 million (2025: $127.6 million). The expenses were included in cost of goods sold.</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Write-downs of inventories to net realizable value for the three months ended March 31, 2026 amounted to $0.7 million (2025: $3.6 million). The write-downs were recognized as an expense for each period and included in cost of goods sold.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Trade Receivables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97,229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104,817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(1,295)</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96,196</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844"/>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700" w:type="dxa"/>
            <w:vAlign w:val="bottom"/>
          </w:tcPr>
          <w:p>
            <w:pPr>
              <w:spacing w:after="0"/>
              <w:rPr>
                <w:sz w:val="17"/>
                <w:szCs w:val="17"/>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7"/>
                <w:szCs w:val="17"/>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30,124</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30,788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GBP</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22,159</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21,155</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17,230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20,116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11,452</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17,956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SEK</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3,818</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4,430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96,196</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-1704975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-1687830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-1687830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Current Receivables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16,806</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17,438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Cash and Cash Equivalents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bank and on hand</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49,414</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49,414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64,345</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Equity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Treasury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May 2021, the shareholders resolved to issue 69,496,515 warrants to secure the future delivery of ordinary shares under the 2021 Plan. During May 2025, the Company exercised 8,452,360 warrants (May 2024: 3,667,255 warrants, May 2023: 2,882,164 warrants, May 2022: 650,000 warrants). As of March 31, 2026 and December 31, 2025, there were 53,844,736 warrants outstanding, respectively.</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624,500,001 ordinary shares, respectively were outstanding, and the par value per share was $0.00018 (SEK 0.0015). The Company had 891,459 treasury shares as of March 31, 2026 and December 31, 2025,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Contributed Capital</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other contributed capital of $1,641.6 million, respectively, consists of share premium, shareholders contribution and proceeds from warrant issues and exercise of stock options.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March 31, 2026 other reserves of $(231.2) million consists of fair value reserve of $(80.0) million related to fair value gains and losses on the Convertible Notes attributable to changes in the Group’s credit risk, and foreign currency translation reserve of $(151.2) million primarily related to the exchange differences occurring from the translation of foreign operations in another currency than the reporting currency of the Group (USD).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2025 other reserves of $(225.4) million consists of fair value reserve of $(80.0) million related to fair value gains and losses on the Convertible Notes attributable to changes in the Group’s credit risk, and foreign currency translation reserve of $(145.4) million primarily related to the exchange differences occurring from the translation of foreign operations in another currency than the reporting currency of the Group (USD).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Accumulated Deficit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accumulated deficit of $(1,406.9) million and $(1,397.8) million, respectively, consists of accumulated losses and share-based compensation.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March 31, 2026 and December 31, 2025, non-controlling interests amounted to $1.0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Interest-bearing Loans and Borrowings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interest-bearing loans and borrowings</w:t>
            </w:r>
          </w:p>
        </w:tc>
        <w:tc>
          <w:tcPr>
            <w:tcW w:w="1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Nordic Bonds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175,682</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182,783</w:t>
            </w:r>
          </w:p>
        </w:tc>
        <w:tc>
          <w:tcPr>
            <w:tcW w:w="120" w:type="dxa"/>
            <w:vAlign w:val="bottom"/>
          </w:tcPr>
          <w:p>
            <w:pPr>
              <w:spacing w:after="0"/>
              <w:rPr>
                <w:sz w:val="18"/>
                <w:szCs w:val="18"/>
                <w:color w:val="auto"/>
              </w:rPr>
            </w:pPr>
          </w:p>
        </w:tc>
      </w:tr>
      <w:tr>
        <w:trPr>
          <w:trHeight w:val="25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interest-bearing loans and borrowings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175,682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182,783</w:t>
            </w:r>
          </w:p>
        </w:tc>
        <w:tc>
          <w:tcPr>
            <w:tcW w:w="120" w:type="dxa"/>
            <w:vAlign w:val="bottom"/>
            <w:shd w:val="clear" w:color="auto" w:fill="CFF0FC"/>
          </w:tcPr>
          <w:p>
            <w:pPr>
              <w:spacing w:after="0"/>
              <w:rPr>
                <w:sz w:val="21"/>
                <w:szCs w:val="21"/>
                <w:color w:val="auto"/>
              </w:rPr>
            </w:pPr>
          </w:p>
        </w:tc>
      </w:tr>
      <w:tr>
        <w:trPr>
          <w:trHeight w:val="413"/>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Current interest-bearing loans and borrowings</w:t>
            </w: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329,595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Nordic Bonds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interest-bearing loans and borrowings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337,428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340,266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513,110</w:t>
            </w:r>
          </w:p>
        </w:tc>
        <w:tc>
          <w:tcPr>
            <w:tcW w:w="2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523,049</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-1045210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-334010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March 31, 2026, interest-bearing loans and borrowing amounted to $513.1 million and was related to the Nordic Bonds, the Convertible Notes, and utilized amounts on the CMB Credit Facility (each as defined below). As of December 31, 2025, interest-bearing loans and borrowing amounted to $523.0 million and was related to the Nordic Bonds, the Convertible Notes, and utilized amounts on the CMB Credit Facility (each as defined below).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Nordic Bonds</w:t>
      </w:r>
    </w:p>
    <w:p>
      <w:pPr>
        <w:spacing w:after="0" w:line="22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On September 30, 2025, the Company issued SEK denominated senior secured floating rate bonds (the “Nordic Bonds”) under the terms and conditions entered into by the Company with Nordic Trustee &amp; Agency AB (publ) on September 29, 2025. The Nordic Bonds have an initial issue amount of SEK 1,700 million (equivalent of $180.9 million) and a tenor of four years, subject to certain early redemption features. Following the satisfaction of certain conditions, the proceeds from the Nordic Bonds were released to the Company from escrow on October 3, 2025, and used to prepay the Term Loan B Credit Agreement in full, repurchase and cancel certain of the U.S. Notes (as defined below) and pay related transaction costs. The Nordic Bonds accrue interest at an interest rate equal to 3-month STIBOR plus 7.00 per cent.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Nordic Bonds or is subordinated to the Nordic Bonds, (iv) a distribution incurrence test (total net leverage ratio of the Group shall be equal to or less than 2.75:1, pro forma for the payment) which applies in respect of certain distributions by the Company to its shareholders, including dividends, and (v) other negative covenants such as restrictions on indebtedness, liens and asset disposals. As of March 31, 2026, the Group had SEK 1,714 million (equivalent of $179.2 million) outstanding under the Nordic Bonds, including accrued interest. As of December 31, 2025, the Group had SEK 1,716 million (equivalent of $187.1 million) outstanding under the Nordic Bonds, including accrued interest.</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Nordic Bonds are denominated in SEK and the issuer within the Group is Oatly Group AB (publ) with a functional currency of USD. The Group is therefore exposed to currency risk USD/SEK and if the rate would increase/decrease by 10% the impact on loss before tax for the three months ended March 31, 2026, would be $16.0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is exposed to interest rate risk that arises from the Nordic Bonds that carry an interest of STIBOR 3M. To manage the risk the Group has entered into interest rate cap for a partial amount of SEK 850 million of the Nordic Bonds. The cap is 1.95% and has a maturity of 3 years (September 2028). The effect from increase in basis points is limited due to the cap that economically hedges the Nordic Bonds. If variable interest increased by 100 basis points the impact on loss before tax for the three months ended March 31, 2026, would be $0.2 million. If variable interest decreased by 100 basis points the impact on loss before tax for the three months ended March 31, 2026, would be $0.4 million.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Liabilities to Credit Institutions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March 19, 2025, the Group’s indirect subsidiary Oatly Shanghai Co., Ltd. entered into a new RMB 30.0 million (equivalent of $4.2 million) working capital credit facility with China Merchants Bank Co., Ltd. Shanghai Branch (the “CMB Credit Facility”). Individual utilizations under the CMB Credit Facility are subject to the lender’s approval, and are available for one year, are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March 31, 2026, the Group had utilized loan amounts of RMB 30.0 million (equivalent of $4.3 million) under the CMB Credit Facility. As of December 31, 2025, the Group had utilized loan amounts of RMB 20.0 million (equivalent of $2.8 million) under the CMB Credit Facility.</w:t>
      </w:r>
    </w:p>
    <w:p>
      <w:pPr>
        <w:spacing w:after="0" w:line="200" w:lineRule="exact"/>
        <w:rPr>
          <w:sz w:val="20"/>
          <w:szCs w:val="20"/>
          <w:color w:val="auto"/>
        </w:rPr>
      </w:pPr>
    </w:p>
    <w:p>
      <w:pPr>
        <w:spacing w:after="0" w:line="20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September 30, 2025, the Company entered into a SEK 750 million (equivalent to $79.8 million) super senior revolving credit facility agreement with JP Morgan, Nordea and Rabobank (the “SSRCF”), which came into effect on October 3, 2025. The existing Sustainable Revolving Credit Facility Agreement (the “SRCF”)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 minimum EBITDA (which ceases to apply following the third quarter of 2027),</w:t>
      </w:r>
    </w:p>
    <w:p>
      <w:pPr>
        <w:spacing w:after="0" w:line="3" w:lineRule="exact"/>
        <w:rPr>
          <w:sz w:val="20"/>
          <w:szCs w:val="20"/>
          <w:color w:val="auto"/>
        </w:rPr>
      </w:pPr>
    </w:p>
    <w:p>
      <w:pPr>
        <w:jc w:val="both"/>
        <w:ind w:firstLine="8"/>
        <w:spacing w:after="0" w:line="252" w:lineRule="auto"/>
        <w:tabs>
          <w:tab w:leader="none" w:pos="3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(which ceases to apply following the third quarter of 2027), and (iv) total net leverage ratio (which commences to apply in respect of the LTM period ending on 30 September 2027). Moreover, the terms and conditions of the SSRCF contain certain negative covenants such as restrictions on dividends, indebtedness, liens, investments, acquisitions and asset disposals. Subject to certain exceptions, the payment of dividends by the Company generally requires that the total net leverage ratio of the Group is equal to or less than 3.50:1 (pro forma for the payment).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March 31, 2026, the Group had access to $75.2 million in undrawn SSRCF commitments.</w:t>
      </w:r>
    </w:p>
    <w:p>
      <w:pPr>
        <w:spacing w:after="0" w:line="4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(the “Swedish Terms”), will interpret the definition of “Daily VWAP” therein to assume the trading price of 1/20 of an ADS. The conversion price of the Swedish Notes was reset again on March 23, 2025, to $1.36.</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ectPr>
          <w:pgSz w:w="11900" w:h="16838" w:orient="portrait"/>
          <w:cols w:equalWidth="0" w:num="1">
            <w:col w:w="11240"/>
          </w:cols>
          <w:pgMar w:left="320" w:top="765"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w:t>
      </w:r>
    </w:p>
    <w:p>
      <w:pPr>
        <w:spacing w:after="0" w:line="1" w:lineRule="exact"/>
        <w:rPr>
          <w:sz w:val="20"/>
          <w:szCs w:val="20"/>
          <w:color w:val="auto"/>
        </w:rPr>
      </w:pPr>
    </w:p>
    <w:p>
      <w:pPr>
        <w:jc w:val="both"/>
        <w:ind w:firstLine="8"/>
        <w:spacing w:after="0" w:line="253"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the Company’s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October 3, 2025, the Company completed a series of privately negotiated repurchases and cancellations of an aggregate amount of $42.9 million U.S. Notes in exchange for $24.6 million in cash and 898,134 ADSs.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details on the fair value on Convertible Notes, see Note 13 </w:t>
      </w:r>
      <w:r>
        <w:rPr>
          <w:rFonts w:ascii="Times New Roman" w:cs="Times New Roman" w:eastAsia="Times New Roman" w:hAnsi="Times New Roman"/>
          <w:sz w:val="18"/>
          <w:szCs w:val="18"/>
          <w:i w:val="1"/>
          <w:iCs w:val="1"/>
          <w:color w:val="auto"/>
        </w:rPr>
        <w:t>Fair value of financial instruments.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Provisions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Restructuring</w:t>
            </w:r>
          </w:p>
        </w:tc>
      </w:tr>
      <w:tr>
        <w:trPr>
          <w:trHeight w:val="21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20,060</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Additional provisions recognized</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Unwinding of discount effect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(4,708)</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Charged to other comprehensive (loss)/income: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Exchange differences</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9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15,889</w:t>
            </w:r>
          </w:p>
        </w:tc>
        <w:tc>
          <w:tcPr>
            <w:tcW w:w="100" w:type="dxa"/>
            <w:vAlign w:val="bottom"/>
            <w:tcBorders>
              <w:top w:val="single" w:sz="8" w:color="CFF0FC"/>
            </w:tcBorders>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20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restructuring provisions are primarily related to exit costs for the closure of the production facility in Singapore in 2024. The remaining amounts relating to the closure of the facility are expected to be paid throughout 2026 and into the first quarter of 2027.</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also recorded provisions related to organizational restructuring.</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Group had $1.1 million in cash outflows relating to organizational restructuring and $3.5 million in cash outflows relating to the closure of the production facility in Singapore.</w:t>
      </w:r>
    </w:p>
    <w:p>
      <w:pPr>
        <w:sectPr>
          <w:pgSz w:w="11900" w:h="16838" w:orient="portrait"/>
          <w:cols w:equalWidth="0" w:num="1">
            <w:col w:w="11240"/>
          </w:cols>
          <w:pgMar w:left="320" w:top="765" w:right="3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Accrued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32,429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32,322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25,340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28,709</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logistic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13,037</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10,940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8,998</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7,797</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7,321</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6,739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109,923</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107,932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Related Party Disclosures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to Related Parties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Information about share-based compensation to related parties is found in Note 6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On April 18, 2023 the Company issued Convertible Notes to related parties, Nativus Company Limited and Verlinvest, with a fair value of $174.0 million. As of March 31, 2026, the fair value of the outstanding Convertible Notes to related parties amounted to $180.1 million. The Convertible Notes were issued with the terms and conditions described in Note 19 </w:t>
      </w:r>
      <w:r>
        <w:rPr>
          <w:rFonts w:ascii="Times New Roman" w:cs="Times New Roman" w:eastAsia="Times New Roman" w:hAnsi="Times New Roman"/>
          <w:sz w:val="18"/>
          <w:szCs w:val="18"/>
          <w:i w:val="1"/>
          <w:iCs w:val="1"/>
          <w:color w:val="auto"/>
        </w:rPr>
        <w:t>Interest-bearing loans and borrowings.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Loss Per Share</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calculates loss per share by dividing loss for the period attributable to the shareholders of the parent by the weighted average number of ordinary shares outstanding during the period (net of treasury shares).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Diluted loss per share is calculated by dividing the loss for the period attributable to the shareholders of the parent (after adjusting for fair value change and interest on the Convertible Notes) by the weighted average number of ordinary shares outstanding during the period (net</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of treasury shares) plus the weighted average number of ordinary shares that would be issued on conversion of all the potential dilutive ordinary shares into ordinary shares.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reflects the loss and share data used in the basic and diluted loss per share calculations: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56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68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year, attributable to the shareholders of the parent</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(12,006)</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(12,430)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Shares used in computation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624,500,001</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598,559,840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loss per share, U.S. $</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(0.02)</w:t>
            </w: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ADSs (1 ADS representing 20 ordinary shares)</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31,225,000</w:t>
            </w:r>
          </w:p>
        </w:tc>
        <w:tc>
          <w:tcPr>
            <w:tcW w:w="24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29,927,992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loss per ADS, U.S. $</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(0.38)</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(0.42)</w:t>
            </w: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year, attributable to the shareholders of the parent</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(12,006)</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(12,430)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gains on dilutive Convertible Notes</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(22,098)</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on dilutive Convertible Notes</w:t>
            </w: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used in the computation of diluted loss per share</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(12,006)</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(25,653)</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Shares used in computation</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624,500,001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598,559,840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Convertible Notes</w:t>
            </w: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624,500,001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999,176,184</w:t>
            </w:r>
          </w:p>
        </w:tc>
        <w:tc>
          <w:tcPr>
            <w:tcW w:w="100" w:type="dxa"/>
            <w:vAlign w:val="bottom"/>
          </w:tcPr>
          <w:p>
            <w:pPr>
              <w:spacing w:after="0"/>
              <w:rPr>
                <w:sz w:val="18"/>
                <w:szCs w:val="18"/>
                <w:color w:val="auto"/>
              </w:rPr>
            </w:pPr>
          </w:p>
        </w:tc>
      </w:tr>
      <w:tr>
        <w:trPr>
          <w:trHeight w:val="25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loss per share, U.S. $</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(0.03)</w:t>
            </w:r>
          </w:p>
        </w:tc>
      </w:tr>
      <w:tr>
        <w:trPr>
          <w:trHeight w:val="196"/>
        </w:trPr>
        <w:tc>
          <w:tcPr>
            <w:tcW w:w="76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number of ADSs (1 ADS representing 20 ordinary shares)</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31,225,000</w:t>
            </w:r>
          </w:p>
        </w:tc>
        <w:tc>
          <w:tcPr>
            <w:tcW w:w="240" w:type="dxa"/>
            <w:vAlign w:val="bottom"/>
            <w:tcBorders>
              <w:top w:val="single" w:sz="8" w:color="CFF0FC"/>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49,958,809</w:t>
            </w:r>
          </w:p>
        </w:tc>
        <w:tc>
          <w:tcPr>
            <w:tcW w:w="100" w:type="dxa"/>
            <w:vAlign w:val="bottom"/>
            <w:tcBorders>
              <w:top w:val="single" w:sz="8" w:color="CFF0FC"/>
            </w:tcBorders>
          </w:tcPr>
          <w:p>
            <w:pPr>
              <w:spacing w:after="0"/>
              <w:rPr>
                <w:sz w:val="17"/>
                <w:szCs w:val="17"/>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loss per ADS, U.S. $</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(0.38)</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(0.51)</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-2322195</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-2013585</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-333375</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5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0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representing ordinary shares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31,463,660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16,133,220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representing ordinary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8,911,360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11,410,060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359,462,635</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potential dilutive shares from the Convertible Notes are calculated assuming the most advantageous conversion price from the standpoint of the holder</w:t>
      </w:r>
    </w:p>
    <w:p>
      <w:pPr>
        <w:spacing w:after="0" w:line="12" w:lineRule="exact"/>
        <w:rPr>
          <w:rFonts w:ascii="Times New Roman" w:cs="Times New Roman" w:eastAsia="Times New Roman" w:hAnsi="Times New Roman"/>
          <w:sz w:val="16"/>
          <w:szCs w:val="16"/>
          <w:color w:val="auto"/>
        </w:rPr>
      </w:pPr>
    </w:p>
    <w:p>
      <w:pPr>
        <w:ind w:right="2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and assuming all capitalized interest at maturity will be settled with shares or ADSs, and after considering the repurchases and cancellations of an aggregate amount of $42.9 million Convertible Notes that occurred on October 3, 2025. For further details on the Convertible Notes, the conversion price reset mechanism and the repurchases and cancellations see Note 19 </w:t>
      </w:r>
      <w:r>
        <w:rPr>
          <w:rFonts w:ascii="Times New Roman" w:cs="Times New Roman" w:eastAsia="Times New Roman" w:hAnsi="Times New Roman"/>
          <w:sz w:val="16"/>
          <w:szCs w:val="16"/>
          <w:i w:val="1"/>
          <w:iCs w:val="1"/>
          <w:color w:val="auto"/>
        </w:rPr>
        <w:t>Interest-bearing loans and borrowings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Commitments and Contingencies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Minimum Purchase Commitments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three months ended March 31, 2026, volume adjustments related to co-packer arrangements in Europe &amp; International and North America resulted in volume shortfall expenses of $2.4 million. The shortfall expenses are presented in cost of goods sold in the consolidated statement of operations.</w:t>
      </w:r>
    </w:p>
    <w:p>
      <w:pPr>
        <w:spacing w:after="0" w:line="2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future cash outflows relating to leases that have not yet commenced are disclosed in Note 11 </w:t>
      </w: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This Report on Form 6-K (the “Report”) contains forward-looking statements within the meaning of the Private Securities Litigation Reform Act of 1995 that relate to our current expectations and views of future events. These forward-looking statements are contained principally in this Item 2.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These statements relate to events that involve known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unknown risks, uncertainties and other factors, including those listed under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20-F for the year ended December 31, 2025 (our “2025 Annual Report”), those listed under Part II, Item 1A of this Report and other filings with the SEC, which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All statements contained in this Report that do not relate to matters of historical fact should be considered forward-looking statements, including, without limitation, statements regarding our future results of operations and financial position, industry and business trends, business strategy, market growth, and anticipated cost savings. In some cases, these forward-looking statements can be identified by words or phrases such as “forecast”, “project”, “should” “may”, “will”, “expect”, “anticipate”, “aim”, “estimate”, “intend”, “plan”, “believe”, “potential”, “continue”, “is/are likely to” or other similar expressions.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our 2025 Annual Report, the risk factors set forth in this Report on Form 6-K and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achieve or sustain profitability, including due to elevated inflation and increased costs for transportation, energy, and materials;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financial condition and results of operations may be adversely affected by reduced or limited availability of oats and other raw materials and ingredients, which meet our quality standards, that our limited number of suppliers are able to sell to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obtain necessary capital when needed on acceptable terms, or at all, may force us to delay, limit, reduce or terminate our product manufacturing and development and other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components of all our products are manufactured in our production facilities, and damage or disruption at these facilities has in the past harmed, and may in the future harm, our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or reputation may be harmed due to real or perceived quality, food safety, nutrition or sustainability issues with our products, which could have an adverse effect on our business, reputation, financial condition and results of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customers, the loss of a significant customer or the decrease of sales from a significant customer, could negatively impact our sales and profitability;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oatmilk varieties contribute a significant portion of our revenue and a reduction in such sales would have an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largely an asset-light business model blending a heavy reliance on our co-manufacturing partners in addition to in-house capacity expansions where appropriate;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partnerships with our co-manufacturers may not be successful, which could adversely affect our operations and manufacturing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logistics providers to deliver our products on time, or at all, could result in lost sales;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ramp up operations at any of our or our co-manufacturing partners’ facilities, or these facilities may not operate in accordance with our expectations;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left="503" w:right="6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maintain our brand, our business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introduce new products or successfully improve existing products may adversely affect our ability to continue to grow;</w:t>
      </w:r>
    </w:p>
    <w:p>
      <w:pPr>
        <w:spacing w:after="0" w:line="117" w:lineRule="exact"/>
        <w:rPr>
          <w:rFonts w:ascii="Times New Roman" w:cs="Times New Roman" w:eastAsia="Times New Roman" w:hAnsi="Times New Roman"/>
          <w:sz w:val="18"/>
          <w:szCs w:val="18"/>
          <w:color w:val="auto"/>
        </w:rPr>
      </w:pPr>
    </w:p>
    <w:p>
      <w:pPr>
        <w:ind w:left="503" w:right="340" w:hanging="503"/>
        <w:spacing w:after="0" w:line="312" w:lineRule="auto"/>
        <w:tabs>
          <w:tab w:leader="none" w:pos="50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spacing w:after="0" w:line="31" w:lineRule="exact"/>
        <w:rPr>
          <w:rFonts w:ascii="Times New Roman" w:cs="Times New Roman" w:eastAsia="Times New Roman" w:hAnsi="Times New Roman"/>
          <w:sz w:val="17"/>
          <w:szCs w:val="17"/>
          <w:color w:val="auto"/>
        </w:rPr>
      </w:pPr>
    </w:p>
    <w:p>
      <w:pPr>
        <w:ind w:left="503" w:right="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for our products are difficult to predict and may change, and, if we are unable to respond quickly to new trends, our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future growth effectively, including maintenance of our workforce, our business, financial condition and results of operations could be materially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spacing w:after="0" w:line="7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technology systems and any inadequacy, failure or interruption of, or cybersecurity incidents affecting, those systems may harm our reputation and ability to effectively operate our business;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other technology disruptions could negatively impact our business and our relationships with customers;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remain competitive, we believe we will need to adopt artificial intelligence and other machine learning technologies;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agreements do not contain long-term commitments and do not require our customers to continue purchasing products from us and this may negatively impact our business or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as we expand our operations into countries in which we have no prior operating experience;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review of our Greater China business may not be successful;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China could expose us to substantial business, regulatory, political, financial and economic risks;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nature of our business subjects us to additional global economic and geopolitical risks;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trade compliance and economic sanctions laws and regulations of the United States, the EU and other applicable international jurisdictions, it could materially adversely affect our reputation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debt agreements contain a floating interest rate component and as a result, an increase in market interest rates will increase our future interest payments under such agreements;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the risk of fluctuations in currency exchange rates;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cash and cash equivalents at financial institutions, often in amounts exceeding insured limits, and the failure of one or more of these institutions could result in a loss of deposits and adversely affect our liquidity or ability to raise capital;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costs are volatile and may rise significantly, which may negatively impact the profitability of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 may impact, and may have a disproportionate effect on, our overall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could expose us to significant liabilities or costs and have a negative impact on our reputation or business;</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5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481330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6" w:name="page27"/>
    <w:bookmarkEnd w:id="26"/>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or to attract, train and retain qualified employees may adversely affect our operations or our ability to grow successfully;</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company culture or focus on our mission as we grow, our success and our business and competitive position may be harmed;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may not provide adequate levels of coverage against claims or we may be unable to find insurance with sufficient coverage at a reasonable cost;</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worldwide economy may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inflation, interest rates and supply chain constraints;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to organizations with international operations, which could harm our business, and global conflicts, including the ongoing conflict in Iran;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government investigations or other regulatory enforcement actions could subject us to civil and criminal penalties;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U.S., EU, China and other laws and regulations, and there is no assurance that we will be in compliance with all applicable laws and regulations;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 or the adoption of new laws or regulations may increase our costs and otherwise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environmental regulation and potentially subject to environmental litigation, proceedings and investigations;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enforce or defend our intellectual property and other proprietary rights adequately, which may impact our commercial success;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identified material weaknesses in our internal control environment. Although we have remediated these material weaknesses, if other material weaknesses in internal controls are identified, we may not be able to report our financial results accurately, prevent fraud or file our periodic reports as a public company in a timely manner;</w:t>
      </w:r>
    </w:p>
    <w:p>
      <w:pPr>
        <w:spacing w:after="0" w:line="6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 has significant influence over us, including significant influence over decisions that require the approval of shareholders;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the market price of our ADSs have been, and may be, volatile, and you may lose all or part of your investment;</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not subject to U.S. proxy rules and are subject to Exchange Act reporting obligations that, to some extent, are more lenient and less frequent than those of a U.S. domestic public company, however the U.S. SEC is re-evaluating its disclosure rules for foreign private issuers;</w:t>
      </w:r>
    </w:p>
    <w:p>
      <w:pPr>
        <w:spacing w:after="0" w:line="6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or future changes to the U.S. SEC’s rules and regulations may change the reporting requirements for foreign private issuers, which could result in significant additional costs and expenses;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a “foreign private issuer” and follow certain home country corporate governance practices, our shareholders may not have the same protections afforded to shareholders of companies that are subject to all Nasdaq corporate governance requirements;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exercise your right to vote the ordinary shares underlying your ADSs;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of ADSs may be subject to limitations on transfer of their ADSs;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holders may not be entitled to a jury trial with respect to claims arising under the deposit agreement, which could result in less favorable outcomes to the plaintiff(s) in any such action;</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ADSs or ordinary shares have limited choice of forum, which could limit your ability to obtain a favorable judicial forum for complaints against us, the depositary or our respective directors, officers or employees;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subject to securities litigation, which is expensive and could divert management attention;</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issued and outstanding ADSs are eligible to be sold into the market, which could cause the market price of our ADSs to drop significantly, even if our business is doing well;</w:t>
      </w:r>
    </w:p>
    <w:p>
      <w:pPr>
        <w:spacing w:after="0" w:line="15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481330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7" w:name="page28"/>
    <w:bookmarkEnd w:id="27"/>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dividends on our ADSs in the future and, consequently, your ability to achieve a return on your investment will depend on the appreciation in the price of our ADSs;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face difficulties in protecting their interests because we are a Swedish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difficulties in enforcing foreign judgments against us, and our directors or our management;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Oatly Group AB (publ) is a holding company with no operations of its own and, as such, it depends on its subsidiaries for cash to fund its operations and expenses, including future dividend payments, if any;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treated as a passive foreign investment company, U.S. holders of our ordinary shares or ADSs subject to U.S. federal income tax may suffer material adverse tax consequences;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United States person is treated as owning at least 10% of our shares, such holder may be subject to adverse U.S. federal income tax consequences;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 or assessments could affect our profitability, and audits by tax authorities could result in additional tax payments;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indebtedness that may decrease our business flexibility, access to capital, and/or increase our future borrowing costs;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flows to service our outstanding debt and fund operations and may be forced to take other actions to satisfy our obligations under such debt;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may restrict our operating activities and adversely affect our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provisions of the Convertible Notes may delay or prevent an otherwise beneficial asset disposition or takeover attempt of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the Convertible Notes may dilute the ownership interests of holders of our ADSs or ordinary shares and may adversely impact the value of such securities;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arbitrage or hedging strategies by purchasers of the Convertible Notes may affect the value of our ordinary shares and the conversion price for the Convertible Notes may negatively impact the value of our ADSs;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an active or liquid market for our ADSs will be sustained, and volatility in the public trading markets could prevent investors from reselling their ADSs at or above the price they paid;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publishing research or reports about us, our business or our market, or if they change their recommendations regarding our ADSs adversely, the price and trading volume of our ADSs could decline;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incur increased costs as a result of operating as a public company, and our management is required to devote substantial time to new compliance initiatives and corporate governance practices.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on which the statements are made in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and the documents that we reference in this Report and have filed as exhibits to this Report completely and with the understanding that our actual future results or performance may be materially different from what we expect.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milks, ice creams, yogurts, cooking creams, spreads and on-the-go drinks. Since our founding, we have had a bold vision for a food system that is better for people and the planet. We believe that transforming the food industry is necessary to face humanity’s greatest challenges across climate, environment, health and lifestyle and have not only positioned our brand to capitalize on the growing consumer interest in sustainable, plant- based foods and dairy alternatives, but we have become a driving force behind increased consumer awareness and transition from traditional dairy consumers to Oatly.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Trends and Other Factors Affecting our Business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Actions on Organizational Structure</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continue to execute on our strategic priorities focused on achieving profitable growth. These actions are aimed at setting clear priorities for our teams, reducing complexity to increase organizational agility, and executing a more asset-light supply chain strategy.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executing these actions, we simplified our organizational structure. We reviewed the organizational structure to adjust the fixed cost base globally, including employee-related costs, professional services, and other related costs.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Strategic Review of China Business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2025, we initiated a strategic review of our Greater China business. The review consider a range of options, including a potential carve-out of the Greater China segment, with the goal of accelerating growth and maximizing the value of the business. We continue to operate in the Greater China market, including operating our production facility, and we remain committed to our customers, consumers, and employees as we look to maximize the value of this part of the business. While there is no definitive timetable for completing the strategic review, we expect to complete the strategic review within 2026. We do not intend to provide further updates unless and until the Board of Directors approves a specific course of action or determines that additional disclosure is appropriate or required. We caution that there can be no assurances that the process will result in any transaction or strategic change.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Current Macroeconomic Environment on our Results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business continues to be exposed to the effects of the current global macroeconomic environment, including consumer spending, inflationary pressures, geopolitical tensions, tariffs and the current trade war, and foreign exchange impacts. We continue to maintain a global focus on the controllable aspects of the business, and will continue to actively monitor and respond accordingly to the macroeconomic environment.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refer to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2025 Annual Report.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sales of our oatmilk and other oat-based products across our three segments: Europe &amp; International, North America and Greater China. Our customers include retailers, coffee shops, e-commerce channels and other specialty providers within the foodservice industry.</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Europe &amp; International is our largest revenue-producing segment, followed by the North America and Greater China segments. Currently, our primary markets in Europe &amp; International are the United Kingdom, Germany and Sweden. In North America, substantially all of our revenue to date can be attributed to the United States, and in Greater China, the majority of our revenue is generated in China. The channel and product mix vary by country, where our more mature markets, such as Sweden and Finland, have a broader product portfolio available to customers and consumers. For the three months ended March 31, 2026, on a consolidated level, oatmilk accounted for 93% of our revenue (2025: 92%).</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routinely offer sales discounts and promotions through various programs to customers. These programs include rebates, temporary on-shelf price reductions, retail advertisements, product coupons and other trade activities. The expense associated with these discounts and promotions is estimated and recorded as a reduction in total gross revenue in order to arrive at reported revenue. These promotional activities impact our revenue and changes in such activities could impact period-over-period results.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factors and trends in our business have driven revenue growth over prior periods and are expected to be key drivers of our revenue growth going forward: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9" w:name="page30"/>
    <w:bookmarkEnd w:id="29"/>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household penetration to reach new consumers and increase the repeat purchase rates of existing consumers by continuing to invest in advertising and marketing to increase awareness of our brand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across channels:</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oGrow within food retail channels by increasing our distribution points with existing and new customers, capturing greater shelf space and continuing to drive strong velocities.</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oExpand footprint across the foodservice channel, including independent coffee shops, branded foodservice restaurant chains, and other foodservice customers such as universities and offices.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product offering through new product development within existing and new product categories to capture the market-specific consumer needs in each of the regions in which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international markets through our proven foodservice-led strategy.</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revenue, as a result of the scaling of our business and optimizing our production footprint.</w:t>
      </w: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Gross profit consists of our revenue less costs of goods sold. We have scaled our production capacity significantly over the past couple of years. Our gross profit margin has benefited from dilution of fixed costs, supply chain efficiencies and the localization of production capacity closer to our customers and consumers. Over time, we expect to further improve our manufacturing operational performance and leverage the cost of our fixed production and staff costs, including a higher focus on procurement efficiencies through scale of purchasing and diversification of suppliers.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consist primarily of personnel-related expenses for our research and development staff,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spacing w:after="0" w:line="17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include primarily personnel-related expenses for our sales, general and administrative staff,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spacing w:after="0" w:line="182"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and (expenses), net, </w:t>
      </w:r>
      <w:r>
        <w:rPr>
          <w:rFonts w:ascii="Times New Roman" w:cs="Times New Roman" w:eastAsia="Times New Roman" w:hAnsi="Times New Roman"/>
          <w:sz w:val="18"/>
          <w:szCs w:val="18"/>
          <w:color w:val="auto"/>
        </w:rPr>
        <w:t>consists primarily of impacts related to the strategic review of the Greater China segment, 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facility, discontinued construction of certain production facilities and net foreign exchange gains (losses) on operating related activities.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(expenses), net, </w:t>
      </w:r>
      <w:r>
        <w:rPr>
          <w:rFonts w:ascii="Times New Roman" w:cs="Times New Roman" w:eastAsia="Times New Roman" w:hAnsi="Times New Roman"/>
          <w:sz w:val="18"/>
          <w:szCs w:val="18"/>
          <w:color w:val="auto"/>
        </w:rPr>
        <w:t>primarily consists of fair value changes on Convertible Notes, transaction costs relating to in our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interest expenses related to interest-bearing loans and borrowings, interest expenses on lease liabilities, interest income and foreign exchange gains and losses attributable to our external and internal financing arrangements.</w:t>
      </w:r>
    </w:p>
    <w:p>
      <w:pPr>
        <w:spacing w:after="0" w:line="173"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represents both current and deferred income tax expenses. Current tax expenses primarily represent income taxes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 multiple foreign jurisdictions.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interim condensed consolidated statements of operations in U.S. dollars and as a percentage of revenue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4640" w:type="dxa"/>
            <w:vAlign w:val="bottom"/>
          </w:tcPr>
          <w:p>
            <w:pPr>
              <w:spacing w:after="0"/>
              <w:rPr>
                <w:sz w:val="17"/>
                <w:szCs w:val="17"/>
                <w:color w:val="auto"/>
              </w:rPr>
            </w:pPr>
          </w:p>
        </w:tc>
        <w:tc>
          <w:tcPr>
            <w:tcW w:w="1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08"/>
        </w:trPr>
        <w:tc>
          <w:tcPr>
            <w:tcW w:w="46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260" w:type="dxa"/>
            <w:vAlign w:val="bottom"/>
          </w:tcPr>
          <w:p>
            <w:pPr>
              <w:spacing w:after="0"/>
              <w:rPr>
                <w:sz w:val="9"/>
                <w:szCs w:val="9"/>
                <w:color w:val="auto"/>
              </w:rPr>
            </w:pPr>
          </w:p>
        </w:tc>
      </w:tr>
      <w:tr>
        <w:trPr>
          <w:trHeight w:val="155"/>
        </w:trPr>
        <w:tc>
          <w:tcPr>
            <w:tcW w:w="4640" w:type="dxa"/>
            <w:vAlign w:val="bottom"/>
          </w:tcPr>
          <w:p>
            <w:pPr>
              <w:spacing w:after="0"/>
              <w:rPr>
                <w:sz w:val="13"/>
                <w:szCs w:val="13"/>
                <w:color w:val="auto"/>
              </w:rPr>
            </w:pPr>
          </w:p>
        </w:tc>
        <w:tc>
          <w:tcPr>
            <w:tcW w:w="17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360" w:type="dxa"/>
            <w:vAlign w:val="bottom"/>
          </w:tcPr>
          <w:p>
            <w:pPr>
              <w:spacing w:after="0"/>
              <w:rPr>
                <w:sz w:val="13"/>
                <w:szCs w:val="13"/>
                <w:color w:val="auto"/>
              </w:rPr>
            </w:pPr>
          </w:p>
        </w:tc>
        <w:tc>
          <w:tcPr>
            <w:tcW w:w="17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3"/>
                <w:szCs w:val="13"/>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228,325</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(151,985)</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(66.6)%</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(135,200)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w:t>
            </w:r>
          </w:p>
        </w:tc>
      </w:tr>
      <w:tr>
        <w:trPr>
          <w:trHeight w:val="20"/>
        </w:trPr>
        <w:tc>
          <w:tcPr>
            <w:tcW w:w="46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76,340</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33.4%</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(4,876)</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(83,470)</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(36.6)%</w:t>
            </w:r>
          </w:p>
        </w:tc>
        <w:tc>
          <w:tcPr>
            <w:tcW w:w="2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(77,498)</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6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(11,349)</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w:t>
            </w:r>
          </w:p>
        </w:tc>
        <w:tc>
          <w:tcPr>
            <w:tcW w:w="2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(18,591)</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6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(12,253)</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w:t>
            </w:r>
          </w:p>
        </w:tc>
        <w:tc>
          <w:tcPr>
            <w:tcW w:w="2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(9,180)</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6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(12,129)</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w:t>
            </w:r>
          </w:p>
        </w:tc>
        <w:tc>
          <w:tcPr>
            <w:tcW w:w="2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(12,531)</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(12,006)</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2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(12,430)</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2026</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Revenue increased $30.8 million, or 15.6%, to $228.3 million for the three months ended March 31, 2026, net of sales discounts, rebates and trade promotions, compared to $197.5 million for the three months ended March 31, 2025. Excluding a foreign currency exchange tailwind of $14.9 million, revenue for the first quarter was $213.5 million, or a increase of 8.1% compared to the prior year period (refer to Non-IFRS Financial Measures section below for tables reconciling revenue as reported to revenue on a constant currency basis by segment). The growth in constant currency revenue was driven by another quarter of consistent performance in Europe &amp; International and growth in North America driven mainly by retail, partially offset by a foodservice-led decline in Greater China. Sold volume for the three months ended March 31, 2026 amounted to 152.6 million liters compared to 144.6 million liters for the three months ended March 31, 2025. Produced finished goods volume for the first quarter of 2025 amounted to 157.4 million liters compared to 143.1 million liters for the same period last year.</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25.2% for the three months ended March 31, 2026 compared to the prior year period. In the three months ended March 31, 2026 and 2025, the retail channel accounted for 68.8% and 63.5% of our revenue, respectively, the foodservice channel accounted for 29.6% and 34.2% of our revenue, respectively, and the other channel, comprised primarily of e-commerce sales, accounted for 1.6% and 2.3% of our revenue, respectively.</w:t>
      </w:r>
    </w:p>
    <w:p>
      <w:pPr>
        <w:spacing w:after="0" w:line="180" w:lineRule="exact"/>
        <w:rPr>
          <w:sz w:val="20"/>
          <w:szCs w:val="20"/>
          <w:color w:val="auto"/>
        </w:rPr>
      </w:pPr>
    </w:p>
    <w:p>
      <w:pPr>
        <w:jc w:val="both"/>
        <w:ind w:firstLine="505"/>
        <w:spacing w:after="0" w:line="282"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59.9%, 27.3% and 12.8% of our total revenue in the three months ended March 31, 2026, respectively, as compared to 54.5%, 30.3% and 15.2% of our total revenue in the three months ended March 31, 2025, respectively.</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increase in sold volume growth in Europe &amp; International was driven by continued expansion in core markets, as well as incremental contributions from new markets. The revenue growth was assisted by positive price/mix impact as well as foreign exchange tailwinds. In North America, our sold volume and revenue increased primarily due to growth in the retail channel and in foodservice excluding that channel’s largest customer. Finally, Greater China revenue decline was explained mainly by decline in the foodservice channel because of competition, partially offset by growth in retail.</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result of the strategic actions and restructuring activities we have undertaken to simplify our organizational structure, our number of employees has decreased by 89 employees, to 1,379 employees as of March 31, 2026 from 1,468 employees as of March 31, 2025. The average number of full-time consultants decreased by 4 consultants to 80 consultants for the three months ended March 31, 2026 from 84 consultants for the three months ended March 31,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Cost of goods sold increased by $16.8 million, or 12.4%, to $152.0 million for the three months ended March 31, 2026, from $135.2 million for the three months ended March 31, 2025.</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increase for the three months ended March 31, 2026 was primarily driven by a growth in volumes and foreign exchange headwinds, partially offset by supply chain efficiencies.</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Gross profit increased by $14.0 million, or 22.5%, to $76.3 million for the three months ended March 31, 2026, from $62.3 million for the three months ended March 31, 2025. Gross profit margin at 33.4% for the three months ended March 31, 2026 represented an increase of 188 basis points compared to 31.6% for the three months ended March 31, 2025.</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expansion in gross margin for the three months ended March 31, 2026 was explained by positive price/mix impact as well as improvements in supply chain efficiency in Europe &amp; International, partially offset by transportation and warehousing costs in North America as well as lower fixed cost absorption in Greater China.</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$0.5 million, or 11.0%, to $4.9 million for the three months ended March 31, 2026, from $4.4 million for the three months ended March 31, 2025 and decreased as a share of revenues to 2.1% from 2.2%,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for the three months ended March 31, 2026 was mainly driven by foreign exchange headwinds and product launch expenses.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$6.0 million, or 7.7%, to $83.5 million for the three months ended March 31, 2026 compared to $77.5 million for the three months ended March 31, 2025 and decreased as a share of revenue to 36.6% from 39.2%, respectively. The increase was primarily driven by customer distribution costs linked to growing volumes, as well as foreign exchange headwinds, partially offset by the continued cost savings initiatives. Customer distribution expense increased as a share of revenue to 7.1% from 6.7%, driven mainly by increasing freight rates in North America.</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Operating Income and (Expenses), net</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Other operating income and (expenses), net for the three months ended March 31, 2026 was an income of $0.7 million comprised primarily of net foreign exchange gains. Other operating income and (expenses), net for the three months ended March 31, 2025 was an income of $1.0 million comprised primarily of $0.8 million in reversal of other exit costs related to the closure of the production facility in Singapore.</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Finance Income and (Expenses), net</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Finance income and (expenses), net for the three months ended March 31, 2026 was an expense of $0.9 million comprised primarily of fair value gain on Convertible Notes of $12.3 million, offset by net interest expenses of $13.4 million. The finance income and (expenses), net for the three months ended March 31, 2025 was an income of $9.4 million comprised primarily of fair value gains on Convertible Notes of $22.1 million, offset by net interest expenses of $13.6 million.</w:t>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Benefit/(Expense)</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Total tax benefit for the three months ended March 31, 2026 was $0.1 million. Total tax expense for the three months ended March 31, 2025 was $3.4 million. The effective tax rate for the three months ended March 31, 2026 was (1.0%). The effective tax rate for the three months ended March 31, 2025 was 36.5%. The main drivers of the effective tax rate relate to non-recognition of deferred tax assets on tax losses and tax effect relating to foreign exchange effects recognized in other comprehensive income.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we have financed our operations primarily through cash generated by the issuance of equity, Convertible Notes and Nordic Bonds,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2026 to be in the range of $20 million to $30 million, related primarily to investments in our production facilities. The amount and allocation of our future capital expenditures depend on several factors, and our strategic investment priorities may change. We believe that our sources of liquidity and capital will be sufficient to meet our existing business needs for at least the next 12 months. See the Risk Factor entitled </w:t>
      </w:r>
      <w:r>
        <w:rPr>
          <w:rFonts w:ascii="Times New Roman" w:cs="Times New Roman" w:eastAsia="Times New Roman" w:hAnsi="Times New Roman"/>
          <w:sz w:val="18"/>
          <w:szCs w:val="18"/>
          <w:i w:val="1"/>
          <w:iCs w:val="1"/>
          <w:color w:val="auto"/>
        </w:rPr>
        <w:t>“A failure to obtain necessary capital when needed on acceptable terms, or at all, may force us to delay, limit,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reduce or terminate our product manufacturing and development and other operations” </w:t>
      </w:r>
      <w:r>
        <w:rPr>
          <w:rFonts w:ascii="Times New Roman" w:cs="Times New Roman" w:eastAsia="Times New Roman" w:hAnsi="Times New Roman"/>
          <w:sz w:val="18"/>
          <w:szCs w:val="18"/>
          <w:color w:val="auto"/>
        </w:rPr>
        <w:t>under Part I, Item 3.D.</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of our 2025 Annual Report.</w:t>
      </w:r>
    </w:p>
    <w:p>
      <w:pPr>
        <w:spacing w:after="0" w:line="19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on hand and availability under our credit facilities. As of March 31, 2026, we had cash and cash equivalents of $49.4 million. Our cash and cash equivalents consist of cash in bank accounts.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above, we had access to $75.2 million in undrawn SSRCF commitments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CMB Credit Facility and Super Senior Revolving Credit Facility Agreement (SSRCF)</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the Group’s indirect subsidiary Oatly Shanghai Co., Ltd. entered into a new RMB 30.0 million (equivalent of $4.2 million) working capital credit facility with China Merchants Bank Co., Ltd. Shanghai Branch (the “CMB Credit Facility”). Individual utilizations under the CMB Credit Facility are subject to the lender’s approval and are available for one year, are unsecured, and include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March 31, 2026, we had utilized loan amounts of RMB 30.0 million(equivalent of $4.3 million) under the CMB Credit Facility.</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September 30, 2025, we entered into a SEK 750 million (equivalent to $79.8 million) super senior revolving credit facility agreement with JP Morgan, Nordea and Rabobank (the “SSRCF”), which came into effect on October 3, 2025. The existing Sustainable Revolving Credit Facility Agreement (the “SRCF”)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(ii)minimum EBITDA (which ceases to apply following the third quarter of 2027), (iii) minimum liquidity (which ceases to apply following the third quarter of 2027), and (iv) total net leverage ratio (which commences to apply in respect of the LTM period ending on September 30, 2027). Moreover, the terms and conditions of the SSRCF contain certain negative covenants such as restrictions on dividends, indebtedness, liens, investments, acquisitions and asset disposals. Subject to certain exceptions, the payment of dividends by the Company generally requires that the total net leverage ratio of the Group is equal to or less than 3.50:1 (pro forma for the payment).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March 31, 2026, we had access to $75.2 million in undrawn SSRCF commitments.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12"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Certain of our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0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3" w:name="page34"/>
    <w:bookmarkEnd w:id="33"/>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February 18, 2025, we completed a ratio change whereby the ratio of our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0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we, in accordance with the terms and conditions of the Swedish Notes (the “Swedish Terms”), will interpret the definition of “Daily VWAP” therein to assume the trading price of 1/20 of an ADS. The conversion price of the Swedish Notes was reset again on March 23, 2025, to $1.36.</w:t>
      </w:r>
    </w:p>
    <w:p>
      <w:pPr>
        <w:spacing w:after="0" w:line="10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may require conversion of the Convertible Notes if the last reported sale price of our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11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we,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spacing w:after="0" w:line="11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w:t>
      </w:r>
    </w:p>
    <w:p>
      <w:pPr>
        <w:spacing w:after="0" w:line="3" w:lineRule="exact"/>
        <w:rPr>
          <w:sz w:val="20"/>
          <w:szCs w:val="20"/>
          <w:color w:val="auto"/>
        </w:rPr>
      </w:pPr>
    </w:p>
    <w:p>
      <w:pPr>
        <w:jc w:val="both"/>
        <w:ind w:firstLine="8"/>
        <w:spacing w:after="0" w:line="255" w:lineRule="auto"/>
        <w:tabs>
          <w:tab w:leader="none" w:pos="3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0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our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spacing w:after="0" w:line="10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our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spacing w:after="0" w:line="10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October 3, 2025, we completed a series of privately negotiated repurchases and cancellations of an aggregate amount of $42.9 million U.S. Notes in exchange for $24.6 million in cash and 898,134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Nordic Bonds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On September 30, 2025, we issued SEK denominated senior secured floating rate bonds (the “Nordic Bonds”) under the terms and conditions entered into by us with Nordic Trustee &amp; Agency AB (publ) on September 29, 2025. The Nordic Bonds have an initial issue amount of SEK 1,700 million (equivalent of $180.9 million) and a tenor off our years, subject to certain early redemption features. Following the satisfaction of certain conditions, the proceeds from the Nordic Bonds were released to us from escrow on October 3, 2025, and used to prepay the Term Loan B Credit Agreement in full, repurchase and cancel certain of the U.S. Notes and pay related transaction costs. The Nordic Bonds accrue interest at an interest rate equal to 3-month STIBOR plus 7.00 per cent.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Nordic Bonds or is subordinated to the Nordic Bonds, (iv) a distribution incurrence test (total net leverage ratio of the Group shall be equal to or less than 2.75:1, proforma for the payment) which applies in respect of certain distributions by us to our shareholders, including dividends, and (v) other negative covenants such as restrictions on indebtedness, liens and asset disposals. As of March 31, 2026, we had SEK 1,714 million (equivalent of $179.2 million) outstanding under the Nordic Bonds, including accrued interest.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debt under the Nordic Bonds and the SSRCF share in the same security and guarantees from material companies in the Group by way of an intercreditor agreement entered into by us on September 30, 2025 (the “New Intercreditor Agreement”), which replaced the Prior Intercreditor Agreement. The security provided for the SSRCF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6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80" w:type="dxa"/>
            <w:vAlign w:val="bottom"/>
            <w:tcBorders>
              <w:bottom w:val="single" w:sz="8" w:color="auto"/>
            </w:tcBorders>
          </w:tcPr>
          <w:p>
            <w:pPr>
              <w:jc w:val="right"/>
              <w:ind w:right="8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(5,201)</w:t>
            </w:r>
          </w:p>
        </w:tc>
        <w:tc>
          <w:tcPr>
            <w:tcW w:w="8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(13,558)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(6,265)</w:t>
            </w:r>
          </w:p>
        </w:tc>
        <w:tc>
          <w:tcPr>
            <w:tcW w:w="8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(6,649)</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(2,823)</w:t>
            </w:r>
          </w:p>
        </w:tc>
        <w:tc>
          <w:tcPr>
            <w:tcW w:w="8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(5,064)</w:t>
            </w:r>
          </w:p>
        </w:tc>
      </w:tr>
    </w:tbl>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operating activities decreased by $8.4 million, to $5.2 million for the three months ended March 31, 2026 from $13.6 million for the three months ended March 31, 2025, which was primarily driven by improved operating result and improvements in net working capital.</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decreased by $0.4 million, to $6.3 million for the three months ended March 31, 2026 from $6.6 million for the three months ended March 31, 2025. During the three months ended March 31, 2026 our investments in property, plant and equipment amounted to $5.6 million. For the three months ended March 31, 2025 our investments in property plant and equipment amounted to $6.7 million.</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financing activities decreased by $2.2 million, to $2.8 million for the three months ended March 31, 2026 from $5.1 million for the three months ended March 31, 2025, which was primarily driven by proceeds from liabilities to credit institutions in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7"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contractual commitments and contingencies, see Note 24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interim condensed consolidated financial statements, which are included elsewhere in this Report.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and non-controlling interests.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1020" w:right="1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strategic review of the Greater China business that reduce cash available to us;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20" w:type="dxa"/>
            <w:vAlign w:val="bottom"/>
            <w:tcBorders>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(12,129)</w:t>
            </w: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(12,531)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(9,411)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2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(7,410)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3280" w:type="dxa"/>
            <w:vAlign w:val="bottom"/>
            <w:gridSpan w:val="3"/>
            <w:shd w:val="clear" w:color="auto" w:fill="CFF0FC"/>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4,963</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(3,731)</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(2)Relates to costs for the strategic review of the Greater China segment.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(3)Relates to reversal of previously recognized exit costs related to closure of the Group’s production facility in Singapore.</w:t>
      </w:r>
    </w:p>
    <w:p>
      <w:pPr>
        <w:spacing w:after="0" w:line="230"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reconciles revenue as reported to revenue on a constant currency basis by segment for the three months ended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31,</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40" w:type="dxa"/>
            <w:vAlign w:val="bottom"/>
            <w:vMerge w:val="continue"/>
          </w:tcPr>
          <w:p>
            <w:pPr>
              <w:spacing w:after="0"/>
              <w:rPr>
                <w:sz w:val="5"/>
                <w:szCs w:val="5"/>
                <w:color w:val="auto"/>
              </w:rPr>
            </w:pPr>
          </w:p>
        </w:tc>
        <w:tc>
          <w:tcPr>
            <w:tcW w:w="1160" w:type="dxa"/>
            <w:vAlign w:val="bottom"/>
            <w:tcBorders>
              <w:bottom w:val="single" w:sz="8" w:color="auto"/>
            </w:tcBorders>
            <w:gridSpan w:val="2"/>
            <w:vMerge w:val="continue"/>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960" w:type="dxa"/>
            <w:vAlign w:val="bottom"/>
            <w:vMerge w:val="restart"/>
          </w:tcPr>
          <w:p>
            <w:pPr>
              <w:jc w:val="right"/>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5"/>
                <w:szCs w:val="5"/>
                <w:color w:val="auto"/>
              </w:rPr>
            </w:pPr>
          </w:p>
        </w:tc>
        <w:tc>
          <w:tcPr>
            <w:tcW w:w="740" w:type="dxa"/>
            <w:vAlign w:val="bottom"/>
            <w:vMerge w:val="restart"/>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4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136,79</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123,27</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940" w:type="dxa"/>
            <w:vAlign w:val="bottom"/>
            <w:gridSpan w:val="2"/>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26"/>
        </w:trPr>
        <w:tc>
          <w:tcPr>
            <w:tcW w:w="254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136,796</w:t>
            </w:r>
          </w:p>
        </w:tc>
        <w:tc>
          <w:tcPr>
            <w:tcW w:w="2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62,117</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28,069</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7"/>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228,32</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213,45</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15.6%</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w:t>
            </w:r>
          </w:p>
        </w:tc>
        <w:tc>
          <w:tcPr>
            <w:tcW w:w="9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144"/>
        </w:trPr>
        <w:tc>
          <w:tcPr>
            <w:tcW w:w="254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228,325</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197,530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14,868</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-307975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-307975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-307975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80" w:type="dxa"/>
            <w:vAlign w:val="bottom"/>
            <w:tcBorders>
              <w:bottom w:val="single" w:sz="8" w:color="auto"/>
            </w:tcBorders>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460" w:type="dxa"/>
            <w:vAlign w:val="bottom"/>
            <w:tcBorders>
              <w:bottom w:val="single" w:sz="8" w:color="auto"/>
            </w:tcBorders>
          </w:tcPr>
          <w:p>
            <w:pPr>
              <w:jc w:val="right"/>
              <w:ind w:right="10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9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(5,201)</w:t>
            </w:r>
          </w:p>
        </w:tc>
        <w:tc>
          <w:tcPr>
            <w:tcW w:w="9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(13,558)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(6,492)</w:t>
            </w:r>
          </w:p>
        </w:tc>
        <w:tc>
          <w:tcPr>
            <w:tcW w:w="9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(6,951)</w:t>
            </w:r>
          </w:p>
        </w:tc>
      </w:tr>
      <w:tr>
        <w:trPr>
          <w:trHeight w:val="20"/>
        </w:trPr>
        <w:tc>
          <w:tcPr>
            <w:tcW w:w="59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(11,693)</w:t>
            </w:r>
          </w:p>
        </w:tc>
        <w:tc>
          <w:tcPr>
            <w:tcW w:w="9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(20,509)</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-25400</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$11.7 million for the three months ended March 31, 2026 compared to an outflow of $20.5 million during the prior year period. The improvement in free cash flow was driven by decreased net cash flows used in operating activities and lower capital expenditures.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136,796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(696)</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137,492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62,190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29,339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31,568</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659</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(26,497)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(538)</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31,068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(28,377)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(12,253)</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(689)</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108,354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29,979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15,536</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1,129</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(22,014)</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(3,731)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(468)</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(668)</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15,914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(24,555)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(7,410)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(9,180)</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45"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2026 and 2025 refer to intersegment revenue for sales of products from Europe &amp; International to Greater China and North America.</w:t>
      </w:r>
    </w:p>
    <w:p>
      <w:pPr>
        <w:spacing w:after="0" w:line="3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3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w:t>
      </w:r>
    </w:p>
    <w:p>
      <w:pPr>
        <w:spacing w:after="0" w:line="4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reversal of previously recognized exit costs related to closure of the Group’s production facility in Singapore.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449"/>
        <w:spacing w:after="0" w:line="232" w:lineRule="exact"/>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or other contractually narrow or limited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We prepare our interim condensed consolidated financial statements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Preparing these financial statements requires us to make estimates and assumptions that affect the reported amounts of assets, liabilities, equity, revenue, expenses, and related disclosures. We evaluate our estimates and assumptions on an ongoing basis. Our estimates are based on historical experience and various other assumptions that we believe to be reasonable under the circumstances. Our actual results may differ from these estimates. Other companies in similar businesses may use different estimation policies and methodologies, which may impact the comparability of our financial condition, results of operations and cash flows to those of other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“Critical Accounting Estimates” in our 2025 Annual Report and the notes to the audited financial statements in our 2025 Annual Report. Our critical accounting policies and estimates are the same as those discussed in our 2025 Annual Report.</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accounting policies</w:t>
      </w:r>
      <w:r>
        <w:rPr>
          <w:rFonts w:ascii="Times New Roman" w:cs="Times New Roman" w:eastAsia="Times New Roman" w:hAnsi="Times New Roman"/>
          <w:sz w:val="18"/>
          <w:szCs w:val="18"/>
          <w:color w:val="auto"/>
        </w:rPr>
        <w:t xml:space="preserve"> to our interim condensed consolidated financial statements appearing elsewhere in this Report.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Qualitative and Quantitative Disclosures about Market Risk</w:t>
      </w:r>
    </w:p>
    <w:p>
      <w:pPr>
        <w:spacing w:after="0" w:line="22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 xml:space="preserve">We are exposed to certain market risks in the ordinary course of our business. These risks primarily consist of foreign exchange risk, interest rate risk, credit risk, liquidity risk and commodity price risk. For further discussion and sensitivity analysis of these risks, see Note 3 </w:t>
      </w:r>
      <w:r>
        <w:rPr>
          <w:rFonts w:ascii="Times New Roman" w:cs="Times New Roman" w:eastAsia="Times New Roman" w:hAnsi="Times New Roman"/>
          <w:sz w:val="18"/>
          <w:szCs w:val="18"/>
          <w:i w:val="1"/>
          <w:iCs w:val="1"/>
          <w:color w:val="auto"/>
        </w:rPr>
        <w:t>Financial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to our audited consolidated financial statements for the year ended December 31, 2025 included in our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There have been no material changes to our risk factors since those reported in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of our 2025 Annual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 in Part II of the Company’s Report on Form 6-K filed on November 15, 2021 is incorporated by reference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Marie-José David,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investors@oatly.com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press.us@oatly.com</w:t>
      </w:r>
    </w:p>
    <w:p>
      <w:pPr>
        <w:spacing w:after="0" w:line="20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This information is information that Oatly Group AB (publ) is obliged to make public pursuant to the EU Market Abuse Regulation. The information was submitted for publication, through the agency of the contact person set out above, at 07:00 ET on April 29, 2026.</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Oatly Group AB (publ)</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6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2860" w:type="dxa"/>
            <w:vAlign w:val="bottom"/>
            <w:vMerge w:val="continue"/>
          </w:tcPr>
          <w:p>
            <w:pPr>
              <w:spacing w:after="0"/>
              <w:rPr>
                <w:sz w:val="15"/>
                <w:szCs w:val="15"/>
                <w:color w:val="auto"/>
              </w:rPr>
            </w:pPr>
          </w:p>
        </w:tc>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Marie-José David</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Roman"/>
      <w:start w:val="3"/>
    </w:lvl>
  </w:abstractNum>
  <w:abstractNum w:abstractNumId="5">
    <w:nsid w:val="1F16E9E8"/>
    <w:multiLevelType w:val="hybridMultilevel"/>
    <w:lvl w:ilvl="0">
      <w:lvlJc w:val="left"/>
      <w:lvlText w:val="%1"/>
      <w:numFmt w:val="upperLetter"/>
      <w:start w:val="34"/>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upperLetter"/>
      <w:start w:val="34"/>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2026-04-29T06:06:36Z</dcterms:created>
  <dcterms:modified xsi:type="dcterms:W3CDTF">2026-04-29T06:06:36Z</dcterms:modified>
</cp:coreProperties>
</file>