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Mattsson Pontus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ANGFARJEKAJEN 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Oatly Group AB</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OTLY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05/30/2026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005"/>
        <w:spacing w:after="0"/>
        <w:rPr>
          <w:sz w:val="20"/>
          <w:szCs w:val="20"/>
          <w:color w:val="auto"/>
        </w:rPr>
      </w:pPr>
      <w:r>
        <w:rPr>
          <w:rFonts w:ascii="Times New Roman" w:cs="Times New Roman" w:eastAsia="Times New Roman" w:hAnsi="Times New Roman"/>
          <w:sz w:val="17"/>
          <w:szCs w:val="17"/>
          <w:color w:val="0000FF"/>
        </w:rPr>
        <w:t>General Counsel</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Borders>
              <w:bottom w:val="single" w:sz="8" w:color="9A9A9A"/>
            </w:tcBorders>
          </w:tcPr>
          <w:p>
            <w:pPr>
              <w:spacing w:after="0"/>
              <w:rPr>
                <w:sz w:val="3"/>
                <w:szCs w:val="3"/>
                <w:color w:val="auto"/>
              </w:rPr>
            </w:pPr>
          </w:p>
        </w:tc>
        <w:tc>
          <w:tcPr>
            <w:tcW w:w="78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56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3"/>
                <w:szCs w:val="3"/>
                <w:color w:val="auto"/>
              </w:rPr>
            </w:pPr>
          </w:p>
        </w:tc>
        <w:tc>
          <w:tcPr>
            <w:tcW w:w="3500" w:type="dxa"/>
            <w:vAlign w:val="bottom"/>
            <w:gridSpan w:val="9"/>
            <w:vMerge w:val="restart"/>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60" w:type="dxa"/>
            <w:vAlign w:val="bottom"/>
            <w:gridSpan w:val="6"/>
            <w:vMerge w:val="continue"/>
          </w:tcPr>
          <w:p>
            <w:pPr>
              <w:spacing w:after="0"/>
              <w:rPr>
                <w:sz w:val="8"/>
                <w:szCs w:val="8"/>
                <w:color w:val="auto"/>
              </w:rPr>
            </w:pPr>
          </w:p>
        </w:tc>
        <w:tc>
          <w:tcPr>
            <w:tcW w:w="240" w:type="dxa"/>
            <w:vAlign w:val="bottom"/>
          </w:tcPr>
          <w:p>
            <w:pPr>
              <w:spacing w:after="0"/>
              <w:rPr>
                <w:sz w:val="8"/>
                <w:szCs w:val="8"/>
                <w:color w:val="auto"/>
              </w:rPr>
            </w:pPr>
          </w:p>
        </w:tc>
        <w:tc>
          <w:tcPr>
            <w:tcW w:w="350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7"/>
                <w:szCs w:val="17"/>
                <w:color w:val="0000FF"/>
              </w:rPr>
              <w:t>MALMO</w:t>
            </w:r>
          </w:p>
        </w:tc>
        <w:tc>
          <w:tcPr>
            <w:tcW w:w="780" w:type="dxa"/>
            <w:vAlign w:val="bottom"/>
          </w:tcPr>
          <w:p>
            <w:pPr>
              <w:ind w:left="540"/>
              <w:spacing w:after="0"/>
              <w:rPr>
                <w:sz w:val="20"/>
                <w:szCs w:val="20"/>
                <w:color w:val="auto"/>
              </w:rPr>
            </w:pPr>
            <w:r>
              <w:rPr>
                <w:rFonts w:ascii="Times New Roman" w:cs="Times New Roman" w:eastAsia="Times New Roman" w:hAnsi="Times New Roman"/>
                <w:sz w:val="17"/>
                <w:szCs w:val="17"/>
                <w:color w:val="0000FF"/>
              </w:rPr>
              <w:t>V7</w:t>
            </w:r>
          </w:p>
        </w:tc>
        <w:tc>
          <w:tcPr>
            <w:tcW w:w="84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211 19</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60" w:type="dxa"/>
            <w:vAlign w:val="bottom"/>
            <w:gridSpan w:val="6"/>
          </w:tcPr>
          <w:p>
            <w:pPr>
              <w:ind w:left="14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20" w:type="dxa"/>
            <w:vAlign w:val="bottom"/>
            <w:gridSpan w:val="2"/>
            <w:vMerge w:val="restart"/>
          </w:tcPr>
          <w:p>
            <w:pPr>
              <w:ind w:left="5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162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2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ADSs</w:t>
            </w:r>
          </w:p>
        </w:tc>
        <w:tc>
          <w:tcPr>
            <w:tcW w:w="7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05/30/2026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14,925</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14,925</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spacing w:after="0"/>
              <w:rPr>
                <w:sz w:val="20"/>
                <w:szCs w:val="20"/>
                <w:color w:val="auto"/>
              </w:rPr>
            </w:pPr>
            <w:r>
              <w:rPr>
                <w:rFonts w:ascii="Arial" w:cs="Arial" w:eastAsia="Arial" w:hAnsi="Arial"/>
                <w:sz w:val="12"/>
                <w:szCs w:val="12"/>
                <w:b w:val="1"/>
                <w:bCs w:val="1"/>
                <w:color w:val="auto"/>
              </w:rPr>
              <w:t>2.</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grant of RSUs, which vest in three equal annual increments beginning 5/30/2027. Each RSU represents a right to receive one ADS in the Issuer.</w:t>
      </w:r>
    </w:p>
    <w:p>
      <w:pPr>
        <w:spacing w:after="0" w:line="50" w:lineRule="exact"/>
        <w:rPr>
          <w:rFonts w:ascii="Times New Roman" w:cs="Times New Roman" w:eastAsia="Times New Roman" w:hAnsi="Times New Roman"/>
          <w:sz w:val="13"/>
          <w:szCs w:val="13"/>
          <w:color w:val="008000"/>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RSUs, each RSU represents a right to receive one ADS in the Issuer. 14,925 RSUs will vest in three equal annual increments beginning 5/30/2027. There are no voting or dividend rights prior to vesting.</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Timothy Sjovall, pursuant to</w:t>
            </w:r>
          </w:p>
        </w:tc>
        <w:tc>
          <w:tcPr>
            <w:tcW w:w="100" w:type="dxa"/>
            <w:vAlign w:val="bottom"/>
          </w:tcPr>
          <w:p>
            <w:pPr>
              <w:spacing w:after="0"/>
              <w:rPr>
                <w:sz w:val="16"/>
                <w:szCs w:val="16"/>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06/02/2026</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0"/>
          <w:szCs w:val="20"/>
          <w:b w:val="1"/>
          <w:bCs w:val="1"/>
          <w:color w:val="auto"/>
        </w:rPr>
        <w:t>SECTION 16</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94" w:lineRule="exact"/>
        <w:rPr>
          <w:sz w:val="20"/>
          <w:szCs w:val="20"/>
          <w:color w:val="auto"/>
        </w:rPr>
      </w:pPr>
    </w:p>
    <w:p>
      <w:pPr>
        <w:jc w:val="both"/>
        <w:ind w:left="1300" w:right="1300" w:firstLine="404"/>
        <w:spacing w:after="0" w:line="248"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Timothy Sjövall, Brian Kearney, Martin Lind, Suzanne Lindstén and Johanna Ståhl, or any of them, the undersigned’s true and lawful attorney-in-fact to:</w:t>
      </w:r>
    </w:p>
    <w:p>
      <w:pPr>
        <w:spacing w:after="0" w:line="180" w:lineRule="exact"/>
        <w:rPr>
          <w:sz w:val="20"/>
          <w:szCs w:val="20"/>
          <w:color w:val="auto"/>
        </w:rPr>
      </w:pPr>
    </w:p>
    <w:p>
      <w:pPr>
        <w:jc w:val="both"/>
        <w:ind w:left="1300" w:right="1300" w:firstLine="632"/>
        <w:spacing w:after="0" w:line="248" w:lineRule="auto"/>
        <w:tabs>
          <w:tab w:leader="none" w:pos="2330"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an officer and/or director of Oatly Group AB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Forms 3, 4, and 5 in accordance with Section 16(a) of the Securities Exchange Act of 1934 (the “</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and the rules thereunder;</w:t>
      </w:r>
    </w:p>
    <w:p>
      <w:pPr>
        <w:spacing w:after="0" w:line="179" w:lineRule="exact"/>
        <w:rPr>
          <w:rFonts w:ascii="Times New Roman" w:cs="Times New Roman" w:eastAsia="Times New Roman" w:hAnsi="Times New Roman"/>
          <w:sz w:val="20"/>
          <w:szCs w:val="20"/>
          <w:color w:val="auto"/>
        </w:rPr>
      </w:pPr>
    </w:p>
    <w:p>
      <w:pPr>
        <w:jc w:val="both"/>
        <w:ind w:left="1300" w:right="1300" w:firstLine="383"/>
        <w:spacing w:after="0" w:line="248" w:lineRule="auto"/>
        <w:tabs>
          <w:tab w:leader="none" w:pos="2081"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and timely file such form with the U.S. Securities and Exchange Commission and any stock exchange or similar authority; and</w:t>
      </w:r>
    </w:p>
    <w:p>
      <w:pPr>
        <w:spacing w:after="0" w:line="179" w:lineRule="exact"/>
        <w:rPr>
          <w:rFonts w:ascii="Times New Roman" w:cs="Times New Roman" w:eastAsia="Times New Roman" w:hAnsi="Times New Roman"/>
          <w:sz w:val="20"/>
          <w:szCs w:val="20"/>
          <w:color w:val="auto"/>
        </w:rPr>
      </w:pPr>
    </w:p>
    <w:p>
      <w:pPr>
        <w:jc w:val="both"/>
        <w:ind w:left="1300" w:right="1300" w:firstLine="383"/>
        <w:spacing w:after="0" w:line="242" w:lineRule="auto"/>
        <w:tabs>
          <w:tab w:leader="none" w:pos="2081"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6" w:lineRule="exact"/>
        <w:rPr>
          <w:sz w:val="20"/>
          <w:szCs w:val="20"/>
          <w:color w:val="auto"/>
        </w:rPr>
      </w:pPr>
    </w:p>
    <w:p>
      <w:pPr>
        <w:jc w:val="both"/>
        <w:ind w:left="1300" w:right="1300" w:firstLine="391"/>
        <w:spacing w:after="0" w:line="239"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191" w:lineRule="exact"/>
        <w:rPr>
          <w:sz w:val="20"/>
          <w:szCs w:val="20"/>
          <w:color w:val="auto"/>
        </w:rPr>
      </w:pPr>
    </w:p>
    <w:p>
      <w:pPr>
        <w:jc w:val="both"/>
        <w:ind w:left="1300" w:right="1300" w:firstLine="391"/>
        <w:spacing w:after="0" w:line="244"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84" w:lineRule="exact"/>
        <w:rPr>
          <w:sz w:val="20"/>
          <w:szCs w:val="20"/>
          <w:color w:val="auto"/>
        </w:rPr>
      </w:pPr>
    </w:p>
    <w:p>
      <w:pPr>
        <w:jc w:val="both"/>
        <w:ind w:left="1300" w:right="1300"/>
        <w:spacing w:after="0" w:line="261" w:lineRule="auto"/>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16 day of February, 2026.</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2060" w:type="dxa"/>
            <w:vAlign w:val="bottom"/>
          </w:tcPr>
          <w:p>
            <w:pPr>
              <w:ind w:left="1380"/>
              <w:spacing w:after="0"/>
              <w:rPr>
                <w:sz w:val="20"/>
                <w:szCs w:val="20"/>
                <w:color w:val="auto"/>
              </w:rPr>
            </w:pPr>
            <w:r>
              <w:rPr>
                <w:rFonts w:ascii="Times New Roman" w:cs="Times New Roman" w:eastAsia="Times New Roman" w:hAnsi="Times New Roman"/>
                <w:sz w:val="20"/>
                <w:szCs w:val="20"/>
                <w:color w:val="auto"/>
              </w:rPr>
              <w:t>By:</w:t>
            </w:r>
          </w:p>
        </w:tc>
        <w:tc>
          <w:tcPr>
            <w:tcW w:w="884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/s/ Pontus Mattsson</w:t>
            </w:r>
          </w:p>
        </w:tc>
      </w:tr>
      <w:tr>
        <w:trPr>
          <w:trHeight w:val="247"/>
        </w:trPr>
        <w:tc>
          <w:tcPr>
            <w:tcW w:w="2060" w:type="dxa"/>
            <w:vAlign w:val="bottom"/>
          </w:tcPr>
          <w:p>
            <w:pPr>
              <w:ind w:left="1380"/>
              <w:spacing w:after="0"/>
              <w:rPr>
                <w:sz w:val="20"/>
                <w:szCs w:val="20"/>
                <w:color w:val="auto"/>
              </w:rPr>
            </w:pPr>
            <w:r>
              <w:rPr>
                <w:rFonts w:ascii="Times New Roman" w:cs="Times New Roman" w:eastAsia="Times New Roman" w:hAnsi="Times New Roman"/>
                <w:sz w:val="20"/>
                <w:szCs w:val="20"/>
                <w:color w:val="auto"/>
              </w:rPr>
              <w:t>Name:</w:t>
            </w:r>
          </w:p>
        </w:tc>
        <w:tc>
          <w:tcPr>
            <w:tcW w:w="240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Pontus Mattsson</w:t>
            </w:r>
          </w:p>
        </w:tc>
        <w:tc>
          <w:tcPr>
            <w:tcW w:w="6440" w:type="dxa"/>
            <w:vAlign w:val="bottom"/>
          </w:tcPr>
          <w:p>
            <w:pPr>
              <w:spacing w:after="0"/>
              <w:rPr>
                <w:sz w:val="21"/>
                <w:szCs w:val="21"/>
                <w:color w:val="auto"/>
              </w:rPr>
            </w:pPr>
          </w:p>
        </w:tc>
      </w:tr>
      <w:tr>
        <w:trPr>
          <w:trHeight w:val="1578"/>
        </w:trPr>
        <w:tc>
          <w:tcPr>
            <w:tcW w:w="206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c>
          <w:tcPr>
            <w:tcW w:w="6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6904355</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sectPr>
      <w:pgSz w:w="11900" w:h="16838" w:orient="portrait"/>
      <w:cols w:equalWidth="0" w:num="1">
        <w:col w:w="10900"/>
      </w:cols>
      <w:pgMar w:left="500" w:top="1392"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5"/>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lvl w:ilvl="1">
      <w:lvlJc w:val="left"/>
      <w:lvlText w:val="(%2)"/>
      <w:numFmt w:val="decimal"/>
      <w:start w:val="1"/>
    </w:lvl>
  </w:abstractNum>
  <w:abstractNum w:abstractNumId="4">
    <w:nsid w:val="46E87CCD"/>
    <w:multiLevelType w:val="hybridMultilevel"/>
    <w:lvl w:ilvl="0">
      <w:lvlJc w:val="left"/>
      <w:lvlText w:val="(%1)"/>
      <w:numFmt w:val="decimal"/>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2116243" TargetMode="External"/><Relationship Id="rId14" Type="http://schemas.openxmlformats.org/officeDocument/2006/relationships/hyperlink" Target="http://www.sec.gov/cgi-bin/browse-edgar?action=getcompany&amp;CIK=00018435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2026-06-02T18:26:30Z</dcterms:created>
  <dcterms:modified xsi:type="dcterms:W3CDTF">2026-06-02T18:26:30Z</dcterms:modified>
</cp:coreProperties>
</file>