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Jones Hannah Ceri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V7</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211 19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23,656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35,846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9,726 RSUs vested on May 31, 2026, and the remainder of the RSUs vest in connection with the Issuer's next annual general meeting. Each RSU represents a right to receive one ADS in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13,930 RSUs will vest in full on the date of the Issuer's next annual general meeting, subject to the Reporting Person's continued service as a director through such vesting date.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Hannah Jones</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Hannah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6236"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2026-06-02T18:22:21Z</dcterms:created>
  <dcterms:modified xsi:type="dcterms:W3CDTF">2026-06-02T18:22:21Z</dcterms:modified>
</cp:coreProperties>
</file>