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March 22,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 FOR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 EVIDENCED BY 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OATLY GROUP AB</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issuer of deposited securities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issuer’s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Kingdom of Sweden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 of issuer)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depositary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383 Madison Avenue, Floor 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+1-800- 990-1135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ind w:left="4500"/>
        <w:spacing w:after="0" w:line="208" w:lineRule="auto"/>
        <w:rPr>
          <w:sz w:val="20"/>
          <w:szCs w:val="20"/>
          <w:color w:val="auto"/>
        </w:rPr>
      </w:pPr>
      <w:r>
        <w:rPr>
          <w:rFonts w:ascii="Times New Roman" w:cs="Times New Roman" w:eastAsia="Times New Roman" w:hAnsi="Times New Roman"/>
          <w:sz w:val="18"/>
          <w:szCs w:val="18"/>
          <w:b w:val="1"/>
          <w:bCs w:val="1"/>
          <w:color w:val="auto"/>
        </w:rPr>
        <w:t>19 West 44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Street, Suite 200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+1-866-403-5272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agent for service)</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62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i w:val="1"/>
                <w:iCs w:val="1"/>
                <w:color w:val="auto"/>
              </w:rPr>
              <w:t>Copies to:</w:t>
            </w:r>
          </w:p>
        </w:tc>
      </w:tr>
      <w:tr>
        <w:trPr>
          <w:trHeight w:val="403"/>
        </w:trPr>
        <w:tc>
          <w:tcPr>
            <w:tcW w:w="4620" w:type="dxa"/>
            <w:vAlign w:val="bottom"/>
            <w:tcBorders>
              <w:left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JPMorgan Chase Bank, N.A.</w:t>
            </w:r>
          </w:p>
        </w:tc>
        <w:tc>
          <w:tcPr>
            <w:tcW w:w="10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Scott R. Saks, Esq.</w:t>
            </w:r>
          </w:p>
        </w:tc>
      </w:tr>
      <w:tr>
        <w:trPr>
          <w:trHeight w:val="216"/>
        </w:trPr>
        <w:tc>
          <w:tcPr>
            <w:tcW w:w="4620" w:type="dxa"/>
            <w:vAlign w:val="bottom"/>
            <w:tcBorders>
              <w:left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383 Madison Avenue, Floor 11</w:t>
            </w:r>
          </w:p>
        </w:tc>
        <w:tc>
          <w:tcPr>
            <w:tcW w:w="10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Norton Rose Fulbright US LLP</w:t>
            </w:r>
          </w:p>
        </w:tc>
      </w:tr>
      <w:tr>
        <w:trPr>
          <w:trHeight w:val="216"/>
        </w:trPr>
        <w:tc>
          <w:tcPr>
            <w:tcW w:w="4620" w:type="dxa"/>
            <w:vAlign w:val="bottom"/>
            <w:tcBorders>
              <w:left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New York, New York 10179</w:t>
            </w:r>
          </w:p>
        </w:tc>
        <w:tc>
          <w:tcPr>
            <w:tcW w:w="10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1301 Avenue of the Americas</w:t>
            </w:r>
          </w:p>
        </w:tc>
      </w:tr>
      <w:tr>
        <w:trPr>
          <w:trHeight w:val="216"/>
        </w:trPr>
        <w:tc>
          <w:tcPr>
            <w:tcW w:w="4620" w:type="dxa"/>
            <w:vAlign w:val="bottom"/>
            <w:tcBorders>
              <w:left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Telephone: +1-800-990-1135</w:t>
            </w:r>
          </w:p>
        </w:tc>
        <w:tc>
          <w:tcPr>
            <w:tcW w:w="10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New York 10019-6022</w:t>
            </w:r>
          </w:p>
        </w:tc>
      </w:tr>
      <w:tr>
        <w:trPr>
          <w:trHeight w:val="238"/>
        </w:trPr>
        <w:tc>
          <w:tcPr>
            <w:tcW w:w="462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Telephone: +1-212-318-3151</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p>
      <w:pPr>
        <w:spacing w:after="0" w:line="22" w:lineRule="exact"/>
        <w:rPr>
          <w:sz w:val="24"/>
          <w:szCs w:val="24"/>
          <w:color w:val="auto"/>
        </w:rPr>
      </w:pPr>
    </w:p>
    <w:p>
      <w:pPr>
        <w:ind w:left="5140" w:right="3880" w:hanging="2"/>
        <w:spacing w:after="0" w:line="232" w:lineRule="exact"/>
        <w:tabs>
          <w:tab w:leader="none" w:pos="56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immediately upon filing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p>
      <w:pPr>
        <w:spacing w:after="0" w:line="13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08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Title of Each Class of</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20"/>
        </w:trPr>
        <w:tc>
          <w:tcPr>
            <w:tcW w:w="408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Securities to be Registered</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Registered</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Price Per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Offering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Fee</w:t>
            </w:r>
          </w:p>
        </w:tc>
      </w:tr>
      <w:tr>
        <w:trPr>
          <w:trHeight w:val="275"/>
        </w:trPr>
        <w:tc>
          <w:tcPr>
            <w:tcW w:w="4080" w:type="dxa"/>
            <w:vAlign w:val="bottom"/>
            <w:tcBorders>
              <w:bottom w:val="single" w:sz="8" w:color="auto"/>
              <w:right w:val="single" w:sz="8" w:color="auto"/>
            </w:tcBorders>
          </w:tcPr>
          <w:p>
            <w:pPr>
              <w:spacing w:after="0"/>
              <w:rPr>
                <w:sz w:val="23"/>
                <w:szCs w:val="23"/>
                <w:color w:val="auto"/>
              </w:rPr>
            </w:pPr>
          </w:p>
        </w:tc>
        <w:tc>
          <w:tcPr>
            <w:tcW w:w="180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1"/>
              </w:rPr>
              <w:t xml:space="preserve">Unit </w:t>
            </w:r>
            <w:r>
              <w:rPr>
                <w:rFonts w:ascii="Times New Roman" w:cs="Times New Roman" w:eastAsia="Times New Roman" w:hAnsi="Times New Roman"/>
                <w:sz w:val="29"/>
                <w:szCs w:val="29"/>
                <w:b w:val="1"/>
                <w:bCs w:val="1"/>
                <w:color w:val="auto"/>
                <w:w w:val="91"/>
                <w:vertAlign w:val="superscript"/>
              </w:rPr>
              <w:t>(1)</w:t>
            </w:r>
          </w:p>
        </w:tc>
        <w:tc>
          <w:tcPr>
            <w:tcW w:w="1800" w:type="dxa"/>
            <w:vAlign w:val="bottom"/>
            <w:tcBorders>
              <w:bottom w:val="single" w:sz="8" w:color="auto"/>
              <w:right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 xml:space="preserve">Price </w:t>
            </w:r>
            <w:r>
              <w:rPr>
                <w:rFonts w:ascii="Times New Roman" w:cs="Times New Roman" w:eastAsia="Times New Roman" w:hAnsi="Times New Roman"/>
                <w:sz w:val="29"/>
                <w:szCs w:val="29"/>
                <w:b w:val="1"/>
                <w:bCs w:val="1"/>
                <w:color w:val="auto"/>
                <w:w w:val="92"/>
                <w:vertAlign w:val="superscript"/>
              </w:rPr>
              <w:t>(2)</w:t>
            </w:r>
          </w:p>
        </w:tc>
        <w:tc>
          <w:tcPr>
            <w:tcW w:w="1780" w:type="dxa"/>
            <w:vAlign w:val="bottom"/>
            <w:tcBorders>
              <w:bottom w:val="single" w:sz="8" w:color="auto"/>
            </w:tcBorders>
          </w:tcPr>
          <w:p>
            <w:pPr>
              <w:spacing w:after="0"/>
              <w:rPr>
                <w:sz w:val="23"/>
                <w:szCs w:val="23"/>
                <w:color w:val="auto"/>
              </w:rPr>
            </w:pPr>
          </w:p>
        </w:tc>
      </w:tr>
      <w:tr>
        <w:trPr>
          <w:trHeight w:val="191"/>
        </w:trPr>
        <w:tc>
          <w:tcPr>
            <w:tcW w:w="40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American Depositary Shares, evidenced by American</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250,000,000</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$0.05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$12,500,000</w:t>
            </w: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$1,845.00</w:t>
            </w:r>
          </w:p>
        </w:tc>
      </w:tr>
      <w:tr>
        <w:trPr>
          <w:trHeight w:val="216"/>
        </w:trPr>
        <w:tc>
          <w:tcPr>
            <w:tcW w:w="4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Depositary Receipts, each American Depositary</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American Depositary</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 representing one (1) ordinary share, par value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4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US$ 0.00017 per share, of Oatly Group AB.</w:t>
            </w:r>
          </w:p>
        </w:tc>
        <w:tc>
          <w:tcPr>
            <w:tcW w:w="18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780" w:type="dxa"/>
            <w:vAlign w:val="bottom"/>
          </w:tcPr>
          <w:p>
            <w:pPr>
              <w:spacing w:after="0"/>
              <w:rPr>
                <w:sz w:val="20"/>
                <w:szCs w:val="20"/>
                <w:color w:val="auto"/>
              </w:rPr>
            </w:pPr>
          </w:p>
        </w:tc>
      </w:tr>
      <w:tr>
        <w:trPr>
          <w:trHeight w:val="216"/>
        </w:trPr>
        <w:tc>
          <w:tcPr>
            <w:tcW w:w="40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one American Depositary Share.</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American Depositary Receipts evidencing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PROSPECTUS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consists of the form of American Depositary Receipt (“ADR” or “American Depositary Receipt”) filed as Exhibit (a)(1) to this Registration Statement on Form F-6,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SECURITIES TO BE REGISTERED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CROSS REFERENCE SHEET</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Number and 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Depositary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16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American Depositary Receipts and identity of deposited securities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Deposit: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in Form of American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Filed Herewith as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446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Introductory paragraph and bottom of face of American Depositary Receipt</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Face of American Depositary Receipt, top center</w:t>
      </w:r>
    </w:p>
    <w:p>
      <w:pPr>
        <w:spacing w:after="0" w:line="481" w:lineRule="exact"/>
        <w:rPr>
          <w:sz w:val="20"/>
          <w:szCs w:val="20"/>
          <w:color w:val="auto"/>
        </w:rPr>
      </w:pPr>
    </w:p>
    <w:p>
      <w:pPr>
        <w:sectPr>
          <w:pgSz w:w="11900" w:h="16838" w:orient="portrait"/>
          <w:cols w:equalWidth="0" w:num="2">
            <w:col w:w="5100" w:space="720"/>
            <w:col w:w="54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of deposited securities represented by one unit of</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Face of American Depositary Receipt, upper right corner</w:t>
            </w:r>
          </w:p>
        </w:tc>
      </w:tr>
      <w:tr>
        <w:trPr>
          <w:trHeight w:val="216"/>
        </w:trPr>
        <w:tc>
          <w:tcPr>
            <w:tcW w:w="78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American Depositary Shares</w:t>
            </w:r>
          </w:p>
        </w:tc>
        <w:tc>
          <w:tcPr>
            <w:tcW w:w="5380" w:type="dxa"/>
            <w:vAlign w:val="bottom"/>
          </w:tcPr>
          <w:p>
            <w:pPr>
              <w:spacing w:after="0"/>
              <w:rPr>
                <w:sz w:val="18"/>
                <w:szCs w:val="18"/>
                <w:color w:val="auto"/>
              </w:rPr>
            </w:pPr>
          </w:p>
        </w:tc>
      </w:tr>
      <w:tr>
        <w:trPr>
          <w:trHeight w:val="23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Procedure for voting, if any, the deposited securities</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Paragraphs (6), (11) and (12)</w:t>
            </w:r>
          </w:p>
        </w:tc>
      </w:tr>
      <w:tr>
        <w:trPr>
          <w:trHeight w:val="257"/>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(iii)</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Procedure for collecting and distributing dividends</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Paragraphs (4), (5), (7) and (10)</w:t>
            </w:r>
          </w:p>
        </w:tc>
      </w:tr>
      <w:tr>
        <w:trPr>
          <w:trHeight w:val="238"/>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(iv)</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Procedures for transmitting notices, reports and proxy soliciting</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Paragraphs (3), (8), (11) and (12)</w:t>
            </w:r>
          </w:p>
        </w:tc>
      </w:tr>
      <w:tr>
        <w:trPr>
          <w:trHeight w:val="216"/>
        </w:trPr>
        <w:tc>
          <w:tcPr>
            <w:tcW w:w="78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material</w:t>
            </w:r>
          </w:p>
        </w:tc>
        <w:tc>
          <w:tcPr>
            <w:tcW w:w="5380" w:type="dxa"/>
            <w:vAlign w:val="bottom"/>
          </w:tcPr>
          <w:p>
            <w:pPr>
              <w:spacing w:after="0"/>
              <w:rPr>
                <w:sz w:val="18"/>
                <w:szCs w:val="18"/>
                <w:color w:val="auto"/>
              </w:rPr>
            </w:pPr>
          </w:p>
        </w:tc>
      </w:tr>
      <w:tr>
        <w:trPr>
          <w:trHeight w:val="23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 or exercise of rights</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Paragraphs (4), (5) and (10)</w:t>
            </w:r>
          </w:p>
        </w:tc>
      </w:tr>
      <w:tr>
        <w:trPr>
          <w:trHeight w:val="238"/>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 or sale of securities resulting from dividends, splits or</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Paragraphs (3), (4), (5), (10) and (13)</w:t>
            </w:r>
          </w:p>
        </w:tc>
      </w:tr>
      <w:tr>
        <w:trPr>
          <w:trHeight w:val="216"/>
        </w:trPr>
        <w:tc>
          <w:tcPr>
            <w:tcW w:w="78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plans of reorganization</w:t>
            </w:r>
          </w:p>
        </w:tc>
        <w:tc>
          <w:tcPr>
            <w:tcW w:w="5380" w:type="dxa"/>
            <w:vAlign w:val="bottom"/>
          </w:tcPr>
          <w:p>
            <w:pPr>
              <w:spacing w:after="0"/>
              <w:rPr>
                <w:sz w:val="18"/>
                <w:szCs w:val="18"/>
                <w:color w:val="auto"/>
              </w:rPr>
            </w:pPr>
          </w:p>
        </w:tc>
      </w:tr>
      <w:tr>
        <w:trPr>
          <w:trHeight w:val="23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(vii)</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 Agreement</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Paragraphs (16) and (17)</w:t>
            </w:r>
          </w:p>
        </w:tc>
      </w:tr>
      <w:tr>
        <w:trPr>
          <w:trHeight w:val="238"/>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(viii)</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Rights of holders of ADRs to inspect the transfer books of the</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 (3)</w:t>
            </w:r>
          </w:p>
        </w:tc>
      </w:tr>
      <w:tr>
        <w:trPr>
          <w:trHeight w:val="216"/>
        </w:trPr>
        <w:tc>
          <w:tcPr>
            <w:tcW w:w="78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Depositary and the list of holders of ADRs</w:t>
            </w:r>
          </w:p>
        </w:tc>
        <w:tc>
          <w:tcPr>
            <w:tcW w:w="5380" w:type="dxa"/>
            <w:vAlign w:val="bottom"/>
          </w:tcPr>
          <w:p>
            <w:pPr>
              <w:spacing w:after="0"/>
              <w:rPr>
                <w:sz w:val="18"/>
                <w:szCs w:val="18"/>
                <w:color w:val="auto"/>
              </w:rPr>
            </w:pPr>
          </w:p>
        </w:tc>
      </w:tr>
      <w:tr>
        <w:trPr>
          <w:trHeight w:val="216"/>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(ix)</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Restrictions upon the right to deposit or withdraw the underlying</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Paragraphs (1), (2), (4), (5) and (6)</w:t>
            </w:r>
          </w:p>
        </w:tc>
      </w:tr>
      <w:tr>
        <w:trPr>
          <w:trHeight w:val="216"/>
        </w:trPr>
        <w:tc>
          <w:tcPr>
            <w:tcW w:w="78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5380" w:type="dxa"/>
            <w:vAlign w:val="bottom"/>
          </w:tcPr>
          <w:p>
            <w:pPr>
              <w:spacing w:after="0"/>
              <w:rPr>
                <w:sz w:val="18"/>
                <w:szCs w:val="18"/>
                <w:color w:val="auto"/>
              </w:rPr>
            </w:pPr>
          </w:p>
        </w:tc>
      </w:tr>
      <w:tr>
        <w:trPr>
          <w:trHeight w:val="234"/>
        </w:trPr>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 (14)</w:t>
            </w:r>
          </w:p>
        </w:tc>
      </w:tr>
      <w:tr>
        <w:trPr>
          <w:trHeight w:val="495"/>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Fees and charges that a holder of ADRs may have to pay, either directly</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Paragraph (7)</w:t>
            </w:r>
          </w:p>
        </w:tc>
      </w:tr>
      <w:tr>
        <w:trPr>
          <w:trHeight w:val="234"/>
        </w:trPr>
        <w:tc>
          <w:tcPr>
            <w:tcW w:w="5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or indirectly</w:t>
            </w:r>
          </w:p>
        </w:tc>
        <w:tc>
          <w:tcPr>
            <w:tcW w:w="5380" w:type="dxa"/>
            <w:vAlign w:val="bottom"/>
          </w:tcPr>
          <w:p>
            <w:pPr>
              <w:spacing w:after="0"/>
              <w:rPr>
                <w:sz w:val="20"/>
                <w:szCs w:val="20"/>
                <w:color w:val="auto"/>
              </w:rPr>
            </w:pPr>
          </w:p>
        </w:tc>
      </w:tr>
      <w:tr>
        <w:trPr>
          <w:trHeight w:val="432"/>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 AVAILABLE INFORMATION</w:t>
            </w:r>
          </w:p>
        </w:tc>
        <w:tc>
          <w:tcPr>
            <w:tcW w:w="5380" w:type="dxa"/>
            <w:vAlign w:val="bottom"/>
          </w:tcPr>
          <w:p>
            <w:pPr>
              <w:spacing w:after="0"/>
              <w:rPr>
                <w:sz w:val="24"/>
                <w:szCs w:val="24"/>
                <w:color w:val="auto"/>
              </w:rPr>
            </w:pPr>
          </w:p>
        </w:tc>
      </w:tr>
      <w:tr>
        <w:trPr>
          <w:trHeight w:val="414"/>
        </w:trPr>
        <w:tc>
          <w:tcPr>
            <w:tcW w:w="7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Location in Form of American Depositary</w:t>
            </w:r>
          </w:p>
        </w:tc>
      </w:tr>
      <w:tr>
        <w:trPr>
          <w:trHeight w:val="234"/>
        </w:trPr>
        <w:tc>
          <w:tcPr>
            <w:tcW w:w="5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 Number and Caption</w:t>
            </w:r>
          </w:p>
        </w:tc>
        <w:tc>
          <w:tcPr>
            <w:tcW w:w="2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Receipt Filed Herewith as Prospectus</w:t>
            </w:r>
          </w:p>
        </w:tc>
      </w:tr>
      <w:tr>
        <w:trPr>
          <w:trHeight w:val="40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Oatly Group AB is subject to the periodic reporting requirements of the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Paragraph (8)</w:t>
            </w:r>
          </w:p>
        </w:tc>
      </w:tr>
      <w:tr>
        <w:trPr>
          <w:trHeight w:val="216"/>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Exchange Act of 1934, as amended, and accordingly files certain</w:t>
            </w:r>
          </w:p>
        </w:tc>
        <w:tc>
          <w:tcPr>
            <w:tcW w:w="5380" w:type="dxa"/>
            <w:vAlign w:val="bottom"/>
          </w:tcPr>
          <w:p>
            <w:pPr>
              <w:spacing w:after="0"/>
              <w:rPr>
                <w:sz w:val="18"/>
                <w:szCs w:val="18"/>
                <w:color w:val="auto"/>
              </w:rPr>
            </w:pPr>
          </w:p>
        </w:tc>
      </w:tr>
      <w:tr>
        <w:trPr>
          <w:trHeight w:val="216"/>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reports with the Securities and Exchange Commission. These reports can be</w:t>
            </w:r>
          </w:p>
        </w:tc>
        <w:tc>
          <w:tcPr>
            <w:tcW w:w="5380" w:type="dxa"/>
            <w:vAlign w:val="bottom"/>
          </w:tcPr>
          <w:p>
            <w:pPr>
              <w:spacing w:after="0"/>
              <w:rPr>
                <w:sz w:val="18"/>
                <w:szCs w:val="18"/>
                <w:color w:val="auto"/>
              </w:rPr>
            </w:pPr>
          </w:p>
        </w:tc>
      </w:t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inspected and retrieved by holders of American Depositary Receipts through</w:t>
            </w:r>
          </w:p>
        </w:tc>
        <w:tc>
          <w:tcPr>
            <w:tcW w:w="5380" w:type="dxa"/>
            <w:vAlign w:val="bottom"/>
          </w:tcPr>
          <w:p>
            <w:pPr>
              <w:spacing w:after="0"/>
              <w:rPr>
                <w:sz w:val="20"/>
                <w:szCs w:val="20"/>
                <w:color w:val="auto"/>
              </w:rPr>
            </w:pPr>
          </w:p>
        </w:tc>
      </w:tr>
    </w:tbl>
    <w:p>
      <w:pPr>
        <w:jc w:val="both"/>
        <w:ind w:right="5600"/>
        <w:spacing w:after="0" w:line="253" w:lineRule="auto"/>
        <w:rPr>
          <w:sz w:val="20"/>
          <w:szCs w:val="20"/>
          <w:color w:val="auto"/>
        </w:rPr>
      </w:pPr>
      <w:r>
        <w:rPr>
          <w:rFonts w:ascii="Times New Roman" w:cs="Times New Roman" w:eastAsia="Times New Roman" w:hAnsi="Times New Roman"/>
          <w:sz w:val="18"/>
          <w:szCs w:val="18"/>
          <w:color w:val="auto"/>
        </w:rPr>
        <w:t xml:space="preserve">the EDGAR system on the Securities and Exchange Commission’s Internet Website, currently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public reference facilities maintained by the Securities and Exchange Commission, currently located at 100 F Street, N.E., 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EXHIBITS</w:t>
      </w:r>
    </w:p>
    <w:p>
      <w:pPr>
        <w:spacing w:after="0" w:line="229"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(a)(1)</w:t>
        <w:tab/>
        <w:t>Form of American Depositary Receipt (“ADR”). Filed herewith as Exhibit (a)(1).</w:t>
      </w:r>
    </w:p>
    <w:p>
      <w:pPr>
        <w:spacing w:after="0" w:line="221" w:lineRule="exact"/>
        <w:rPr>
          <w:sz w:val="20"/>
          <w:szCs w:val="20"/>
          <w:color w:val="auto"/>
        </w:rPr>
      </w:pPr>
    </w:p>
    <w:p>
      <w:pPr>
        <w:jc w:val="both"/>
        <w:ind w:left="980" w:hanging="639"/>
        <w:spacing w:after="0" w:line="262" w:lineRule="auto"/>
        <w:tabs>
          <w:tab w:leader="none" w:pos="9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Deposit Agreement, dated as of May 19, 2021, among Oatly Group AB (the “Company”), JPMorgan Chase Bank, 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(the “Depositary”), and all Holders and Beneficial Owners from time to time of American Depositary Receipts (“ADRs”) issued thereunder (as from time to time amended, the “Deposit Agreement”). Filed as Exhibit (a) to the Registration Statement on Form F-6 (File No. 333-262476) and incorporated herein by this reference.</w:t>
      </w:r>
    </w:p>
    <w:p>
      <w:pPr>
        <w:spacing w:after="0" w:line="176" w:lineRule="exact"/>
        <w:rPr>
          <w:sz w:val="20"/>
          <w:szCs w:val="20"/>
          <w:color w:val="auto"/>
        </w:rPr>
      </w:pPr>
    </w:p>
    <w:p>
      <w:pPr>
        <w:jc w:val="both"/>
        <w:ind w:left="980" w:hanging="648"/>
        <w:spacing w:after="0" w:line="26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other agreement to which the Depositary is a party relating to the issuance of the American Depositary Shares registered hereby or the custody of the deposited securities represented thereby</w:t>
      </w:r>
      <w:r>
        <w:rPr>
          <w:rFonts w:ascii="Times New Roman" w:cs="Times New Roman" w:eastAsia="Times New Roman" w:hAnsi="Times New Roman"/>
          <w:sz w:val="18"/>
          <w:szCs w:val="18"/>
          <w:color w:val="auto"/>
        </w:rPr>
        <w:t>. Side Letter, dated December 21, 2021, from the Company to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Deposit Agreement to change the Company’s agent for service of process. Filed as Exhibit (b) to the Registration Statement on Form F-6 (File No. 333-262476) and incorporated herein by this reference.</w:t>
      </w:r>
    </w:p>
    <w:p>
      <w:pPr>
        <w:spacing w:after="0" w:line="176"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Every material contract relating to the deposited securities between the Depositary and the issuer of the deposited securities in effect at any time within the last three years</w:t>
      </w:r>
      <w:r>
        <w:rPr>
          <w:rFonts w:ascii="Times New Roman" w:cs="Times New Roman" w:eastAsia="Times New Roman" w:hAnsi="Times New Roman"/>
          <w:sz w:val="18"/>
          <w:szCs w:val="18"/>
          <w:color w:val="auto"/>
        </w:rPr>
        <w:t>. Not Applicable.</w:t>
      </w:r>
    </w:p>
    <w:p>
      <w:pPr>
        <w:spacing w:after="0" w:line="154"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 of Norton Rose Fulbright US LLP, counsel to the Depositary, as to the legality of the securities being registered. </w:t>
      </w:r>
      <w:r>
        <w:rPr>
          <w:rFonts w:ascii="Times New Roman" w:cs="Times New Roman" w:eastAsia="Times New Roman" w:hAnsi="Times New Roman"/>
          <w:sz w:val="18"/>
          <w:szCs w:val="18"/>
          <w:color w:val="auto"/>
        </w:rPr>
        <w:t>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herewith as Exhibit (d).</w:t>
      </w:r>
    </w:p>
    <w:p>
      <w:pPr>
        <w:spacing w:after="0" w:line="154"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Certification under Rule 466. </w:t>
      </w:r>
      <w:r>
        <w:rPr>
          <w:rFonts w:ascii="Times New Roman" w:cs="Times New Roman" w:eastAsia="Times New Roman" w:hAnsi="Times New Roman"/>
          <w:sz w:val="18"/>
          <w:szCs w:val="18"/>
          <w:color w:val="auto"/>
        </w:rPr>
        <w:t>Filed herewith as Exhibit (e).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 of Attorney of certain officers and directors of the Company. </w:t>
      </w:r>
      <w:r>
        <w:rPr>
          <w:rFonts w:ascii="Times New Roman" w:cs="Times New Roman" w:eastAsia="Times New Roman" w:hAnsi="Times New Roman"/>
          <w:sz w:val="18"/>
          <w:szCs w:val="18"/>
          <w:color w:val="auto"/>
        </w:rPr>
        <w:t>Set forth on the signature pages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UNDERTAKINGS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hereby undertakes to make available at the principal office of the Depositary in the United States, for inspection by holders of the American Depositary Receipts,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American Depositary Receipt thirty days before any change in the fee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JPMorgan Chase Bank, N.A., acting solely in its capacity as depositary (the “Depositary”) on behalf of the legal entity created by the Deposit Agreement (the “Deposit Agreement”) among Oatly Group AB, the Depositary and all Holders and Beneficial Owners from time to time of American Depositary Receipts (“ADRs”)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March 22, 2024.</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Legal entity created by the Deposit Agreement for the issuance of ADRs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evidencing American Depositary Shares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JPMORGAN CHASE BANK, N.A., solely in its capacity as Depositary</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Timothy 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Timothy E. Green</w:t>
      </w:r>
    </w:p>
    <w:p>
      <w:pPr>
        <w:spacing w:after="0" w:line="23"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Oatly Group AB certifies that it has reasonable grounds to believe that all the requirements for filing on Form F-6 are met and has duly caused this Registration Statement on Form F-6 to be signed on its behalf by the undersigned, thereunto duly authorized, in Malmö, Sweden, on March 22, 2024.</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OATLY GROUP AB</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Jean-Christophe Flatin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Jean-Christophe Flatin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Jean-Christophe Flatin and Marie-José David,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F-6 has been signed by the following persons in the capacities indicated on March 22,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14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0" w:type="dxa"/>
            <w:vAlign w:val="bottom"/>
          </w:tcPr>
          <w:p>
            <w:pPr>
              <w:spacing w:after="0"/>
              <w:rPr>
                <w:sz w:val="1"/>
                <w:szCs w:val="1"/>
                <w:color w:val="auto"/>
              </w:rPr>
            </w:pPr>
          </w:p>
        </w:tc>
      </w:tr>
      <w:tr>
        <w:trPr>
          <w:trHeight w:val="391"/>
        </w:trPr>
        <w:tc>
          <w:tcPr>
            <w:tcW w:w="238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Jean-Christophe Flatin</w:t>
            </w:r>
          </w:p>
        </w:tc>
        <w:tc>
          <w:tcPr>
            <w:tcW w:w="1420" w:type="dxa"/>
            <w:vAlign w:val="bottom"/>
            <w:tcBorders>
              <w:bottom w:val="single" w:sz="8" w:color="auto"/>
            </w:tcBorders>
          </w:tcPr>
          <w:p>
            <w:pPr>
              <w:spacing w:after="0"/>
              <w:rPr>
                <w:sz w:val="24"/>
                <w:szCs w:val="24"/>
                <w:color w:val="auto"/>
              </w:rPr>
            </w:pPr>
          </w:p>
        </w:tc>
        <w:tc>
          <w:tcPr>
            <w:tcW w:w="572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0" w:type="dxa"/>
            <w:vAlign w:val="bottom"/>
          </w:tcPr>
          <w:p>
            <w:pPr>
              <w:spacing w:after="0"/>
              <w:rPr>
                <w:sz w:val="1"/>
                <w:szCs w:val="1"/>
                <w:color w:val="auto"/>
              </w:rPr>
            </w:pPr>
          </w:p>
        </w:tc>
      </w:tr>
      <w:tr>
        <w:trPr>
          <w:trHeight w:val="191"/>
        </w:trPr>
        <w:tc>
          <w:tcPr>
            <w:tcW w:w="4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Jean-Christophe Flatin</w:t>
            </w:r>
          </w:p>
        </w:tc>
        <w:tc>
          <w:tcPr>
            <w:tcW w:w="1420" w:type="dxa"/>
            <w:vAlign w:val="bottom"/>
          </w:tcPr>
          <w:p>
            <w:pPr>
              <w:spacing w:after="0"/>
              <w:rPr>
                <w:sz w:val="16"/>
                <w:szCs w:val="16"/>
                <w:color w:val="auto"/>
              </w:rPr>
            </w:pPr>
          </w:p>
        </w:tc>
        <w:tc>
          <w:tcPr>
            <w:tcW w:w="5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7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4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1420" w:type="dxa"/>
            <w:vAlign w:val="bottom"/>
            <w:tcBorders>
              <w:bottom w:val="single" w:sz="8" w:color="auto"/>
            </w:tcBorders>
          </w:tcPr>
          <w:p>
            <w:pPr>
              <w:spacing w:after="0"/>
              <w:rPr>
                <w:sz w:val="24"/>
                <w:szCs w:val="24"/>
                <w:color w:val="auto"/>
              </w:rPr>
            </w:pPr>
          </w:p>
        </w:tc>
        <w:tc>
          <w:tcPr>
            <w:tcW w:w="572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191"/>
        </w:trPr>
        <w:tc>
          <w:tcPr>
            <w:tcW w:w="4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c>
          <w:tcPr>
            <w:tcW w:w="1420" w:type="dxa"/>
            <w:vAlign w:val="bottom"/>
          </w:tcPr>
          <w:p>
            <w:pPr>
              <w:spacing w:after="0"/>
              <w:rPr>
                <w:sz w:val="16"/>
                <w:szCs w:val="16"/>
                <w:color w:val="auto"/>
              </w:rPr>
            </w:pPr>
          </w:p>
        </w:tc>
        <w:tc>
          <w:tcPr>
            <w:tcW w:w="5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7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432"/>
        </w:trPr>
        <w:tc>
          <w:tcPr>
            <w:tcW w:w="4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Toni Petersson</w:t>
            </w:r>
          </w:p>
        </w:tc>
        <w:tc>
          <w:tcPr>
            <w:tcW w:w="1420" w:type="dxa"/>
            <w:vAlign w:val="bottom"/>
            <w:tcBorders>
              <w:bottom w:val="single" w:sz="8" w:color="auto"/>
            </w:tcBorders>
          </w:tcPr>
          <w:p>
            <w:pPr>
              <w:spacing w:after="0"/>
              <w:rPr>
                <w:sz w:val="24"/>
                <w:szCs w:val="24"/>
                <w:color w:val="auto"/>
              </w:rPr>
            </w:pPr>
          </w:p>
        </w:tc>
        <w:tc>
          <w:tcPr>
            <w:tcW w:w="572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Toni Petersson</w:t>
            </w:r>
          </w:p>
        </w:tc>
        <w:tc>
          <w:tcPr>
            <w:tcW w:w="1420" w:type="dxa"/>
            <w:vAlign w:val="bottom"/>
          </w:tcPr>
          <w:p>
            <w:pPr>
              <w:spacing w:after="0"/>
              <w:rPr>
                <w:sz w:val="19"/>
                <w:szCs w:val="19"/>
                <w:color w:val="auto"/>
              </w:rPr>
            </w:pPr>
          </w:p>
        </w:tc>
        <w:tc>
          <w:tcPr>
            <w:tcW w:w="5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4"/>
        </w:trPr>
        <w:tc>
          <w:tcPr>
            <w:tcW w:w="2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Chu</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Steven Chu</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 Chung</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Ann Chung</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Bernard Hours</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Bernard Hours</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Lillis Härd</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Lillis Härd</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Hannah Jones</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Hannah Jones</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Xin Wang</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Xin Wang</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Melloul</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Eric Melloul</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Frances Rathke</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Frances Rathke</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Yawen Wu</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Yawen Wu</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Brok</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Martin Brok</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Calvin Tuen-Muk Lai Shu</w:t>
            </w:r>
          </w:p>
        </w:tc>
        <w:tc>
          <w:tcPr>
            <w:tcW w:w="57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Calvin Tuen-Muk Lai Shu</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55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Oatly Group AB, has signed this Registration Statement on Form F-6 in Portland, OR, U.S.A., on March 22,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Oatly Inc.</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Matthew Merritt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Matthew Merritt</w:t>
      </w:r>
    </w:p>
    <w:p>
      <w:pPr>
        <w:spacing w:after="0" w:line="23" w:lineRule="exact"/>
        <w:rPr>
          <w:sz w:val="20"/>
          <w:szCs w:val="20"/>
          <w:color w:val="auto"/>
        </w:rPr>
      </w:pPr>
    </w:p>
    <w:p>
      <w:pPr>
        <w:ind w:left="632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tab/>
        <w:t>Authorized Signatory of Oatly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72"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Form of American Depositary Receipt.</w:t>
      </w:r>
    </w:p>
    <w:p>
      <w:pPr>
        <w:spacing w:after="0" w:line="90" w:lineRule="exact"/>
        <w:rPr>
          <w:sz w:val="20"/>
          <w:szCs w:val="20"/>
          <w:color w:val="auto"/>
        </w:rPr>
      </w:pPr>
    </w:p>
    <w:p>
      <w:pPr>
        <w:ind w:left="1080" w:hanging="890"/>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Norton Rose Fulbright US LLP, counsel to JPMorgan Chase Bank, N.A., the depositary, as to the legality of the securities being registered.</w:t>
      </w:r>
    </w:p>
    <w:p>
      <w:pPr>
        <w:spacing w:after="0" w:line="26" w:lineRule="exact"/>
        <w:rPr>
          <w:rFonts w:ascii="Times New Roman" w:cs="Times New Roman" w:eastAsia="Times New Roman" w:hAnsi="Times New Roman"/>
          <w:sz w:val="18"/>
          <w:szCs w:val="18"/>
          <w:color w:val="auto"/>
        </w:rPr>
      </w:pPr>
    </w:p>
    <w:p>
      <w:pPr>
        <w:ind w:left="1080" w:hanging="885"/>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466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497205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60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156845</wp:posOffset>
            </wp:positionV>
            <wp:extent cx="127698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69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ADR]</w:t>
      </w:r>
    </w:p>
    <w:p>
      <w:pPr>
        <w:spacing w:after="0" w:line="25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No. of ADSs: 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Each ADS represents</w:t>
      </w:r>
    </w:p>
    <w:p>
      <w:pPr>
        <w:spacing w:after="0" w:line="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One (1) Share</w:t>
      </w:r>
    </w:p>
    <w:p>
      <w:pPr>
        <w:spacing w:after="0" w:line="20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CUSIP: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evidencing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OATLY GROUP AB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Kingdom of Sweden)</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JPMORGAN CHASE BANK, N.A., a national banking association organized under the laws of the United States of America, as depositary</w:t>
      </w:r>
    </w:p>
    <w:p>
      <w:pPr>
        <w:spacing w:after="0" w:line="27" w:lineRule="exact"/>
        <w:rPr>
          <w:sz w:val="20"/>
          <w:szCs w:val="20"/>
          <w:color w:val="auto"/>
        </w:rPr>
      </w:pPr>
    </w:p>
    <w:p>
      <w:pPr>
        <w:spacing w:after="0"/>
        <w:tabs>
          <w:tab w:leader="none" w:pos="4820" w:val="left"/>
          <w:tab w:leader="none" w:pos="8400" w:val="left"/>
        </w:tabs>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hereby certifies that</w:t>
      </w:r>
      <w:r>
        <w:rPr>
          <w:sz w:val="20"/>
          <w:szCs w:val="20"/>
          <w:color w:val="auto"/>
        </w:rPr>
        <w:tab/>
      </w:r>
      <w:r>
        <w:rPr>
          <w:rFonts w:ascii="Times New Roman" w:cs="Times New Roman" w:eastAsia="Times New Roman" w:hAnsi="Times New Roman"/>
          <w:sz w:val="18"/>
          <w:szCs w:val="18"/>
          <w:color w:val="auto"/>
        </w:rPr>
        <w:t>is the registered owner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of</w:t>
      </w:r>
      <w:r>
        <w:rPr>
          <w:sz w:val="20"/>
          <w:szCs w:val="20"/>
          <w:color w:val="auto"/>
        </w:rPr>
        <w:tab/>
      </w:r>
      <w:r>
        <w:rPr>
          <w:rFonts w:ascii="Times New Roman" w:cs="Times New Roman" w:eastAsia="Times New Roman" w:hAnsi="Times New Roman"/>
          <w:sz w:val="18"/>
          <w:szCs w:val="18"/>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-19050</wp:posOffset>
            </wp:positionV>
            <wp:extent cx="685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-19050</wp:posOffset>
            </wp:positionV>
            <wp:extent cx="4572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right="20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each (subject to paragraph (13) (</w:t>
      </w:r>
      <w:r>
        <w:rPr>
          <w:rFonts w:ascii="Times New Roman" w:cs="Times New Roman" w:eastAsia="Times New Roman" w:hAnsi="Times New Roman"/>
          <w:sz w:val="17"/>
          <w:szCs w:val="17"/>
          <w:i w:val="1"/>
          <w:iCs w:val="1"/>
          <w:color w:val="auto"/>
        </w:rPr>
        <w:t>Changes Affecting Deposited Securities</w:t>
      </w:r>
      <w:r>
        <w:rPr>
          <w:rFonts w:ascii="Times New Roman" w:cs="Times New Roman" w:eastAsia="Times New Roman" w:hAnsi="Times New Roman"/>
          <w:sz w:val="17"/>
          <w:szCs w:val="17"/>
          <w:color w:val="auto"/>
        </w:rPr>
        <w:t>)) representing one (1) ordinary share, par value $0.00017 per share (including the rights to receive Shares described in paragraph (1) (</w:t>
      </w:r>
      <w:r>
        <w:rPr>
          <w:rFonts w:ascii="Times New Roman" w:cs="Times New Roman" w:eastAsia="Times New Roman" w:hAnsi="Times New Roman"/>
          <w:sz w:val="17"/>
          <w:szCs w:val="17"/>
          <w:i w:val="1"/>
          <w:iCs w:val="1"/>
          <w:color w:val="auto"/>
        </w:rPr>
        <w:t>Issuance of ADSs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and, together with any other securities, cash or property from time to time held by the Depositary in respect or in lieu of deposited Shares, the “</w:t>
      </w:r>
      <w:r>
        <w:rPr>
          <w:rFonts w:ascii="Times New Roman" w:cs="Times New Roman" w:eastAsia="Times New Roman" w:hAnsi="Times New Roman"/>
          <w:sz w:val="17"/>
          <w:szCs w:val="17"/>
          <w:b w:val="1"/>
          <w:bCs w:val="1"/>
          <w:color w:val="auto"/>
        </w:rPr>
        <w:t>Deposited Securities</w:t>
      </w:r>
      <w:r>
        <w:rPr>
          <w:rFonts w:ascii="Times New Roman" w:cs="Times New Roman" w:eastAsia="Times New Roman" w:hAnsi="Times New Roman"/>
          <w:sz w:val="17"/>
          <w:szCs w:val="17"/>
          <w:color w:val="auto"/>
        </w:rPr>
        <w:t>”), of OATLY GROUP AB, a public limited entity organized under the laws of the Kingdom of Sweden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deposited under the Deposit Agreement dated as of May 19, 2021 (as amended from time to time, the “</w:t>
      </w:r>
      <w:r>
        <w:rPr>
          <w:rFonts w:ascii="Times New Roman" w:cs="Times New Roman" w:eastAsia="Times New Roman" w:hAnsi="Times New Roman"/>
          <w:sz w:val="17"/>
          <w:szCs w:val="17"/>
          <w:b w:val="1"/>
          <w:bCs w:val="1"/>
          <w:color w:val="auto"/>
        </w:rPr>
        <w:t>Deposit Agreement</w:t>
      </w:r>
      <w:r>
        <w:rPr>
          <w:rFonts w:ascii="Times New Roman" w:cs="Times New Roman" w:eastAsia="Times New Roman" w:hAnsi="Times New Roman"/>
          <w:sz w:val="17"/>
          <w:szCs w:val="17"/>
          <w:color w:val="auto"/>
        </w:rPr>
        <w:t>”) among the Company, the Depositary and all Holders and Beneficial Owners from time to time of</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American Depositary Receipts issued thereunder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176" w:lineRule="exact"/>
        <w:rPr>
          <w:sz w:val="20"/>
          <w:szCs w:val="20"/>
          <w:color w:val="auto"/>
        </w:rPr>
      </w:pPr>
    </w:p>
    <w:p>
      <w:pPr>
        <w:ind w:left="720" w:hanging="263"/>
        <w:spacing w:after="0"/>
        <w:tabs>
          <w:tab w:leader="none" w:pos="7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ADSs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120" w:firstLine="1019"/>
        <w:spacing w:after="0" w:line="277" w:lineRule="auto"/>
        <w:tabs>
          <w:tab w:leader="none" w:pos="1255" w:val="left"/>
        </w:tabs>
        <w:numPr>
          <w:ilvl w:val="3"/>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Issuance</w:t>
      </w:r>
      <w:r>
        <w:rPr>
          <w:rFonts w:ascii="Times New Roman" w:cs="Times New Roman" w:eastAsia="Times New Roman" w:hAnsi="Times New Roman"/>
          <w:sz w:val="17"/>
          <w:szCs w:val="17"/>
          <w:color w:val="auto"/>
        </w:rPr>
        <w:t>. This ADR is one of the ADRs issued under the Deposit Agreement. Subject to the other provisions hereof, the Depositary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 issue ADRs for delivery at the Transfer Office (as hereinafter defined) only against deposit of: (i) Shares in a form satisfactory to the Custodian; or</w:t>
      </w:r>
    </w:p>
    <w:p>
      <w:pPr>
        <w:spacing w:after="0" w:line="1" w:lineRule="exact"/>
        <w:rPr>
          <w:rFonts w:ascii="Times New Roman" w:cs="Times New Roman" w:eastAsia="Times New Roman" w:hAnsi="Times New Roman"/>
          <w:sz w:val="17"/>
          <w:szCs w:val="17"/>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receive Shares from the Company or any registrar, transfer agent, clearing agent or other entity recording Share ownership or transactions.</w:t>
      </w:r>
    </w:p>
    <w:p>
      <w:pPr>
        <w:spacing w:after="0" w:line="204"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Lending</w:t>
      </w:r>
      <w:r>
        <w:rPr>
          <w:rFonts w:ascii="Times New Roman" w:cs="Times New Roman" w:eastAsia="Times New Roman" w:hAnsi="Times New Roman"/>
          <w:sz w:val="18"/>
          <w:szCs w:val="18"/>
          <w:color w:val="auto"/>
        </w:rPr>
        <w:t>. In its capacity as Depositary, the Depositary shall not lend Shares or ADSs.</w:t>
      </w:r>
    </w:p>
    <w:p>
      <w:pPr>
        <w:spacing w:after="0" w:line="225"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3"/>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 of Depositors</w:t>
      </w:r>
      <w:r>
        <w:rPr>
          <w:rFonts w:ascii="Times New Roman" w:cs="Times New Roman" w:eastAsia="Times New Roman" w:hAnsi="Times New Roman"/>
          <w:sz w:val="17"/>
          <w:szCs w:val="17"/>
          <w:color w:val="auto"/>
        </w:rPr>
        <w:t>. Every person depositing Shares under the Deposit Agreement represents and warrants that:</w:t>
      </w:r>
    </w:p>
    <w:p>
      <w:pPr>
        <w:spacing w:after="0" w:line="144" w:lineRule="exact"/>
        <w:rPr>
          <w:rFonts w:ascii="Times New Roman" w:cs="Times New Roman" w:eastAsia="Times New Roman" w:hAnsi="Times New Roman"/>
          <w:sz w:val="17"/>
          <w:szCs w:val="17"/>
          <w:color w:val="auto"/>
        </w:rPr>
      </w:pPr>
    </w:p>
    <w:p>
      <w:pPr>
        <w:ind w:left="1460" w:right="460" w:hanging="453"/>
        <w:spacing w:after="0" w:line="282" w:lineRule="auto"/>
        <w:tabs>
          <w:tab w:leader="none" w:pos="1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and the certificates therefor are duly authorized, validly issued and outstanding, fully paid, nonassessable and legally obtained by such person,</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comparable rights, if any, with respect to such Shares have been validly waived or exercised,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such deposit is duly authorized so to do,</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are free and clear of any lien, encumbrance, security interest, charge, mortgage or adverse claim and</w:t>
      </w:r>
    </w:p>
    <w:p>
      <w:pPr>
        <w:spacing w:after="0" w:line="126" w:lineRule="exact"/>
        <w:rPr>
          <w:rFonts w:ascii="Times New Roman" w:cs="Times New Roman" w:eastAsia="Times New Roman" w:hAnsi="Times New Roman"/>
          <w:sz w:val="18"/>
          <w:szCs w:val="18"/>
          <w:color w:val="auto"/>
        </w:rPr>
      </w:pPr>
    </w:p>
    <w:p>
      <w:pPr>
        <w:ind w:left="1460" w:right="220" w:hanging="453"/>
        <w:spacing w:after="0" w:line="262" w:lineRule="auto"/>
        <w:tabs>
          <w:tab w:leader="none" w:pos="14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 are not “restricted securities” as such term is defined in Rule 144 under the Securities Act of 1933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unless at the time of deposit the requirements of paragraphs (c), (e), (f) and (h) of Rule 144 shall not apply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may be freely transferred and may otherwise be offered and sold freely in the United States or (B) have been registered under the Securities Act of 1933. To the extent the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10" w:name="page11"/>
    <w:bookmarkEnd w:id="10"/>
    <w:p>
      <w:pPr>
        <w:ind w:left="146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w:t>
      </w:r>
    </w:p>
    <w:p>
      <w:pPr>
        <w:spacing w:after="0" w:line="180" w:lineRule="exact"/>
        <w:rPr>
          <w:sz w:val="20"/>
          <w:szCs w:val="20"/>
          <w:color w:val="auto"/>
        </w:rPr>
      </w:pPr>
    </w:p>
    <w:p>
      <w:pPr>
        <w:ind w:right="100" w:firstLine="1011"/>
        <w:spacing w:after="0" w:line="261" w:lineRule="auto"/>
        <w:rPr>
          <w:sz w:val="20"/>
          <w:szCs w:val="20"/>
          <w:color w:val="auto"/>
        </w:rPr>
      </w:pPr>
      <w:r>
        <w:rPr>
          <w:rFonts w:ascii="Times New Roman" w:cs="Times New Roman" w:eastAsia="Times New Roman" w:hAnsi="Times New Roman"/>
          <w:sz w:val="18"/>
          <w:szCs w:val="18"/>
          <w:color w:val="auto"/>
        </w:rPr>
        <w:t>Such representations and warranties shall survive the deposit and withdrawal of Shares and the issuance and cancellation of ADSs in respect thereof and the transfer of such ADSs. If any of the representations or warranties are incorrect in any respect, the Company and the Depositary may, at the cost of the breaching Holder and/or Beneficial Owner, and each of them, take any and all actions necessary to correct the consequences of such misrepresentation.</w:t>
      </w:r>
    </w:p>
    <w:p>
      <w:pPr>
        <w:spacing w:after="0" w:line="180" w:lineRule="exact"/>
        <w:rPr>
          <w:sz w:val="20"/>
          <w:szCs w:val="20"/>
          <w:color w:val="auto"/>
        </w:rPr>
      </w:pPr>
    </w:p>
    <w:p>
      <w:pPr>
        <w:ind w:right="360" w:firstLine="1019"/>
        <w:spacing w:after="0" w:line="282" w:lineRule="auto"/>
        <w:tabs>
          <w:tab w:leader="none" w:pos="126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refuse to accept for such deposit any Shares identified by the Company in order to facilitate compliance with the requirements of the Securities Act of 1933 and the rules and regulations promulgated thereunder.</w:t>
      </w:r>
    </w:p>
    <w:p>
      <w:pPr>
        <w:spacing w:after="0" w:line="157" w:lineRule="exact"/>
        <w:rPr>
          <w:rFonts w:ascii="Times New Roman" w:cs="Times New Roman" w:eastAsia="Times New Roman" w:hAnsi="Times New Roman"/>
          <w:sz w:val="18"/>
          <w:szCs w:val="18"/>
          <w:color w:val="auto"/>
        </w:rPr>
      </w:pPr>
    </w:p>
    <w:p>
      <w:pPr>
        <w:ind w:firstLine="457"/>
        <w:spacing w:after="0" w:line="256" w:lineRule="auto"/>
        <w:tabs>
          <w:tab w:leader="none" w:pos="7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(5) (</w:t>
      </w:r>
      <w:r>
        <w:rPr>
          <w:rFonts w:ascii="Times New Roman" w:cs="Times New Roman" w:eastAsia="Times New Roman" w:hAnsi="Times New Roman"/>
          <w:sz w:val="18"/>
          <w:szCs w:val="18"/>
          <w:i w:val="1"/>
          <w:iCs w:val="1"/>
          <w:color w:val="auto"/>
        </w:rPr>
        <w:t>Liability for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Duties and Other Charges</w:t>
      </w:r>
      <w:r>
        <w:rPr>
          <w:rFonts w:ascii="Times New Roman" w:cs="Times New Roman" w:eastAsia="Times New Roman" w:hAnsi="Times New Roman"/>
          <w:sz w:val="18"/>
          <w:szCs w:val="18"/>
          <w:color w:val="auto"/>
        </w:rPr>
        <w:t>), upon surrender of (a) a certificated ADR in a form satisfactory to the Depositary at the Transfer Office or (b)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and documentation in the case of a Direct Registration ADR, the Holder hereof is entitled to delivery at, or to the extent in dematerialized form from, the Custodian’s office of the Deposited Securities at the time represented by the ADSs evidenced by this ADR.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182"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Transfers, Split-Ups and Combinations of ADRs</w:t>
      </w:r>
      <w:r>
        <w:rPr>
          <w:rFonts w:ascii="Times New Roman" w:cs="Times New Roman" w:eastAsia="Times New Roman" w:hAnsi="Times New Roman"/>
          <w:sz w:val="17"/>
          <w:szCs w:val="17"/>
          <w:color w:val="auto"/>
        </w:rPr>
        <w:t>. The Depositary or its agent will keep, at a designated transfer office (the “</w:t>
      </w:r>
      <w:r>
        <w:rPr>
          <w:rFonts w:ascii="Times New Roman" w:cs="Times New Roman" w:eastAsia="Times New Roman" w:hAnsi="Times New Roman"/>
          <w:sz w:val="17"/>
          <w:szCs w:val="17"/>
          <w:b w:val="1"/>
          <w:bCs w:val="1"/>
          <w:color w:val="auto"/>
        </w:rPr>
        <w:t>Transfer Office</w:t>
      </w:r>
      <w:r>
        <w:rPr>
          <w:rFonts w:ascii="Times New Roman" w:cs="Times New Roman" w:eastAsia="Times New Roman" w:hAnsi="Times New Roman"/>
          <w:sz w:val="17"/>
          <w:szCs w:val="17"/>
          <w:color w:val="auto"/>
        </w:rPr>
        <w:t>”),</w:t>
      </w:r>
    </w:p>
    <w:p>
      <w:pPr>
        <w:spacing w:after="0" w:line="42" w:lineRule="exact"/>
        <w:rPr>
          <w:rFonts w:ascii="Times New Roman" w:cs="Times New Roman" w:eastAsia="Times New Roman" w:hAnsi="Times New Roman"/>
          <w:sz w:val="17"/>
          <w:szCs w:val="17"/>
          <w:color w:val="auto"/>
        </w:rPr>
      </w:pPr>
    </w:p>
    <w:p>
      <w:pPr>
        <w:ind w:right="80" w:firstLine="8"/>
        <w:spacing w:after="0" w:line="253"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 (the “</w:t>
      </w:r>
      <w:r>
        <w:rPr>
          <w:rFonts w:ascii="Times New Roman" w:cs="Times New Roman" w:eastAsia="Times New Roman" w:hAnsi="Times New Roman"/>
          <w:sz w:val="18"/>
          <w:szCs w:val="18"/>
          <w:b w:val="1"/>
          <w:bCs w:val="1"/>
          <w:color w:val="auto"/>
        </w:rPr>
        <w:t>ADR Register</w:t>
      </w:r>
      <w:r>
        <w:rPr>
          <w:rFonts w:ascii="Times New Roman" w:cs="Times New Roman" w:eastAsia="Times New Roman" w:hAnsi="Times New Roman"/>
          <w:sz w:val="18"/>
          <w:szCs w:val="18"/>
          <w:color w:val="auto"/>
        </w:rPr>
        <w:t>”)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(ii) facilities for the delivery and receipt of ADRs. The term ADR Register includes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 xml:space="preserve">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Depositary shall have no liability and shall be indemnified by the Company in such event.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192" w:lineRule="exact"/>
        <w:rPr>
          <w:sz w:val="20"/>
          <w:szCs w:val="20"/>
          <w:color w:val="auto"/>
        </w:rPr>
      </w:pPr>
    </w:p>
    <w:p>
      <w:pPr>
        <w:jc w:val="both"/>
        <w:ind w:right="120" w:firstLine="457"/>
        <w:spacing w:after="0" w:line="262" w:lineRule="auto"/>
        <w:tabs>
          <w:tab w:leader="none" w:pos="7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Limitations to Registration, Transfer etc</w:t>
      </w:r>
      <w:r>
        <w:rPr>
          <w:rFonts w:ascii="Times New Roman" w:cs="Times New Roman" w:eastAsia="Times New Roman" w:hAnsi="Times New Roman"/>
          <w:sz w:val="18"/>
          <w:szCs w:val="18"/>
          <w:color w:val="auto"/>
        </w:rPr>
        <w:t>. Prior to the issue, registration, registration of transfer, split-up or combination of any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delivery of any distribution in respect thereof,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withdrawal of any Deposited Securities, and from time to time in the case of clause (b)(ii) of this paragraph (4), the Company, the Depositary or the Custodian may require:</w:t>
      </w:r>
    </w:p>
    <w:p>
      <w:pPr>
        <w:spacing w:after="0" w:line="180" w:lineRule="exact"/>
        <w:rPr>
          <w:rFonts w:ascii="Times New Roman" w:cs="Times New Roman" w:eastAsia="Times New Roman" w:hAnsi="Times New Roman"/>
          <w:sz w:val="18"/>
          <w:szCs w:val="18"/>
          <w:color w:val="auto"/>
        </w:rPr>
      </w:pPr>
    </w:p>
    <w:p>
      <w:pPr>
        <w:jc w:val="both"/>
        <w:ind w:right="80" w:firstLine="1019"/>
        <w:spacing w:after="0" w:line="266" w:lineRule="auto"/>
        <w:tabs>
          <w:tab w:leader="none" w:pos="12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of this ADR;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12" w:name="page13"/>
    <w:bookmarkEnd w:id="12"/>
    <w:p>
      <w:pPr>
        <w:ind w:right="100" w:firstLine="1019"/>
        <w:spacing w:after="0" w:line="261" w:lineRule="auto"/>
        <w:tabs>
          <w:tab w:leader="none" w:pos="1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w:t>
      </w:r>
    </w:p>
    <w:p>
      <w:pPr>
        <w:spacing w:after="0" w:line="179"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withdrawal of Deposited Securities may be suspended, generally or in particular instances, when the ADR Register or any register for Deposited Securities is closed or when any such action is deemed advisable by the Depositary.</w:t>
      </w:r>
    </w:p>
    <w:p>
      <w:pPr>
        <w:spacing w:after="0" w:line="176" w:lineRule="exact"/>
        <w:rPr>
          <w:sz w:val="20"/>
          <w:szCs w:val="20"/>
          <w:color w:val="auto"/>
        </w:rPr>
      </w:pPr>
    </w:p>
    <w:p>
      <w:pPr>
        <w:ind w:firstLine="457"/>
        <w:spacing w:after="0" w:line="252" w:lineRule="auto"/>
        <w:tabs>
          <w:tab w:leader="none" w:pos="7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 for Taxes, Duties and Other Charges</w:t>
      </w:r>
      <w:r>
        <w:rPr>
          <w:rFonts w:ascii="Times New Roman" w:cs="Times New Roman" w:eastAsia="Times New Roman" w:hAnsi="Times New Roman"/>
          <w:sz w:val="18"/>
          <w:szCs w:val="18"/>
          <w:color w:val="auto"/>
        </w:rPr>
        <w:t>. If any tax or other governmental charges (including any penalties and/or interest) shall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by or on behalf of the Custodian or the Depositary with respect to this ADR, any Deposited Securities represented by the ADSs evidenced hereby or any distribution thereon, such tax or other governmental charge shall be paid by the Holder hereof to the Depositary and by holding or having held this ADR or any ADSs evidenced hereby, the Holder and all Beneficial Owners hereof and thereof, and all prior Holders and Beneficial Owners hereof and thereof, jointly and severally, agree to indemnify, defend and save harmless each of the Depositary, the Company and their respective agents in respect of such tax or other governmental charge. Neither the Company nor the Depositary shall be liable to Holders or Beneficial Owners of the ADSs and ADRs for failure of any of them to comply with applicable tax laws, rules and/or regulations. Each Holder of this ADR and Beneficial Owner of the ADSs evidenced hereby, and each prior Holder and Beneficial Owner hereof and thereof (collectively, the “</w:t>
      </w:r>
      <w:r>
        <w:rPr>
          <w:rFonts w:ascii="Times New Roman" w:cs="Times New Roman" w:eastAsia="Times New Roman" w:hAnsi="Times New Roman"/>
          <w:sz w:val="18"/>
          <w:szCs w:val="18"/>
          <w:b w:val="1"/>
          <w:bCs w:val="1"/>
          <w:color w:val="auto"/>
        </w:rPr>
        <w:t>Tax Indemnitors</w:t>
      </w:r>
      <w:r>
        <w:rPr>
          <w:rFonts w:ascii="Times New Roman" w:cs="Times New Roman" w:eastAsia="Times New Roman" w:hAnsi="Times New Roman"/>
          <w:sz w:val="18"/>
          <w:szCs w:val="18"/>
          <w:color w:val="auto"/>
        </w:rPr>
        <w:t>”), by holding or having held an ADR or an interest in ADSs, acknowledges and agrees that the Depositary shall have the right to seek payment of amounts owing with respect to this ADR under this paragraph (5) from any one or more Tax Indemnitor(s) as determined by the Depositary in its sole discretion, without any obligation to seek payment from any other Tax Indemnitor(s).The Depositary may refuse to effect any registration, registration of transfer, split-up or combination hereof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363" w:right="37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and Beneficial Owner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188" w:lineRule="exact"/>
        <w:rPr>
          <w:sz w:val="20"/>
          <w:szCs w:val="20"/>
          <w:color w:val="auto"/>
        </w:rPr>
      </w:pPr>
    </w:p>
    <w:p>
      <w:pPr>
        <w:ind w:left="720" w:hanging="263"/>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Interests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80" w:firstLine="1019"/>
        <w:spacing w:after="0" w:line="254" w:lineRule="auto"/>
        <w:tabs>
          <w:tab w:leader="none" w:pos="12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To the extent that the provisions of or governing any Deposited Securities may require disclosure of or impose limits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or other ownership of, or interests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 The Company reserves the right to instruct Holders (and through any such Holder, the Beneficial Owners of ADSs evidenced by the ADRs registered in such Holder’s name) to deliver their ADSs for cancellation and withdrawal of the Deposited Securities so as to permit the Company to deal directly with the Holder and/or Beneficial Owner thereof as a holder of Shares and Holders and Beneficial Owners agree to comply with such instructions. The Depositary agrees to cooperate with the Company in its efforts to inform Holders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14" w:name="page15"/>
    <w:bookmarkEnd w:id="14"/>
    <w:p>
      <w:pPr>
        <w:ind w:left="1280" w:hanging="261"/>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Jurisdiction Specific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1011"/>
        <w:spacing w:after="0" w:line="258" w:lineRule="auto"/>
        <w:rPr>
          <w:sz w:val="20"/>
          <w:szCs w:val="20"/>
          <w:color w:val="auto"/>
        </w:rPr>
      </w:pPr>
      <w:r>
        <w:rPr>
          <w:rFonts w:ascii="Times New Roman" w:cs="Times New Roman" w:eastAsia="Times New Roman" w:hAnsi="Times New Roman"/>
          <w:sz w:val="18"/>
          <w:szCs w:val="18"/>
          <w:color w:val="auto"/>
        </w:rPr>
        <w:t>Any summary of the laws and regulations of the Kingdom of Sweden and of the terms of the Company’s constituent documents has been provided by the Company solely for the convenience of Holders, Beneficial Owners and the Depositary. Such summaries are summaries current as of the date of the Deposit Agreement, and as such, may not include all aspects of the materials summarized applicable to a Holder or Beneficial Owner, and these laws and regulations and the Company’s constituent documents may change after the date of the Deposit Agreement. Neither the Depositary nor the Company has any obligation to update any such summaries.</w:t>
      </w:r>
    </w:p>
    <w:p>
      <w:pPr>
        <w:spacing w:after="0" w:line="179" w:lineRule="exact"/>
        <w:rPr>
          <w:sz w:val="20"/>
          <w:szCs w:val="20"/>
          <w:color w:val="auto"/>
        </w:rPr>
      </w:pPr>
    </w:p>
    <w:p>
      <w:pPr>
        <w:ind w:left="720" w:hanging="263"/>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Charges of Depositary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40" w:firstLine="1019"/>
        <w:spacing w:after="0" w:line="255" w:lineRule="auto"/>
        <w:tabs>
          <w:tab w:leader="none" w:pos="125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the Depositary</w:t>
      </w:r>
      <w:r>
        <w:rPr>
          <w:rFonts w:ascii="Times New Roman" w:cs="Times New Roman" w:eastAsia="Times New Roman" w:hAnsi="Times New Roman"/>
          <w:sz w:val="18"/>
          <w:szCs w:val="18"/>
          <w:color w:val="auto"/>
        </w:rPr>
        <w:t>. The Depositary may charge, and collect from, (i) each person to whom ADSs are issued,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issuances against deposits of Shares, issuances in respect of Share Distributions, Rights and Other Distributions (as such terms are defined in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w:t>
      </w:r>
    </w:p>
    <w:p>
      <w:pPr>
        <w:spacing w:after="0" w:line="184" w:lineRule="exact"/>
        <w:rPr>
          <w:rFonts w:ascii="Times New Roman" w:cs="Times New Roman" w:eastAsia="Times New Roman" w:hAnsi="Times New Roman"/>
          <w:sz w:val="18"/>
          <w:szCs w:val="18"/>
          <w:color w:val="auto"/>
        </w:rPr>
      </w:pPr>
    </w:p>
    <w:p>
      <w:pPr>
        <w:jc w:val="both"/>
        <w:ind w:right="60" w:firstLine="1019"/>
        <w:spacing w:after="0" w:line="261" w:lineRule="auto"/>
        <w:tabs>
          <w:tab w:leader="none" w:pos="126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Charges by the Depositary</w:t>
      </w:r>
      <w:r>
        <w:rPr>
          <w:rFonts w:ascii="Times New Roman" w:cs="Times New Roman" w:eastAsia="Times New Roman" w:hAnsi="Times New Roman"/>
          <w:sz w:val="18"/>
          <w:szCs w:val="18"/>
          <w:color w:val="auto"/>
        </w:rPr>
        <w:t>. The following additional charges shall also be incurred by the Holders, the Beneficial Owners,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whichever is applicable:</w:t>
      </w:r>
    </w:p>
    <w:p>
      <w:pPr>
        <w:spacing w:after="0" w:line="87" w:lineRule="exact"/>
        <w:rPr>
          <w:rFonts w:ascii="Times New Roman" w:cs="Times New Roman" w:eastAsia="Times New Roman" w:hAnsi="Times New Roman"/>
          <w:sz w:val="18"/>
          <w:szCs w:val="18"/>
          <w:color w:val="auto"/>
        </w:rPr>
      </w:pPr>
    </w:p>
    <w:p>
      <w:pPr>
        <w:ind w:left="1460" w:hanging="453"/>
        <w:spacing w:after="0" w:line="282" w:lineRule="auto"/>
        <w:tabs>
          <w:tab w:leader="none" w:pos="1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U.S.$0.05 or less per ADS held for any Cash distribution made, or for any elective cash/stock dividend offered, pursuant to the Deposit Agreement,</w:t>
      </w:r>
    </w:p>
    <w:p>
      <w:pPr>
        <w:spacing w:after="0" w:line="67" w:lineRule="exact"/>
        <w:rPr>
          <w:rFonts w:ascii="Times New Roman" w:cs="Times New Roman" w:eastAsia="Times New Roman" w:hAnsi="Times New Roman"/>
          <w:sz w:val="18"/>
          <w:szCs w:val="18"/>
          <w:color w:val="auto"/>
        </w:rPr>
      </w:pPr>
    </w:p>
    <w:p>
      <w:pPr>
        <w:ind w:left="1460" w:right="40" w:hanging="453"/>
        <w:spacing w:after="0" w:line="261" w:lineRule="auto"/>
        <w:tabs>
          <w:tab w:leader="none" w:pos="1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w:t>
      </w: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361" w:right="399" w:bottom="1440" w:gutter="0" w:footer="0" w:header="0"/>
        </w:sectPr>
      </w:pPr>
    </w:p>
    <w:bookmarkStart w:id="15" w:name="page16"/>
    <w:bookmarkEnd w:id="15"/>
    <w:p>
      <w:pPr>
        <w:ind w:left="1420" w:hanging="453"/>
        <w:spacing w:after="0" w:line="281" w:lineRule="auto"/>
        <w:tabs>
          <w:tab w:leader="none" w:pos="1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an aggregate fee of U.S.$0.05 or less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w:t>
      </w:r>
    </w:p>
    <w:p>
      <w:pPr>
        <w:spacing w:after="0" w:line="69" w:lineRule="exact"/>
        <w:rPr>
          <w:rFonts w:ascii="Times New Roman" w:cs="Times New Roman" w:eastAsia="Times New Roman" w:hAnsi="Times New Roman"/>
          <w:sz w:val="17"/>
          <w:szCs w:val="17"/>
          <w:color w:val="auto"/>
        </w:rPr>
      </w:pPr>
    </w:p>
    <w:p>
      <w:pPr>
        <w:ind w:left="1420" w:right="40" w:hanging="453"/>
        <w:spacing w:after="0" w:line="254"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90" w:lineRule="exact"/>
        <w:rPr>
          <w:sz w:val="20"/>
          <w:szCs w:val="20"/>
          <w:color w:val="auto"/>
        </w:rPr>
      </w:pPr>
    </w:p>
    <w:p>
      <w:pPr>
        <w:ind w:left="-40" w:right="60" w:firstLine="1019"/>
        <w:spacing w:after="0" w:line="284" w:lineRule="auto"/>
        <w:tabs>
          <w:tab w:leader="none" w:pos="12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Obligations and Charges</w:t>
      </w:r>
      <w:r>
        <w:rPr>
          <w:rFonts w:ascii="Times New Roman" w:cs="Times New Roman" w:eastAsia="Times New Roman" w:hAnsi="Times New Roman"/>
          <w:sz w:val="18"/>
          <w:szCs w:val="18"/>
          <w:color w:val="auto"/>
        </w:rPr>
        <w:t>. The Company will pay all other charges and expenses of the Depositary and any agent of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the Custodian) pursuant to agreements from time to time between the Company and the Depositary, except:</w:t>
      </w:r>
    </w:p>
    <w:p>
      <w:pPr>
        <w:spacing w:after="0" w:line="65" w:lineRule="exact"/>
        <w:rPr>
          <w:rFonts w:ascii="Times New Roman" w:cs="Times New Roman" w:eastAsia="Times New Roman" w:hAnsi="Times New Roman"/>
          <w:sz w:val="18"/>
          <w:szCs w:val="18"/>
          <w:color w:val="auto"/>
        </w:rPr>
      </w:pPr>
    </w:p>
    <w:p>
      <w:pPr>
        <w:ind w:left="1420" w:hanging="453"/>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transfer or other taxes and other governmental charges (which are payable by Holders or persons depositing Shares);</w:t>
      </w:r>
    </w:p>
    <w:p>
      <w:pPr>
        <w:spacing w:after="0" w:line="130" w:lineRule="exact"/>
        <w:rPr>
          <w:rFonts w:ascii="Times New Roman" w:cs="Times New Roman" w:eastAsia="Times New Roman" w:hAnsi="Times New Roman"/>
          <w:sz w:val="18"/>
          <w:szCs w:val="18"/>
          <w:color w:val="auto"/>
        </w:rPr>
      </w:pPr>
    </w:p>
    <w:p>
      <w:pPr>
        <w:ind w:left="1420" w:right="740" w:hanging="453"/>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cable, telex and facsimile transmission and delivery charges incurred at the request of persons depositing, or Holders delivering Shares, ADRs or Deposited Securities (which are payable by such persons or Holders); and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1363" w:right="379" w:bottom="1440" w:gutter="0" w:footer="0" w:header="0"/>
        </w:sectPr>
      </w:pPr>
    </w:p>
    <w:bookmarkStart w:id="16" w:name="page17"/>
    <w:bookmarkEnd w:id="16"/>
    <w:p>
      <w:pPr>
        <w:jc w:val="both"/>
        <w:ind w:left="1460" w:right="380" w:hanging="453"/>
        <w:spacing w:after="0" w:line="266"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transfer or registration fees for the registration or transfer of Deposited Securities on any applicable register in connection with the deposit or withdrawal of Deposited Securities (which are payable by persons depositing Shares or Holders withdrawing Deposited Securities).</w:t>
      </w:r>
    </w:p>
    <w:p>
      <w:pPr>
        <w:spacing w:after="0" w:line="174" w:lineRule="exact"/>
        <w:rPr>
          <w:sz w:val="20"/>
          <w:szCs w:val="20"/>
          <w:color w:val="auto"/>
        </w:rPr>
      </w:pPr>
    </w:p>
    <w:p>
      <w:pPr>
        <w:ind w:firstLine="1019"/>
        <w:spacing w:after="0" w:line="257" w:lineRule="auto"/>
        <w:tabs>
          <w:tab w:leader="none" w:pos="1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Related Matters. </w:t>
      </w:r>
      <w:r>
        <w:rPr>
          <w:rFonts w:ascii="Times New Roman" w:cs="Times New Roman" w:eastAsia="Times New Roman" w:hAnsi="Times New Roman"/>
          <w:sz w:val="18"/>
          <w:szCs w:val="18"/>
          <w:color w:val="auto"/>
        </w:rPr>
        <w:t>To facilitate the administration of various depositary receipt transactions, including disbursement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other cash distributions and other corporate actions, the Depositary may engage the foreign exchange desk within JPMorgan Chase Bank, N.A.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and/or its affiliates in order to enter into spot foreign exchange transactions to convert foreign currency into U.S. dollars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For certain currencies, FX Transactions are entered into with the Bank or an affiliate, as the case may be, acting in a principal capacity.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currencies, FX Transactions are routed directly to and managed by an unaffiliated local custodian (or other third party local liquidity provider), and neither the Bank nor any of its affiliates is a party to such FX Transactions.</w:t>
      </w:r>
    </w:p>
    <w:p>
      <w:pPr>
        <w:spacing w:after="0" w:line="184" w:lineRule="exact"/>
        <w:rPr>
          <w:sz w:val="20"/>
          <w:szCs w:val="20"/>
          <w:color w:val="auto"/>
        </w:rPr>
      </w:pPr>
    </w:p>
    <w:p>
      <w:pPr>
        <w:ind w:right="20" w:firstLine="1011"/>
        <w:spacing w:after="0" w:line="253" w:lineRule="auto"/>
        <w:rPr>
          <w:sz w:val="20"/>
          <w:szCs w:val="20"/>
          <w:color w:val="auto"/>
        </w:rPr>
      </w:pPr>
      <w:r>
        <w:rPr>
          <w:rFonts w:ascii="Times New Roman" w:cs="Times New Roman" w:eastAsia="Times New Roman" w:hAnsi="Times New Roman"/>
          <w:sz w:val="18"/>
          <w:szCs w:val="18"/>
          <w:color w:val="auto"/>
        </w:rPr>
        <w:t xml:space="preserve">The foreign exchange rate applied to an FX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t>
      </w:r>
      <w:r>
        <w:rPr>
          <w:rFonts w:ascii="Times New Roman" w:cs="Times New Roman" w:eastAsia="Times New Roman" w:hAnsi="Times New Roman"/>
          <w:sz w:val="18"/>
          <w:szCs w:val="18"/>
          <w:u w:val="single" w:color="auto"/>
          <w:color w:val="auto"/>
        </w:rPr>
        <w:t>www.adr.com</w:t>
      </w:r>
      <w:r>
        <w:rPr>
          <w:rFonts w:ascii="Times New Roman" w:cs="Times New Roman" w:eastAsia="Times New Roman" w:hAnsi="Times New Roman"/>
          <w:sz w:val="18"/>
          <w:szCs w:val="18"/>
          <w:color w:val="auto"/>
        </w:rPr>
        <w:t xml:space="preserve"> (as updated by the Depositary from time to time, “</w:t>
      </w:r>
      <w:r>
        <w:rPr>
          <w:rFonts w:ascii="Times New Roman" w:cs="Times New Roman" w:eastAsia="Times New Roman" w:hAnsi="Times New Roman"/>
          <w:sz w:val="18"/>
          <w:szCs w:val="18"/>
          <w:b w:val="1"/>
          <w:bCs w:val="1"/>
          <w:color w:val="auto"/>
        </w:rPr>
        <w:t>ADR.com</w:t>
      </w:r>
      <w:r>
        <w:rPr>
          <w:rFonts w:ascii="Times New Roman" w:cs="Times New Roman" w:eastAsia="Times New Roman" w:hAnsi="Times New Roman"/>
          <w:sz w:val="18"/>
          <w:szCs w:val="18"/>
          <w:color w:val="auto"/>
        </w:rPr>
        <w:t>”).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The spread applied does not reflect any gains or losses that may be earned or incurred by the Bank and its affiliates as a result of risk management or other hedging related activity.</w:t>
      </w:r>
    </w:p>
    <w:p>
      <w:pPr>
        <w:spacing w:after="0" w:line="192" w:lineRule="exact"/>
        <w:rPr>
          <w:sz w:val="20"/>
          <w:szCs w:val="20"/>
          <w:color w:val="auto"/>
        </w:rPr>
      </w:pPr>
    </w:p>
    <w:p>
      <w:pPr>
        <w:ind w:right="220" w:firstLine="1011"/>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the Company provides U.S. dollars to the Depositary, neither the Bank nor any of its affiliates will execute an FX Transaction as set forth herein. In such case, the Depositary will distribute the U.S. dollars received from the Company.</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17" w:name="page18"/>
    <w:bookmarkEnd w:id="17"/>
    <w:p>
      <w:pPr>
        <w:jc w:val="both"/>
        <w:ind w:right="140" w:firstLine="101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Further details relating to the applicable foreign exchange rate, the applicable spread and the execution of FX Transactions will be provided by the Depositary on ADR.com. The Company, Holders and Beneficial Owners each acknowledge and agree that the terms applicable to FX Transactions disclosed from time to time on ADR.com will apply to any FX Transaction executed pursuant to the Deposit Agreement.</w:t>
      </w:r>
    </w:p>
    <w:p>
      <w:pPr>
        <w:spacing w:after="0" w:line="174" w:lineRule="exact"/>
        <w:rPr>
          <w:sz w:val="20"/>
          <w:szCs w:val="20"/>
          <w:color w:val="auto"/>
        </w:rPr>
      </w:pPr>
    </w:p>
    <w:p>
      <w:pPr>
        <w:jc w:val="both"/>
        <w:ind w:firstLine="1019"/>
        <w:spacing w:after="0" w:line="261" w:lineRule="auto"/>
        <w:tabs>
          <w:tab w:leader="none" w:pos="12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of Potential Depositary Payments</w:t>
      </w:r>
      <w:r>
        <w:rPr>
          <w:rFonts w:ascii="Times New Roman" w:cs="Times New Roman" w:eastAsia="Times New Roman" w:hAnsi="Times New Roman"/>
          <w:sz w:val="18"/>
          <w:szCs w:val="18"/>
          <w:color w:val="auto"/>
        </w:rPr>
        <w:t>. The Depositary anticipates reimbursing the Company for certain expenses incurred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181" w:lineRule="exact"/>
        <w:rPr>
          <w:rFonts w:ascii="Times New Roman" w:cs="Times New Roman" w:eastAsia="Times New Roman" w:hAnsi="Times New Roman"/>
          <w:sz w:val="18"/>
          <w:szCs w:val="18"/>
          <w:color w:val="auto"/>
        </w:rPr>
      </w:pPr>
    </w:p>
    <w:p>
      <w:pPr>
        <w:ind w:right="60" w:firstLine="1019"/>
        <w:spacing w:after="0" w:line="266" w:lineRule="auto"/>
        <w:tabs>
          <w:tab w:leader="none" w:pos="123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171" w:lineRule="exact"/>
        <w:rPr>
          <w:rFonts w:ascii="Times New Roman" w:cs="Times New Roman" w:eastAsia="Times New Roman" w:hAnsi="Times New Roman"/>
          <w:sz w:val="18"/>
          <w:szCs w:val="18"/>
          <w:color w:val="auto"/>
        </w:rPr>
      </w:pPr>
    </w:p>
    <w:p>
      <w:pPr>
        <w:ind w:right="20" w:firstLine="457"/>
        <w:spacing w:after="0" w:line="254" w:lineRule="auto"/>
        <w:tabs>
          <w:tab w:leader="none" w:pos="7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Available Information</w:t>
      </w:r>
      <w:r>
        <w:rPr>
          <w:rFonts w:ascii="Times New Roman" w:cs="Times New Roman" w:eastAsia="Times New Roman" w:hAnsi="Times New Roman"/>
          <w:sz w:val="18"/>
          <w:szCs w:val="18"/>
          <w:color w:val="auto"/>
        </w:rPr>
        <w:t>. The Deposit Agreement, the provisions of or governing Deposited Securities and any written communications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which are both received by the Custodian or its nominee as a holder of Deposited Securities and made generally available to the holders of Deposited Securities, are available for inspection by Holders at the offices of the Depositary and the Custodian, at the Transfer Office, on the U.S. Securities and Exchange Commission’s website,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Such reports and other information may be inspected and copied through the Commission’s EDGAR system or at public reference facilities maintained by the Commission located at the date hereof at 100 F Street, NE, Washington, DC 20549.</w:t>
      </w:r>
    </w:p>
    <w:p>
      <w:pPr>
        <w:spacing w:after="0" w:line="188" w:lineRule="exact"/>
        <w:rPr>
          <w:rFonts w:ascii="Times New Roman" w:cs="Times New Roman" w:eastAsia="Times New Roman" w:hAnsi="Times New Roman"/>
          <w:sz w:val="18"/>
          <w:szCs w:val="18"/>
          <w:color w:val="auto"/>
        </w:rPr>
      </w:pPr>
    </w:p>
    <w:p>
      <w:pPr>
        <w:ind w:right="600" w:firstLine="457"/>
        <w:spacing w:after="0" w:line="286" w:lineRule="auto"/>
        <w:tabs>
          <w:tab w:leader="none" w:pos="7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w:t>
      </w:r>
      <w:r>
        <w:rPr>
          <w:rFonts w:ascii="Times New Roman" w:cs="Times New Roman" w:eastAsia="Times New Roman" w:hAnsi="Times New Roman"/>
          <w:sz w:val="18"/>
          <w:szCs w:val="18"/>
          <w:color w:val="auto"/>
        </w:rPr>
        <w:t>. This ADR shall not be valid for any purpose unless executed by the Depositary by the manual or facsimile signature of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of the Depositary.</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474980</wp:posOffset>
            </wp:positionV>
            <wp:extent cx="1276985"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Dated: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JPMORGAN CHASE BANK, N.A., as Depositary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New York 10179.</w:t>
      </w:r>
    </w:p>
    <w:p>
      <w:pPr>
        <w:spacing w:after="0" w:line="200" w:lineRule="exact"/>
        <w:rPr>
          <w:sz w:val="20"/>
          <w:szCs w:val="20"/>
          <w:color w:val="auto"/>
        </w:rPr>
      </w:pPr>
    </w:p>
    <w:p>
      <w:pPr>
        <w:spacing w:after="0" w:line="32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sectPr>
      </w:pPr>
    </w:p>
    <w:bookmarkStart w:id="19" w:name="page20"/>
    <w:bookmarkEnd w:id="19"/>
    <w:p>
      <w:pPr>
        <w:jc w:val="center"/>
        <w:ind w:right="-5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[FORM OF REVERSE OF ADR]</w:t>
      </w:r>
    </w:p>
    <w:p>
      <w:pPr>
        <w:spacing w:after="0" w:line="221" w:lineRule="exact"/>
        <w:rPr>
          <w:sz w:val="20"/>
          <w:szCs w:val="20"/>
          <w:color w:val="auto"/>
        </w:rPr>
      </w:pPr>
    </w:p>
    <w:p>
      <w:pPr>
        <w:jc w:val="both"/>
        <w:ind w:left="-8" w:right="320" w:firstLine="457"/>
        <w:spacing w:after="0" w:line="262" w:lineRule="auto"/>
        <w:tabs>
          <w:tab w:leader="none" w:pos="78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Distributions on Deposited Securities</w:t>
      </w:r>
      <w:r>
        <w:rPr>
          <w:rFonts w:ascii="Times New Roman" w:cs="Times New Roman" w:eastAsia="Times New Roman" w:hAnsi="Times New Roman"/>
          <w:sz w:val="18"/>
          <w:szCs w:val="18"/>
          <w:color w:val="auto"/>
        </w:rPr>
        <w:t>. 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color w:val="auto"/>
        </w:rPr>
        <w:t>) and (5) (</w:t>
      </w:r>
      <w:r>
        <w:rPr>
          <w:rFonts w:ascii="Times New Roman" w:cs="Times New Roman" w:eastAsia="Times New Roman" w:hAnsi="Times New Roman"/>
          <w:sz w:val="18"/>
          <w:szCs w:val="18"/>
          <w:i w:val="1"/>
          <w:iCs w:val="1"/>
          <w:color w:val="auto"/>
        </w:rPr>
        <w:t>Liability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Taxes, Duties and other Charges</w:t>
      </w:r>
      <w:r>
        <w:rPr>
          <w:rFonts w:ascii="Times New Roman" w:cs="Times New Roman" w:eastAsia="Times New Roman" w:hAnsi="Times New Roman"/>
          <w:sz w:val="18"/>
          <w:szCs w:val="18"/>
          <w:color w:val="auto"/>
        </w:rPr>
        <w:t>), to the extent practicable, the Depositary will distribute to each Holder entitled thereto on the record date set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70" w:lineRule="exact"/>
        <w:rPr>
          <w:rFonts w:ascii="Times New Roman" w:cs="Times New Roman" w:eastAsia="Times New Roman" w:hAnsi="Times New Roman"/>
          <w:sz w:val="18"/>
          <w:szCs w:val="18"/>
          <w:color w:val="auto"/>
        </w:rPr>
      </w:pPr>
    </w:p>
    <w:p>
      <w:pPr>
        <w:ind w:left="-8" w:firstLine="1019"/>
        <w:spacing w:after="0" w:line="254" w:lineRule="auto"/>
        <w:tabs>
          <w:tab w:leader="none" w:pos="124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Any U.S. dollars available to the Depositary resulting from a cash dividend or other cash distribution or the net proceeds of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distribution or portion thereof authorized in this paragraph (10)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w:t>
      </w:r>
    </w:p>
    <w:p>
      <w:pPr>
        <w:spacing w:after="0" w:line="1" w:lineRule="exact"/>
        <w:rPr>
          <w:rFonts w:ascii="Times New Roman" w:cs="Times New Roman" w:eastAsia="Times New Roman" w:hAnsi="Times New Roman"/>
          <w:sz w:val="18"/>
          <w:szCs w:val="18"/>
          <w:color w:val="auto"/>
        </w:rPr>
      </w:pPr>
    </w:p>
    <w:p>
      <w:pPr>
        <w:ind w:left="-8" w:right="160" w:firstLine="8"/>
        <w:spacing w:after="0" w:line="260" w:lineRule="auto"/>
        <w:tabs>
          <w:tab w:leader="none" w:pos="2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179" w:lineRule="exact"/>
        <w:rPr>
          <w:rFonts w:ascii="Times New Roman" w:cs="Times New Roman" w:eastAsia="Times New Roman" w:hAnsi="Times New Roman"/>
          <w:sz w:val="18"/>
          <w:szCs w:val="18"/>
          <w:color w:val="auto"/>
        </w:rPr>
      </w:pPr>
    </w:p>
    <w:p>
      <w:pPr>
        <w:ind w:left="-8" w:right="20" w:firstLine="1019"/>
        <w:spacing w:after="0" w:line="261" w:lineRule="auto"/>
        <w:tabs>
          <w:tab w:leader="none" w:pos="125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 Additional ADRs evidencing whole ADSs representing any Shares available to the Depositary resulting from a dividend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 distribution on Deposited Securities consisting of Shares (a “</w:t>
      </w:r>
      <w:r>
        <w:rPr>
          <w:rFonts w:ascii="Times New Roman" w:cs="Times New Roman" w:eastAsia="Times New Roman" w:hAnsi="Times New Roman"/>
          <w:sz w:val="18"/>
          <w:szCs w:val="18"/>
          <w:b w:val="1"/>
          <w:bCs w:val="1"/>
          <w:color w:val="auto"/>
        </w:rPr>
        <w:t>Share Distribution</w:t>
      </w:r>
      <w:r>
        <w:rPr>
          <w:rFonts w:ascii="Times New Roman" w:cs="Times New Roman" w:eastAsia="Times New Roman" w:hAnsi="Times New Roman"/>
          <w:sz w:val="18"/>
          <w:szCs w:val="18"/>
          <w:color w:val="auto"/>
        </w:rPr>
        <w:t>”) and (ii) U.S. dollars available to it resulting from the net proceeds of sales of Shares received in a Share Distribution, which Shares would give rise to fractional ADSs if additional ADRs were issued therefor, as in the case of Cash.</w:t>
      </w:r>
    </w:p>
    <w:p>
      <w:pPr>
        <w:spacing w:after="0" w:line="179" w:lineRule="exact"/>
        <w:rPr>
          <w:rFonts w:ascii="Times New Roman" w:cs="Times New Roman" w:eastAsia="Times New Roman" w:hAnsi="Times New Roman"/>
          <w:sz w:val="18"/>
          <w:szCs w:val="18"/>
          <w:color w:val="auto"/>
        </w:rPr>
      </w:pPr>
    </w:p>
    <w:p>
      <w:pPr>
        <w:ind w:left="-8" w:right="20" w:firstLine="1019"/>
        <w:spacing w:after="0" w:line="256" w:lineRule="auto"/>
        <w:tabs>
          <w:tab w:leader="none" w:pos="124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(i) Warrants or other instruments in the discretion of the Depositary representing rights to acquire additional ADRs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rights to subscribe for additional Shares or rights of any nature available to the Depositary as a result of a distribution on Deposited Securities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33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1363" w:right="399" w:bottom="1440" w:gutter="0" w:footer="0" w:header="0"/>
        </w:sectPr>
      </w:pPr>
    </w:p>
    <w:bookmarkStart w:id="20" w:name="page21"/>
    <w:bookmarkEnd w:id="20"/>
    <w:p>
      <w:pPr>
        <w:jc w:val="both"/>
        <w:ind w:right="20" w:firstLine="1019"/>
        <w:spacing w:after="0" w:line="261" w:lineRule="auto"/>
        <w:tabs>
          <w:tab w:leader="none" w:pos="1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Other Distributions</w:t>
      </w:r>
      <w:r>
        <w:rPr>
          <w:rFonts w:ascii="Times New Roman" w:cs="Times New Roman" w:eastAsia="Times New Roman" w:hAnsi="Times New Roman"/>
          <w:sz w:val="18"/>
          <w:szCs w:val="18"/>
          <w:color w:val="auto"/>
        </w:rPr>
        <w:t>. (i) Securities or property available to the Depositary resulting from any distribution on Deposited Securities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Cash, Share Distributions and Rights (“</w:t>
      </w:r>
      <w:r>
        <w:rPr>
          <w:rFonts w:ascii="Times New Roman" w:cs="Times New Roman" w:eastAsia="Times New Roman" w:hAnsi="Times New Roman"/>
          <w:sz w:val="18"/>
          <w:szCs w:val="18"/>
          <w:b w:val="1"/>
          <w:bCs w:val="1"/>
          <w:color w:val="auto"/>
        </w:rPr>
        <w:t>Other Distributions</w:t>
      </w:r>
      <w:r>
        <w:rPr>
          <w:rFonts w:ascii="Times New Roman" w:cs="Times New Roman" w:eastAsia="Times New Roman" w:hAnsi="Times New Roman"/>
          <w:sz w:val="18"/>
          <w:szCs w:val="18"/>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w:t>
      </w:r>
    </w:p>
    <w:p>
      <w:pPr>
        <w:spacing w:after="0" w:line="182" w:lineRule="exact"/>
        <w:rPr>
          <w:sz w:val="20"/>
          <w:szCs w:val="20"/>
          <w:color w:val="auto"/>
        </w:rPr>
      </w:pPr>
    </w:p>
    <w:p>
      <w:pPr>
        <w:ind w:firstLine="1011"/>
        <w:spacing w:after="0" w:line="256" w:lineRule="auto"/>
        <w:rPr>
          <w:sz w:val="20"/>
          <w:szCs w:val="20"/>
          <w:color w:val="auto"/>
        </w:rPr>
      </w:pPr>
      <w:r>
        <w:rPr>
          <w:rFonts w:ascii="Times New Roman" w:cs="Times New Roman" w:eastAsia="Times New Roman" w:hAnsi="Times New Roman"/>
          <w:sz w:val="18"/>
          <w:szCs w:val="18"/>
          <w:color w:val="auto"/>
        </w:rPr>
        <w:t>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on ADR.com, the location and contents of which the Depositary shall be solely responsible for.</w:t>
      </w:r>
    </w:p>
    <w:p>
      <w:pPr>
        <w:spacing w:after="0" w:line="183" w:lineRule="exact"/>
        <w:rPr>
          <w:sz w:val="20"/>
          <w:szCs w:val="20"/>
          <w:color w:val="auto"/>
        </w:rPr>
      </w:pPr>
    </w:p>
    <w:p>
      <w:pPr>
        <w:ind w:right="160" w:firstLine="457"/>
        <w:spacing w:after="0" w:line="259" w:lineRule="auto"/>
        <w:tabs>
          <w:tab w:leader="none" w:pos="7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Dates</w:t>
      </w:r>
      <w:r>
        <w:rPr>
          <w:rFonts w:ascii="Times New Roman" w:cs="Times New Roman" w:eastAsia="Times New Roman" w:hAnsi="Times New Roman"/>
          <w:sz w:val="18"/>
          <w:szCs w:val="18"/>
          <w:color w:val="auto"/>
        </w:rPr>
        <w:t>. The Depositary may, after consultation with the Company if practicable, fix a record date (which, to the extent applicable,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179" w:lineRule="exact"/>
        <w:rPr>
          <w:rFonts w:ascii="Times New Roman" w:cs="Times New Roman" w:eastAsia="Times New Roman" w:hAnsi="Times New Roman"/>
          <w:sz w:val="18"/>
          <w:szCs w:val="18"/>
          <w:color w:val="auto"/>
        </w:rPr>
      </w:pPr>
    </w:p>
    <w:p>
      <w:pPr>
        <w:ind w:left="800" w:hanging="34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of Deposited Securities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120" w:firstLine="1019"/>
        <w:spacing w:after="0" w:line="261" w:lineRule="auto"/>
        <w:tabs>
          <w:tab w:leader="none" w:pos="12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Meeting or Solicitation. As soon as practicable after receipt of notice of any meeting at which the holders of Shares are entitled to vote, or of solicitation of consents or proxies from holders of Shares or other Deposited Securities, the Depositary shall fix the ADS record date in accordance with paragraph (11) above provided that if the Depositary receives a written request from the Company in a timely manner and at least 30 days prior to the date of such vote or</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21" w:name="page22"/>
    <w:bookmarkEnd w:id="2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meeting, the Depositary shall, at the Company’s expense, distribute to Holders a notice (the “</w:t>
      </w:r>
      <w:r>
        <w:rPr>
          <w:rFonts w:ascii="Times New Roman" w:cs="Times New Roman" w:eastAsia="Times New Roman" w:hAnsi="Times New Roman"/>
          <w:sz w:val="18"/>
          <w:szCs w:val="18"/>
          <w:b w:val="1"/>
          <w:bCs w:val="1"/>
          <w:color w:val="auto"/>
        </w:rPr>
        <w:t>Voting Notice</w:t>
      </w:r>
      <w:r>
        <w:rPr>
          <w:rFonts w:ascii="Times New Roman" w:cs="Times New Roman" w:eastAsia="Times New Roman" w:hAnsi="Times New Roman"/>
          <w:sz w:val="18"/>
          <w:szCs w:val="18"/>
          <w:color w:val="auto"/>
        </w:rPr>
        <w:t>”) stating (i) final information particular to such vote and meeting and any solicitation materials, (ii) that each Holder on the record date set by the Depositary will, subject to any applicable provisions of Swedish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w:t>
      </w:r>
    </w:p>
    <w:p>
      <w:pPr>
        <w:spacing w:after="0" w:line="187" w:lineRule="exact"/>
        <w:rPr>
          <w:sz w:val="20"/>
          <w:szCs w:val="20"/>
          <w:color w:val="auto"/>
        </w:rPr>
      </w:pPr>
    </w:p>
    <w:p>
      <w:pPr>
        <w:ind w:firstLine="457"/>
        <w:spacing w:after="0" w:line="258" w:lineRule="auto"/>
        <w:tabs>
          <w:tab w:leader="none" w:pos="7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of Deposited Securities</w:t>
      </w:r>
      <w:r>
        <w:rPr>
          <w:rFonts w:ascii="Times New Roman" w:cs="Times New Roman" w:eastAsia="Times New Roman" w:hAnsi="Times New Roman"/>
          <w:sz w:val="18"/>
          <w:szCs w:val="18"/>
          <w:color w:val="auto"/>
        </w:rPr>
        <w:t>. Following actual receipt by the ADR department responsible for proxies and voting of Holders’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p>
      <w:pPr>
        <w:spacing w:after="0" w:line="183" w:lineRule="exact"/>
        <w:rPr>
          <w:rFonts w:ascii="Times New Roman" w:cs="Times New Roman" w:eastAsia="Times New Roman" w:hAnsi="Times New Roman"/>
          <w:sz w:val="18"/>
          <w:szCs w:val="18"/>
          <w:color w:val="auto"/>
        </w:rPr>
      </w:pPr>
    </w:p>
    <w:p>
      <w:pPr>
        <w:ind w:right="20" w:firstLine="457"/>
        <w:spacing w:after="0" w:line="255" w:lineRule="auto"/>
        <w:tabs>
          <w:tab w:leader="none" w:pos="6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 Methods of Distributing Materials. </w:t>
      </w:r>
      <w:r>
        <w:rPr>
          <w:rFonts w:ascii="Times New Roman" w:cs="Times New Roman" w:eastAsia="Times New Roman" w:hAnsi="Times New Roman"/>
          <w:sz w:val="18"/>
          <w:szCs w:val="18"/>
          <w:color w:val="auto"/>
        </w:rPr>
        <w:t>Notwithstanding anything contained in the Deposit Agreement or any ADR, the Depositary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not prohibited by any law, rule, or regulation or by the rules and/or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2" w:name="page23"/>
    <w:bookmarkEnd w:id="22"/>
    <w:p>
      <w:pPr>
        <w:ind w:left="792" w:hanging="343"/>
        <w:spacing w:after="0"/>
        <w:tabs>
          <w:tab w:leader="none" w:pos="7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Changes Affecting Deposited Securities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8" w:firstLine="1019"/>
        <w:spacing w:after="0" w:line="255" w:lineRule="auto"/>
        <w:tabs>
          <w:tab w:leader="none" w:pos="1247"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color w:val="auto"/>
        </w:rPr>
        <w:t>) and (5) (</w:t>
      </w:r>
      <w:r>
        <w:rPr>
          <w:rFonts w:ascii="Times New Roman" w:cs="Times New Roman" w:eastAsia="Times New Roman" w:hAnsi="Times New Roman"/>
          <w:sz w:val="18"/>
          <w:szCs w:val="18"/>
          <w:i w:val="1"/>
          <w:iCs w:val="1"/>
          <w:color w:val="auto"/>
        </w:rPr>
        <w:t>Liability for Taxes, Duties and Other Charges</w:t>
      </w:r>
      <w:r>
        <w:rPr>
          <w:rFonts w:ascii="Times New Roman" w:cs="Times New Roman" w:eastAsia="Times New Roman" w:hAnsi="Times New Roman"/>
          <w:sz w:val="18"/>
          <w:szCs w:val="18"/>
          <w:color w:val="auto"/>
        </w:rPr>
        <w:t>),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186" w:lineRule="exact"/>
        <w:rPr>
          <w:rFonts w:ascii="Times New Roman" w:cs="Times New Roman" w:eastAsia="Times New Roman" w:hAnsi="Times New Roman"/>
          <w:sz w:val="18"/>
          <w:szCs w:val="18"/>
          <w:color w:val="auto"/>
        </w:rPr>
      </w:pPr>
    </w:p>
    <w:p>
      <w:pPr>
        <w:ind w:left="-8" w:right="120" w:firstLine="1019"/>
        <w:spacing w:after="0" w:line="266" w:lineRule="auto"/>
        <w:tabs>
          <w:tab w:leader="none" w:pos="125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75" w:lineRule="exact"/>
        <w:rPr>
          <w:rFonts w:ascii="Times New Roman" w:cs="Times New Roman" w:eastAsia="Times New Roman" w:hAnsi="Times New Roman"/>
          <w:sz w:val="18"/>
          <w:szCs w:val="18"/>
          <w:color w:val="auto"/>
        </w:rPr>
      </w:pPr>
    </w:p>
    <w:p>
      <w:pPr>
        <w:ind w:left="-8" w:right="140" w:firstLine="1019"/>
        <w:spacing w:after="0" w:line="261" w:lineRule="auto"/>
        <w:tabs>
          <w:tab w:leader="none" w:pos="1247"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175" w:lineRule="exact"/>
        <w:rPr>
          <w:rFonts w:ascii="Times New Roman" w:cs="Times New Roman" w:eastAsia="Times New Roman" w:hAnsi="Times New Roman"/>
          <w:sz w:val="18"/>
          <w:szCs w:val="18"/>
          <w:color w:val="auto"/>
        </w:rPr>
      </w:pPr>
    </w:p>
    <w:p>
      <w:pPr>
        <w:ind w:left="792" w:hanging="343"/>
        <w:spacing w:after="0"/>
        <w:tabs>
          <w:tab w:leader="none" w:pos="7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Exoneration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52" w:hanging="241"/>
        <w:spacing w:after="0"/>
        <w:tabs>
          <w:tab w:leader="none" w:pos="1252"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the Company, and each of their respective directors, officers, employees, agents and affiliates and each of them shall:</w:t>
      </w:r>
    </w:p>
    <w:p>
      <w:pPr>
        <w:spacing w:after="0" w:line="27" w:lineRule="exact"/>
        <w:rPr>
          <w:rFonts w:ascii="Times New Roman" w:cs="Times New Roman" w:eastAsia="Times New Roman" w:hAnsi="Times New Roman"/>
          <w:sz w:val="18"/>
          <w:szCs w:val="18"/>
          <w:color w:val="auto"/>
        </w:rPr>
      </w:pPr>
    </w:p>
    <w:p>
      <w:pPr>
        <w:ind w:left="-8" w:right="160" w:firstLine="8"/>
        <w:spacing w:after="0" w:line="253" w:lineRule="auto"/>
        <w:tabs>
          <w:tab w:leader="none" w:pos="2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to Holders or Beneficial Owners (A) if any present or future law, rule, regulation, fiat, order or decree of the United States, the Kingdom of Sweden or any other country or jurisdiction, or of any governmental or regulatory authority or any securities exchange or market or automated quotation system, the provisions of or governing any Deposited Securities, any present or future provision of the Company’s articles of association, any act of God, war, terrorism, nationalization,</w:t>
      </w:r>
    </w:p>
    <w:p>
      <w:pPr>
        <w:spacing w:after="0" w:line="33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1359" w:right="359" w:bottom="1440" w:gutter="0" w:footer="0" w:header="0"/>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epidemic, pandemic,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 (ii) not incur or assume any liability to Holders or Beneficial Owners except to perform its obligations to the extent they are specifically set forth in this ADR and the Deposit Agreement without gross negligence or willful misconduct and the Depositary shall not be a fiduciary or have any fiduciary duty to Holders or Beneficial Owners; (iii) in the case of the Depositary and its agents, be under no obligation to appear in, prosecute or defend any action, suit or other proceeding in respect of any Deposited Securities, ADSs or this ADR; (iv) in the case of the Company and its agents hereunder be under no obligation to appear in, prosecute or defend any action, suit or other proceeding in respect of any Deposited Securities, ADSs or this ADR, which in its opinion may involve it in expense or liability, unless indemnity satisfactory to it against all expense (including fees and disbursements of counsel) and liability be furnished as often as may be required; and (v) not be liable to Holders or Beneficial Owners for any action or inaction by it in reliance upon the advice of or information from legal counsel, accountants, any person presenting Shares for deposit, any Holder, any other person believed by it to be competent to give such advice or information, or in the case of the Depositary only, the Company. The Depositary shall not be liable for the acts or omissions made by, or the insolvency of, any securities depository, clearing agency or settlement system.</w:t>
      </w:r>
    </w:p>
    <w:p>
      <w:pPr>
        <w:spacing w:after="0" w:line="193" w:lineRule="exact"/>
        <w:rPr>
          <w:sz w:val="20"/>
          <w:szCs w:val="20"/>
          <w:color w:val="auto"/>
        </w:rPr>
      </w:pPr>
    </w:p>
    <w:p>
      <w:pPr>
        <w:ind w:firstLine="1019"/>
        <w:spacing w:after="0" w:line="255" w:lineRule="auto"/>
        <w:tabs>
          <w:tab w:leader="none" w:pos="1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Depositary</w:t>
      </w:r>
      <w:r>
        <w:rPr>
          <w:rFonts w:ascii="Times New Roman" w:cs="Times New Roman" w:eastAsia="Times New Roman" w:hAnsi="Times New Roman"/>
          <w:sz w:val="18"/>
          <w:szCs w:val="18"/>
          <w:color w:val="auto"/>
        </w:rPr>
        <w:t>. The Depositary shall not be responsible for, and shall incur no liability in connection with or arising from, the insolvency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subject to the further limitations set forth in subparagraph (p) of this paragraph</w:t>
      </w: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24" w:name="page25"/>
    <w:bookmarkEnd w:id="24"/>
    <w:p>
      <w:pPr>
        <w:ind w:left="-120" w:right="600" w:firstLine="1019"/>
        <w:spacing w:after="0" w:line="282" w:lineRule="auto"/>
        <w:tabs>
          <w:tab w:leader="none" w:pos="11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The Depositary, its agents and the Company may rely and shall be protected in acting upon any written notice, request, direction, instruction or document believed by them to be genuine and to have been signed, presented or given by the proper party or parties.</w:t>
      </w:r>
    </w:p>
    <w:p>
      <w:pPr>
        <w:spacing w:after="0" w:line="161" w:lineRule="exact"/>
        <w:rPr>
          <w:rFonts w:ascii="Times New Roman" w:cs="Times New Roman" w:eastAsia="Times New Roman" w:hAnsi="Times New Roman"/>
          <w:sz w:val="18"/>
          <w:szCs w:val="18"/>
          <w:color w:val="auto"/>
        </w:rPr>
      </w:pPr>
    </w:p>
    <w:p>
      <w:pPr>
        <w:ind w:left="-120" w:right="220" w:firstLine="1019"/>
        <w:spacing w:after="0" w:line="266" w:lineRule="auto"/>
        <w:tabs>
          <w:tab w:leader="none" w:pos="11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be under no obligation to inform Holders or Beneficial Owners about the requirements of the laws, rules or regulations or any changes therein or thereto of any country or jurisdiction or of any governmental or regulatory authority or any securities exchange or market or automated quotation system.</w:t>
      </w:r>
    </w:p>
    <w:p>
      <w:pPr>
        <w:spacing w:after="0" w:line="175" w:lineRule="exact"/>
        <w:rPr>
          <w:rFonts w:ascii="Times New Roman" w:cs="Times New Roman" w:eastAsia="Times New Roman" w:hAnsi="Times New Roman"/>
          <w:sz w:val="18"/>
          <w:szCs w:val="18"/>
          <w:color w:val="auto"/>
        </w:rPr>
      </w:pPr>
    </w:p>
    <w:p>
      <w:pPr>
        <w:ind w:left="-120" w:right="40" w:firstLine="1019"/>
        <w:spacing w:after="0" w:line="282" w:lineRule="auto"/>
        <w:tabs>
          <w:tab w:leader="none" w:pos="11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and its agents will not be responsible for any failure to carry out any instructions to vote any of the Deposited Securities, for the manner in which any voting instructions are given, for the manner in which any such vote is cast or for the effect of any such vote.</w:t>
      </w:r>
    </w:p>
    <w:p>
      <w:pPr>
        <w:spacing w:after="0" w:line="161" w:lineRule="exact"/>
        <w:rPr>
          <w:rFonts w:ascii="Times New Roman" w:cs="Times New Roman" w:eastAsia="Times New Roman" w:hAnsi="Times New Roman"/>
          <w:sz w:val="18"/>
          <w:szCs w:val="18"/>
          <w:color w:val="auto"/>
        </w:rPr>
      </w:pPr>
    </w:p>
    <w:p>
      <w:pPr>
        <w:ind w:left="-120" w:right="560" w:firstLine="1019"/>
        <w:spacing w:after="0" w:line="282" w:lineRule="auto"/>
        <w:tabs>
          <w:tab w:leader="none" w:pos="11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rely upon instructions from the Company or its counsel in respect of any approval or license required for any currency conversion, transfer or distribution.</w:t>
      </w:r>
    </w:p>
    <w:p>
      <w:pPr>
        <w:spacing w:after="0" w:line="16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and its agents may own and deal in any class of securities of the Company and its affiliates and in ADRs.</w:t>
      </w:r>
    </w:p>
    <w:p>
      <w:pPr>
        <w:spacing w:after="0" w:line="225" w:lineRule="exact"/>
        <w:rPr>
          <w:rFonts w:ascii="Times New Roman" w:cs="Times New Roman" w:eastAsia="Times New Roman" w:hAnsi="Times New Roman"/>
          <w:sz w:val="18"/>
          <w:szCs w:val="18"/>
          <w:color w:val="auto"/>
        </w:rPr>
      </w:pPr>
    </w:p>
    <w:p>
      <w:pPr>
        <w:ind w:left="-120" w:firstLine="1019"/>
        <w:spacing w:after="0" w:line="261" w:lineRule="auto"/>
        <w:tabs>
          <w:tab w:leader="none" w:pos="11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w:t>
      </w:r>
    </w:p>
    <w:p>
      <w:pPr>
        <w:spacing w:after="0" w:line="179" w:lineRule="exact"/>
        <w:rPr>
          <w:rFonts w:ascii="Times New Roman" w:cs="Times New Roman" w:eastAsia="Times New Roman" w:hAnsi="Times New Roman"/>
          <w:sz w:val="18"/>
          <w:szCs w:val="18"/>
          <w:color w:val="auto"/>
        </w:rPr>
      </w:pPr>
    </w:p>
    <w:p>
      <w:pPr>
        <w:ind w:left="-120" w:right="340" w:firstLine="1019"/>
        <w:spacing w:after="0" w:line="282" w:lineRule="auto"/>
        <w:tabs>
          <w:tab w:leader="none" w:pos="11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Depositary, the Custodian or the Company shall be liable for the failure by any Holder or Beneficial Owner to obtain the benefits of credits or refunds of non-U.S. tax paid against such Holder’s or Beneficial Owner’s income tax liability.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1363" w:right="439" w:bottom="1440" w:gutter="0" w:footer="0" w:header="0"/>
        </w:sectPr>
      </w:pPr>
    </w:p>
    <w:bookmarkStart w:id="25" w:name="page26"/>
    <w:bookmarkEnd w:id="25"/>
    <w:p>
      <w:pPr>
        <w:jc w:val="both"/>
        <w:ind w:left="-60" w:right="100" w:firstLine="1019"/>
        <w:spacing w:after="0" w:line="266" w:lineRule="auto"/>
        <w:tabs>
          <w:tab w:leader="none" w:pos="11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The Depositary is under no obligation to provide the Holders and Beneficial Owners, or any of them, with any information about the tax status of the Company. The Depositary and the Company shall not incur any liability for any tax or tax consequences that may be incurred by Holders and Beneficial Owners on account of their ownership or disposition of the ADRs or ADSs.</w:t>
      </w:r>
    </w:p>
    <w:p>
      <w:pPr>
        <w:spacing w:after="0" w:line="175" w:lineRule="exact"/>
        <w:rPr>
          <w:rFonts w:ascii="Times New Roman" w:cs="Times New Roman" w:eastAsia="Times New Roman" w:hAnsi="Times New Roman"/>
          <w:sz w:val="18"/>
          <w:szCs w:val="18"/>
          <w:color w:val="auto"/>
        </w:rPr>
      </w:pPr>
    </w:p>
    <w:p>
      <w:pPr>
        <w:ind w:left="-60" w:right="80" w:firstLine="1019"/>
        <w:spacing w:after="0" w:line="261" w:lineRule="auto"/>
        <w:tabs>
          <w:tab w:leader="none" w:pos="120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spacing w:after="0" w:line="179" w:lineRule="exact"/>
        <w:rPr>
          <w:rFonts w:ascii="Times New Roman" w:cs="Times New Roman" w:eastAsia="Times New Roman" w:hAnsi="Times New Roman"/>
          <w:sz w:val="18"/>
          <w:szCs w:val="18"/>
          <w:color w:val="auto"/>
        </w:rPr>
      </w:pPr>
    </w:p>
    <w:p>
      <w:pPr>
        <w:ind w:left="-60" w:right="60" w:firstLine="1019"/>
        <w:spacing w:after="0" w:line="256" w:lineRule="auto"/>
        <w:tabs>
          <w:tab w:leader="none" w:pos="11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the Deposit Agreement to the contrary, the Depositary and the Custodian(s) may use third party delivery services and providers of information regarding matters such as pricing, proxy voting, corporate actions, class action litigation and other services in connection herewith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w:t>
      </w:r>
    </w:p>
    <w:p>
      <w:pPr>
        <w:spacing w:after="0" w:line="187" w:lineRule="exact"/>
        <w:rPr>
          <w:rFonts w:ascii="Times New Roman" w:cs="Times New Roman" w:eastAsia="Times New Roman" w:hAnsi="Times New Roman"/>
          <w:sz w:val="18"/>
          <w:szCs w:val="18"/>
          <w:color w:val="auto"/>
        </w:rPr>
      </w:pPr>
    </w:p>
    <w:p>
      <w:pPr>
        <w:ind w:left="-60" w:right="40" w:firstLine="1019"/>
        <w:spacing w:after="0" w:line="282" w:lineRule="auto"/>
        <w:tabs>
          <w:tab w:leader="none" w:pos="12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spacing w:after="0" w:line="161" w:lineRule="exact"/>
        <w:rPr>
          <w:rFonts w:ascii="Times New Roman" w:cs="Times New Roman" w:eastAsia="Times New Roman" w:hAnsi="Times New Roman"/>
          <w:sz w:val="18"/>
          <w:szCs w:val="18"/>
          <w:color w:val="auto"/>
        </w:rPr>
      </w:pPr>
    </w:p>
    <w:p>
      <w:pPr>
        <w:ind w:left="-60" w:firstLine="1019"/>
        <w:spacing w:after="0" w:line="254"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holding or owning an ADR or ADS or an interest therein, Holders and Beneficial Owners each irrevocably agree that any 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state or federal court in New York, New York, and by holding or owning an ADR or ADS or an interest therein each irrevocably waives any objection which it may now or hereafter have to the laying of venue of any such proceeding, and irrevocably submits to the non-exclusive jurisdiction of such courts in any such suit, action or proceeding. By holding or owning an ADR or ADS or an interest therein, Holders and Beneficial Owners each also irrevocably agree that any legal suit, action or proceeding against or involving the Company or the Depositary brought by Holders or Beneficial Owners, arising out of or based upon the Deposit Agreement, the ADSs, the ADRs or the transactions contemplated therein, herein, thereby or hereby, may only be instituted in a state or federal court in New York, New York.</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1363" w:right="379" w:bottom="1440" w:gutter="0" w:footer="0" w:header="0"/>
        </w:sectPr>
      </w:pPr>
    </w:p>
    <w:bookmarkStart w:id="26" w:name="page27"/>
    <w:bookmarkEnd w:id="26"/>
    <w:p>
      <w:pPr>
        <w:ind w:left="-100" w:right="500" w:firstLine="1019"/>
        <w:spacing w:after="0" w:line="282" w:lineRule="auto"/>
        <w:tabs>
          <w:tab w:leader="none" w:pos="11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The Company has agreed to indemnify the Depositary and its agents under certain circumstances and the Depositary has agreed to indemnify the Company under certain circumstances.</w:t>
      </w:r>
    </w:p>
    <w:p>
      <w:pPr>
        <w:spacing w:after="0" w:line="161" w:lineRule="exact"/>
        <w:rPr>
          <w:rFonts w:ascii="Times New Roman" w:cs="Times New Roman" w:eastAsia="Times New Roman" w:hAnsi="Times New Roman"/>
          <w:sz w:val="18"/>
          <w:szCs w:val="18"/>
          <w:color w:val="auto"/>
        </w:rPr>
      </w:pPr>
    </w:p>
    <w:p>
      <w:pPr>
        <w:ind w:left="-100" w:right="40" w:firstLine="1019"/>
        <w:spacing w:after="0" w:line="261" w:lineRule="auto"/>
        <w:tabs>
          <w:tab w:leader="none" w:pos="116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Deposit Agreement or the ADRs to the contrary,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and Beneficial Owners of ADRs and ADSs), whether or not foreseeable and regardless of the type of action in which such a claim may be brought.</w:t>
      </w:r>
    </w:p>
    <w:p>
      <w:pPr>
        <w:spacing w:after="0" w:line="179" w:lineRule="exact"/>
        <w:rPr>
          <w:rFonts w:ascii="Times New Roman" w:cs="Times New Roman" w:eastAsia="Times New Roman" w:hAnsi="Times New Roman"/>
          <w:sz w:val="18"/>
          <w:szCs w:val="18"/>
          <w:color w:val="auto"/>
        </w:rPr>
      </w:pPr>
    </w:p>
    <w:p>
      <w:pPr>
        <w:ind w:left="-100" w:right="480" w:firstLine="1019"/>
        <w:spacing w:after="0" w:line="282" w:lineRule="auto"/>
        <w:tabs>
          <w:tab w:leader="none" w:pos="116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the Deposit Agreement or this ADR is intended to constitute a waiver or limitation of any rights which Holders or Beneficial Owners may have under the Securities Act of 1933 or the Securities Exchange Act of 1934, to the extent applicable.</w:t>
      </w:r>
    </w:p>
    <w:p>
      <w:pPr>
        <w:spacing w:after="0" w:line="157" w:lineRule="exact"/>
        <w:rPr>
          <w:rFonts w:ascii="Times New Roman" w:cs="Times New Roman" w:eastAsia="Times New Roman" w:hAnsi="Times New Roman"/>
          <w:sz w:val="18"/>
          <w:szCs w:val="18"/>
          <w:color w:val="auto"/>
        </w:rPr>
      </w:pPr>
    </w:p>
    <w:p>
      <w:pPr>
        <w:ind w:left="700" w:hanging="343"/>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 and Removal of Depositary; the Custodian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00" w:right="200" w:firstLine="1019"/>
        <w:spacing w:after="0" w:line="315" w:lineRule="auto"/>
        <w:tabs>
          <w:tab w:leader="none" w:pos="115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Resignation</w:t>
      </w:r>
      <w:r>
        <w:rPr>
          <w:rFonts w:ascii="Times New Roman" w:cs="Times New Roman" w:eastAsia="Times New Roman" w:hAnsi="Times New Roman"/>
          <w:sz w:val="17"/>
          <w:szCs w:val="17"/>
          <w:color w:val="auto"/>
        </w:rPr>
        <w:t>. The Depositary may resign as Depositary by written notice of its election to do so delivered to the Company,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resignation to take effect upon the appointment of a successor depositary and its acceptance of such appointment as provided in the Deposit Agreement.</w:t>
      </w:r>
    </w:p>
    <w:p>
      <w:pPr>
        <w:spacing w:after="0" w:line="134" w:lineRule="exact"/>
        <w:rPr>
          <w:rFonts w:ascii="Times New Roman" w:cs="Times New Roman" w:eastAsia="Times New Roman" w:hAnsi="Times New Roman"/>
          <w:sz w:val="17"/>
          <w:szCs w:val="17"/>
          <w:color w:val="auto"/>
        </w:rPr>
      </w:pPr>
    </w:p>
    <w:p>
      <w:pPr>
        <w:ind w:left="-100" w:right="60" w:firstLine="1019"/>
        <w:spacing w:after="0" w:line="267" w:lineRule="auto"/>
        <w:tabs>
          <w:tab w:leader="none" w:pos="116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The Depositary may at any time be removed by the Company by no less than 60 days’ prior written notice of such removal,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effective upon the later of (i) the 60th day after delivery of the notice to the Depositary and (ii) the appointment of a successor depositary and its acceptance of such appointment as provided in the Deposit Agreement.</w:t>
      </w:r>
    </w:p>
    <w:p>
      <w:pPr>
        <w:spacing w:after="0" w:line="171" w:lineRule="exact"/>
        <w:rPr>
          <w:rFonts w:ascii="Times New Roman" w:cs="Times New Roman" w:eastAsia="Times New Roman" w:hAnsi="Times New Roman"/>
          <w:sz w:val="18"/>
          <w:szCs w:val="18"/>
          <w:color w:val="auto"/>
        </w:rPr>
      </w:pPr>
    </w:p>
    <w:p>
      <w:pPr>
        <w:ind w:left="-100" w:firstLine="1019"/>
        <w:spacing w:after="0" w:line="286" w:lineRule="auto"/>
        <w:tabs>
          <w:tab w:leader="none" w:pos="11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Custodian</w:t>
      </w:r>
      <w:r>
        <w:rPr>
          <w:rFonts w:ascii="Times New Roman" w:cs="Times New Roman" w:eastAsia="Times New Roman" w:hAnsi="Times New Roman"/>
          <w:sz w:val="18"/>
          <w:szCs w:val="18"/>
          <w:color w:val="auto"/>
        </w:rPr>
        <w:t>. The Depositary may appoint substitute or additional Custodians and the term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refers to each Custodian 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Custodians as the context requires.</w:t>
      </w:r>
    </w:p>
    <w:p>
      <w:pPr>
        <w:spacing w:after="0" w:line="154" w:lineRule="exact"/>
        <w:rPr>
          <w:rFonts w:ascii="Times New Roman" w:cs="Times New Roman" w:eastAsia="Times New Roman" w:hAnsi="Times New Roman"/>
          <w:sz w:val="18"/>
          <w:szCs w:val="18"/>
          <w:color w:val="auto"/>
        </w:rPr>
      </w:pPr>
    </w:p>
    <w:p>
      <w:pPr>
        <w:ind w:left="-100" w:right="20" w:firstLine="457"/>
        <w:spacing w:after="0" w:line="259" w:lineRule="auto"/>
        <w:tabs>
          <w:tab w:leader="none" w:pos="6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ADRs and the Deposit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by the Company and the Depositary,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that imposes or increases any fees or charges on a per ADS basis (other than stock transfer or other taxes and other governmental charges, transfer or registration fees, SWIFT, cable, telex or facsimile transmission costs, delivery costs or other such expenses), or that shall otherwise prejudice any substantial existing right of Holders or Beneficial Owners, shall become effective 30 days after notice of such amendment shall have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1363" w:right="43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been given to the Holders. Every Holder and Beneficial Owner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or Beneficial Owners.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Commission’s, the Depositary’s or the Company’s website or upon request from the Depositary).</w:t>
      </w:r>
    </w:p>
    <w:p>
      <w:pPr>
        <w:spacing w:after="0" w:line="192" w:lineRule="exact"/>
        <w:rPr>
          <w:sz w:val="20"/>
          <w:szCs w:val="20"/>
          <w:color w:val="auto"/>
        </w:rPr>
      </w:pPr>
    </w:p>
    <w:p>
      <w:pPr>
        <w:ind w:firstLine="457"/>
        <w:spacing w:after="0" w:line="254" w:lineRule="auto"/>
        <w:tabs>
          <w:tab w:leader="none" w:pos="7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The Depositary may, and shall at the written direction of the Company, terminate the Deposit Agreement and this ADR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mailing notice of such termination to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Holders unless a successor depositary shall not be operating hereunder on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after the Company’s notice of removal was first provided to the Depositary. Notwithstanding anything to the contrary herein, the Depositary may terminate the Deposit Agreement without notice to the Company, but subject to giving 30 days’ notice to the Holders, under the following circumstances: (i) in the event of the Company’s bankruptcy or insolvency, (ii) if the Shares cease to be listed on an internationally recognized stock exchange,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assets or other transaction as a result of which securities or other property are delivered in exchange for or in lieu of Deposited Securities.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8" w:name="page29"/>
    <w:bookmarkEnd w:id="28"/>
    <w:p>
      <w:pPr>
        <w:ind w:firstLine="44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use its best efforts to issue to each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spacing w:after="0" w:line="186" w:lineRule="exact"/>
        <w:rPr>
          <w:sz w:val="20"/>
          <w:szCs w:val="20"/>
          <w:color w:val="auto"/>
        </w:rPr>
      </w:pPr>
    </w:p>
    <w:p>
      <w:pPr>
        <w:ind w:right="40" w:firstLine="457"/>
        <w:spacing w:after="0" w:line="255" w:lineRule="auto"/>
        <w:tabs>
          <w:tab w:leader="none" w:pos="7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Acknowledgements and Agreements</w:t>
      </w:r>
      <w:r>
        <w:rPr>
          <w:rFonts w:ascii="Times New Roman" w:cs="Times New Roman" w:eastAsia="Times New Roman" w:hAnsi="Times New Roman"/>
          <w:sz w:val="18"/>
          <w:szCs w:val="18"/>
          <w:color w:val="auto"/>
        </w:rPr>
        <w:t>. Each Holder and each Beneficial Owner, upon acceptance of any ADSs or ADRs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the Holders or Beneficial Owners may have interests, (v) nothing contained in the Deposit Agreement or any ADR(s) shall (A) preclude the Depositary or any of its divisions, branches or affiliates from engaging in such transactions or establishing or maintaining such relationships, or (B) obligate the Depositary or any of its divisions, branches or affiliates to disclose such transactions or relationships or to account for any profit made or payment received in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spacing w:after="0" w:line="188" w:lineRule="exact"/>
        <w:rPr>
          <w:sz w:val="20"/>
          <w:szCs w:val="20"/>
          <w:color w:val="auto"/>
        </w:rPr>
      </w:pPr>
    </w:p>
    <w:p>
      <w:pPr>
        <w:ind w:right="160" w:firstLine="457"/>
        <w:spacing w:after="0" w:line="255" w:lineRule="auto"/>
        <w:tabs>
          <w:tab w:leader="none" w:pos="7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EACH PARTY TO THE DEPOSIT AGREEMENT (INCLUDING, FOR AVOIDANCE OF DOUBT,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 INCLUDING, WITHOUT LIMITATION, ANY SUIT, ACTION OR PROCEEDING UNDER THE UNITED STATES FEDERAL SECURITIES LAWS.</w:t>
      </w:r>
    </w:p>
    <w:p>
      <w:pPr>
        <w:spacing w:after="0" w:line="184" w:lineRule="exact"/>
        <w:rPr>
          <w:rFonts w:ascii="Times New Roman" w:cs="Times New Roman" w:eastAsia="Times New Roman" w:hAnsi="Times New Roman"/>
          <w:sz w:val="18"/>
          <w:szCs w:val="18"/>
          <w:color w:val="auto"/>
        </w:rPr>
      </w:pPr>
    </w:p>
    <w:p>
      <w:pPr>
        <w:ind w:right="20" w:firstLine="457"/>
        <w:spacing w:after="0" w:line="257" w:lineRule="auto"/>
        <w:tabs>
          <w:tab w:leader="none" w:pos="7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Elective Distributions in Cash or Shares</w:t>
      </w:r>
      <w:r>
        <w:rPr>
          <w:rFonts w:ascii="Times New Roman" w:cs="Times New Roman" w:eastAsia="Times New Roman" w:hAnsi="Times New Roman"/>
          <w:sz w:val="18"/>
          <w:szCs w:val="18"/>
          <w:color w:val="auto"/>
        </w:rPr>
        <w:t>. Whenever the Company intends to distribute a dividend payable at the election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 cash or in additional Shares, the Company shall give notice thereof to the Depositary at least 30 days prior to the proposed distribution stating whether or not it wishes such elective distribution to be made available to Holders. Upon receipt of notice indicating that the Company wishes such elective distribution to be made available to Holders, the Depositary shall consult with the Company to determine, and the Company shall assist the Depositary in its determination, whether it is lawful and reasonably practicable to make such elective distribution available to the Holders. The Depositary shall make such elective distribution available to Holders only if (i) the Company shall have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0" w:name="page31"/>
    <w:bookmarkEnd w:id="3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6062980</wp:posOffset>
            </wp:positionH>
            <wp:positionV relativeFrom="page">
              <wp:posOffset>474345</wp:posOffset>
            </wp:positionV>
            <wp:extent cx="1276985"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08610"/>
                    </a:xfrm>
                    <a:prstGeom prst="rect">
                      <a:avLst/>
                    </a:prstGeom>
                    <a:noFill/>
                  </pic:spPr>
                </pic:pic>
              </a:graphicData>
            </a:graphic>
          </wp:anchor>
        </w:drawing>
        <w:t>timely requested that the elective distribution is available to Holders, (ii) the Depositary shall have determined that such distribution is reasonably practicable and (iii) the Depositary shall have received satisfactory documentation within the terms of Section 14 of the Deposit Agreement including, without limitation, any legal opinions of counsel in any applicable jurisdiction that the Depositary in its reasonable discretion may request, at the expense of the Company. If the above conditions are not satisfied, the Depositary shall, to the extent permitted by law, distribute to the Holders, on the basis of the same determination as is made in the local market in respect of the Shares for which no election is made, either (x) cash or (y) additional ADSs representing such additional Shares. If the above conditions are satisfied, the Depositary shall establish a record date and establish procedures to enable Holders to elect the receipt of the proposed dividend in cash or in additional ADSs. The Company shall assist the Depositary in establishing such procedures to the extent necessary. Nothing herein shall obligate the Depositary to make available to Holders a method to receive the elective dividend in Shares (rather than ADSs). There can be no assurance that Holders or Beneficial Owners generally, or any Holder and/or Beneficial Owner in particular, will be given the opportunity to receive elective distributions on the same terms and conditions as the holders of Shares.</w:t>
      </w:r>
    </w:p>
    <w:p>
      <w:pPr>
        <w:spacing w:after="0" w:line="3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363" w:right="4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167640</wp:posOffset>
            </wp:positionV>
            <wp:extent cx="2571750" cy="300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2024</w:t>
            </w:r>
          </w:p>
        </w:tc>
        <w:tc>
          <w:tcPr>
            <w:tcW w:w="678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Norton Rose Fulbright US LLP</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 as Depositary</w:t>
            </w:r>
          </w:p>
        </w:tc>
        <w:tc>
          <w:tcPr>
            <w:tcW w:w="6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1301 Avenue of the Americas</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383 Madison Avenue, Floor 11</w:t>
            </w:r>
          </w:p>
        </w:tc>
        <w:tc>
          <w:tcPr>
            <w:tcW w:w="6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York, New York 10019-6022</w:t>
            </w: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10179</w:t>
            </w:r>
          </w:p>
        </w:tc>
        <w:tc>
          <w:tcPr>
            <w:tcW w:w="6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Direct line +1 212 318 3151</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scott.saks@nortonrosefulbright.com</w:t>
            </w: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Tel +1 212 318 3000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Fax +1 212 318 3400</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nortonrosefulbright.com</w:t>
            </w:r>
          </w:p>
        </w:tc>
        <w:tc>
          <w:tcPr>
            <w:tcW w:w="0" w:type="dxa"/>
            <w:vAlign w:val="bottom"/>
          </w:tcPr>
          <w:p>
            <w:pPr>
              <w:spacing w:after="0"/>
              <w:rPr>
                <w:sz w:val="1"/>
                <w:szCs w:val="1"/>
                <w:color w:val="auto"/>
              </w:rPr>
            </w:pPr>
          </w:p>
        </w:tc>
      </w:tr>
      <w:tr>
        <w:trPr>
          <w:trHeight w:val="44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Registration Statement on Form F-6 – American Depositary Shares evidenced by American Depositary Receipts for deposited ordinary shares of</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Oatly Group AB</w:t>
            </w:r>
          </w:p>
        </w:tc>
        <w:tc>
          <w:tcPr>
            <w:tcW w:w="6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JPMorgan Chase 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in connection with the Registration Statement on Form F-6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on the date hereof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by the Depositary, acting solely on behalf of the legal entity created by the Deposit Agreement (as defined below), and Oatly Group AB, a public limited entity organized under the laws of the Kingdom of Sweden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relating to up to 250,000,000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to be evidenced by American Depositary Receipts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each ADS representing, subject to the terms and conditions of the Deposit Agreement and the ADRs, the right to receive one (1) ordinary share, par value $0.00017 per share,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ADSs will be issued pursuant to the Deposit Agreement, dated as of May 19, 2021, as may be amended from time to time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the Company, the Depositary and all holders and beneficial owners from time to time of ADRs issued thereunder. The Deposit Agreement is being incorporated by reference as Exhibit (a)(2) to the Registration Statement and the form of ADR is being filed as Exhibit (a)(1) to the Registration Statement. Capitalized terms used herein that are not herein defined shall have the meanings assigned to them in the Deposit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 such documents as we considered necessary or appropriate to enable us to render this opinion, including but not limited to the Registration Statement, the Deposit Agreement and the Form of ADR attached as Exhibit A to the Deposit Agreement and which is being filed as Exhibit (a)(1) to the Registration Statement, as well as such other corporate records, certificates and instruments as we have deemed necessary or appropriate for purposes of rendering the opinions set forth herein.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rendering this opinion, we have assumed the genuineness and authenticity of all signatures, including electronic signatures, on original documents; the legal capacity, competency and authority of all individuals; the authenticity of all documents submitted to us; the conformity to originals of all documents submitted to us as certified, electronic, facsimile, conformed, photostatic or other 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that the relevant Shares will have been legally issued and duly deposited with a Custodian under and in accordance with all applicable laws and regulations.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JPMorgan Chase 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-119380</wp:posOffset>
            </wp:positionV>
            <wp:extent cx="171450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0" cy="19748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limitations set forth below, we have made such examination of laws and regulations as we have deemed necessary or appropriate for the purposes of expressing the opinions set forth in this letter. We express no opinion with regard to the applicability or effect of the law of any jurisdiction other than, as in effect on the date of this letter, (i) the internal laws of the State of New York and (ii) the federal laws of the United States of America.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and subject to the foregoing, and assuming that, at the time of their issuance, the Registration Statement is effective under the Securities Act pursuant to the rules of the Commission promulgated with respect thereto and the Deposit Agreement was duly authorized, executed and delivered by the parties thereto with the ADR ratio set forth in the form of ADR attached as Exhibit A thereto, we are of the opinion that the ADSs covered by the Registration Statement, when issued in accordance with the terms of the Deposit Agreement and the Registration Statement, will be legally issued and will entitle the registered holders thereof to the rights specified in the Deposit Agreement and the ADRs.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opinion letter deals only with the specified legal issues expressly addressed herein, and you should not infer any opinion that is not explicitly addressed herein from any matter stated in this letter.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use of this opinion as Exhibit (d) to the Registration Statement. In giving such consent, we do not hereby admit that we are within the category of persons whose consent is required under Section 7 of the Securities Act and the rules and regulations thereunder. This opinion is rendered to you as of the date hereof and we assume no obligation to advise you or any other person hereafter with regard to any change after the date hereof in the circumstances or the law that may bear on the matters set forth herein even though the change may affect the legal analysis or a legal conclusion or other matters in this opinion letter.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Norton Rose Fulbright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Rule 466 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JPMorgan Chase Bank, N.A., represents and certifies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previously had filed a registration statement on Form F-6 (File No. 333-255989), which the U.S. Securities and Exchange Commission declared effective, with terms of deposit identical to the terms of deposit of this Form F-6 Registration Statement;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E. Green</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Timothy E. Green</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lowerLetter"/>
      <w:start w:val="2"/>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4"/>
    </w:lvl>
  </w:abstractNum>
  <w:abstractNum w:abstractNumId="6">
    <w:nsid w:val="676384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7">
    <w:nsid w:val="75A2A8D4"/>
    <w:multiLevelType w:val="hybridMultilevel"/>
    <w:lvl w:ilvl="0">
      <w:lvlJc w:val="left"/>
      <w:lvlText w:val="(%1)"/>
      <w:numFmt w:val="lowerLetter"/>
      <w:start w:val="35"/>
    </w:lvl>
    <w:lvl w:ilvl="1">
      <w:lvlJc w:val="left"/>
      <w:lvlText w:val="%2"/>
      <w:numFmt w:val="decimal"/>
      <w:start w:val="1"/>
    </w:lvl>
    <w:lvl w:ilvl="2">
      <w:lvlJc w:val="left"/>
      <w:lvlText w:val="(%3)"/>
      <w:numFmt w:val="lowerRoman"/>
    </w:lvl>
    <w:lvl w:ilvl="3">
      <w:lvlJc w:val="left"/>
      <w:lvlText w:val="(%4)"/>
      <w:numFmt w:val="lowerLetter"/>
      <w:start w:val="2"/>
    </w:lvl>
  </w:abstractNum>
  <w:abstractNum w:abstractNumId="8">
    <w:nsid w:val="8EDBD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9">
    <w:nsid w:val="79838CB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0">
    <w:nsid w:val="4353D0C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1">
    <w:nsid w:val="B03E0C6"/>
    <w:multiLevelType w:val="hybridMultilevel"/>
    <w:lvl w:ilvl="0">
      <w:lvlJc w:val="left"/>
      <w:lvlText w:val="(%1)"/>
      <w:numFmt w:val="decimal"/>
      <w:start w:val="4"/>
    </w:lvl>
    <w:lvl w:ilvl="1">
      <w:lvlJc w:val="left"/>
      <w:lvlText w:val="(%2)"/>
      <w:numFmt w:val="lowerLetter"/>
      <w:start w:val="1"/>
    </w:lvl>
  </w:abstractNum>
  <w:abstractNum w:abstractNumId="12">
    <w:nsid w:val="189A769B"/>
    <w:multiLevelType w:val="hybridMultilevel"/>
    <w:lvl w:ilvl="0">
      <w:lvlJc w:val="left"/>
      <w:lvlText w:val="(%1)"/>
      <w:numFmt w:val="lowerLetter"/>
      <w:start w:val="2"/>
    </w:lvl>
  </w:abstractNum>
  <w:abstractNum w:abstractNumId="13">
    <w:nsid w:val="54E49EB4"/>
    <w:multiLevelType w:val="hybridMultilevel"/>
    <w:lvl w:ilvl="0">
      <w:lvlJc w:val="left"/>
      <w:lvlText w:val="(%1)"/>
      <w:numFmt w:val="decimal"/>
      <w:start w:val="5"/>
    </w:lvl>
  </w:abstractNum>
  <w:abstractNum w:abstractNumId="14">
    <w:nsid w:val="71F32454"/>
    <w:multiLevelType w:val="hybridMultilevel"/>
    <w:lvl w:ilvl="0">
      <w:lvlJc w:val="left"/>
      <w:lvlText w:val="(%1)"/>
      <w:numFmt w:val="decimal"/>
      <w:start w:val="6"/>
    </w:lvl>
    <w:lvl w:ilvl="1">
      <w:lvlJc w:val="left"/>
      <w:lvlText w:val="(%2)"/>
      <w:numFmt w:val="lowerLetter"/>
      <w:start w:val="1"/>
    </w:lvl>
  </w:abstractNum>
  <w:abstractNum w:abstractNumId="15">
    <w:nsid w:val="2CA88611"/>
    <w:multiLevelType w:val="hybridMultilevel"/>
    <w:lvl w:ilvl="0">
      <w:lvlJc w:val="left"/>
      <w:lvlText w:val="(%1)"/>
      <w:numFmt w:val="lowerLetter"/>
      <w:start w:val="2"/>
    </w:lvl>
  </w:abstractNum>
  <w:abstractNum w:abstractNumId="16">
    <w:nsid w:val="836C40E"/>
    <w:multiLevelType w:val="hybridMultilevel"/>
    <w:lvl w:ilvl="0">
      <w:lvlJc w:val="left"/>
      <w:lvlText w:val="(%1)"/>
      <w:numFmt w:val="decimal"/>
      <w:start w:val="7"/>
    </w:lvl>
    <w:lvl w:ilvl="1">
      <w:lvlJc w:val="left"/>
      <w:lvlText w:val="(%2)"/>
      <w:numFmt w:val="lowerRoman"/>
    </w:lvl>
    <w:lvl w:ilvl="2">
      <w:lvlJc w:val="left"/>
      <w:lvlText w:val="(%3)"/>
      <w:numFmt w:val="lowerLetter"/>
      <w:start w:val="1"/>
    </w:lvl>
  </w:abstractNum>
  <w:abstractNum w:abstractNumId="17">
    <w:nsid w:val="2901D82"/>
    <w:multiLevelType w:val="hybridMultilevel"/>
    <w:lvl w:ilvl="0">
      <w:lvlJc w:val="left"/>
      <w:lvlText w:val="(%1)"/>
      <w:numFmt w:val="lowerRoman"/>
      <w:start w:val="3"/>
    </w:lvl>
  </w:abstractNum>
  <w:abstractNum w:abstractNumId="18">
    <w:nsid w:val="3A95F874"/>
    <w:multiLevelType w:val="hybridMultilevel"/>
    <w:lvl w:ilvl="0">
      <w:lvlJc w:val="left"/>
      <w:lvlText w:val="%1"/>
      <w:numFmt w:val="lowerRoman"/>
      <w:start w:val="1"/>
    </w:lvl>
    <w:lvl w:ilvl="1">
      <w:lvlJc w:val="left"/>
      <w:lvlText w:val="(%2)"/>
      <w:numFmt w:val="lowerLetter"/>
      <w:start w:val="3"/>
    </w:lvl>
  </w:abstractNum>
  <w:abstractNum w:abstractNumId="19">
    <w:nsid w:val="8138641"/>
    <w:multiLevelType w:val="hybridMultilevel"/>
    <w:lvl w:ilvl="0">
      <w:lvlJc w:val="left"/>
      <w:lvlText w:val="(%1)"/>
      <w:numFmt w:val="lowerRoman"/>
      <w:start w:val="1"/>
    </w:lvl>
    <w:lvl w:ilvl="1">
      <w:lvlJc w:val="left"/>
      <w:lvlText w:val="%2"/>
      <w:numFmt w:val="lowerLetter"/>
      <w:start w:val="1"/>
    </w:lvl>
  </w:abstractNum>
  <w:abstractNum w:abstractNumId="20">
    <w:nsid w:val="1E7FF521"/>
    <w:multiLevelType w:val="hybridMultilevel"/>
    <w:lvl w:ilvl="0">
      <w:lvlJc w:val="left"/>
      <w:lvlText w:val="(%1)"/>
      <w:numFmt w:val="lowerRoman"/>
      <w:start w:val="3"/>
    </w:lvl>
  </w:abstractNum>
  <w:abstractNum w:abstractNumId="21">
    <w:nsid w:val="7C3DBD3D"/>
    <w:multiLevelType w:val="hybridMultilevel"/>
    <w:lvl w:ilvl="0">
      <w:lvlJc w:val="left"/>
      <w:lvlText w:val="(%1)"/>
      <w:numFmt w:val="lowerLetter"/>
      <w:start w:val="4"/>
    </w:lvl>
  </w:abstractNum>
  <w:abstractNum w:abstractNumId="22">
    <w:nsid w:val="737B8DDC"/>
    <w:multiLevelType w:val="hybridMultilevel"/>
    <w:lvl w:ilvl="0">
      <w:lvlJc w:val="left"/>
      <w:lvlText w:val="%1"/>
      <w:numFmt w:val="decimal"/>
      <w:start w:val="1"/>
    </w:lvl>
    <w:lvl w:ilvl="1">
      <w:lvlJc w:val="left"/>
      <w:lvlText w:val="(%2)"/>
      <w:numFmt w:val="lowerLetter"/>
      <w:start w:val="5"/>
    </w:lvl>
  </w:abstractNum>
  <w:abstractNum w:abstractNumId="23">
    <w:nsid w:val="6CEAF087"/>
    <w:multiLevelType w:val="hybridMultilevel"/>
    <w:lvl w:ilvl="0">
      <w:lvlJc w:val="left"/>
      <w:lvlText w:val="(%1)"/>
      <w:numFmt w:val="decimal"/>
      <w:start w:val="8"/>
    </w:lvl>
    <w:lvl w:ilvl="1">
      <w:lvlJc w:val="left"/>
      <w:lvlText w:val="%2"/>
      <w:numFmt w:val="lowerLetter"/>
      <w:start w:val="1"/>
    </w:lvl>
  </w:abstractNum>
  <w:abstractNum w:abstractNumId="24">
    <w:nsid w:val="22221A70"/>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25">
    <w:nsid w:val="4516DDE9"/>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26">
    <w:nsid w:val="3006C83E"/>
    <w:multiLevelType w:val="hybridMultilevel"/>
    <w:lvl w:ilvl="0">
      <w:lvlJc w:val="left"/>
      <w:lvlText w:val="(%1)"/>
      <w:numFmt w:val="lowerLetter"/>
      <w:start w:val="4"/>
    </w:lvl>
  </w:abstractNum>
  <w:abstractNum w:abstractNumId="27">
    <w:nsid w:val="614FD4A1"/>
    <w:multiLevelType w:val="hybridMultilevel"/>
    <w:lvl w:ilvl="0">
      <w:lvlJc w:val="left"/>
      <w:lvlText w:val="(%1)"/>
      <w:numFmt w:val="decimal"/>
      <w:start w:val="11"/>
    </w:lvl>
    <w:lvl w:ilvl="1">
      <w:lvlJc w:val="left"/>
      <w:lvlText w:val="(%2)"/>
      <w:numFmt w:val="lowerLetter"/>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0">
    <w:nsid w:val="440BADF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1">
    <w:nsid w:val="5072367"/>
    <w:multiLevelType w:val="hybridMultilevel"/>
    <w:lvl w:ilvl="0">
      <w:lvlJc w:val="left"/>
      <w:lvlText w:val="(%1)"/>
      <w:numFmt w:val="lowerLetter"/>
      <w:start w:val="2"/>
    </w:lvl>
  </w:abstractNum>
  <w:abstractNum w:abstractNumId="32">
    <w:nsid w:val="3804823E"/>
    <w:multiLevelType w:val="hybridMultilevel"/>
    <w:lvl w:ilvl="0">
      <w:lvlJc w:val="left"/>
      <w:lvlText w:val="(%1)"/>
      <w:numFmt w:val="lowerLetter"/>
      <w:start w:val="3"/>
    </w:lvl>
  </w:abstractNum>
  <w:abstractNum w:abstractNumId="33">
    <w:nsid w:val="77465F01"/>
    <w:multiLevelType w:val="hybridMultilevel"/>
    <w:lvl w:ilvl="0">
      <w:lvlJc w:val="left"/>
      <w:lvlText w:val="(%1)"/>
      <w:numFmt w:val="lowerLetter"/>
      <w:start w:val="10"/>
    </w:lvl>
  </w:abstractNum>
  <w:abstractNum w:abstractNumId="34">
    <w:nsid w:val="7724C67E"/>
    <w:multiLevelType w:val="hybridMultilevel"/>
    <w:lvl w:ilvl="0">
      <w:lvlJc w:val="left"/>
      <w:lvlText w:val="%1"/>
      <w:numFmt w:val="decimal"/>
      <w:start w:val="1"/>
    </w:lvl>
    <w:lvl w:ilvl="1">
      <w:lvlJc w:val="left"/>
      <w:lvlText w:val="(%2)"/>
      <w:numFmt w:val="lowerLetter"/>
      <w:start w:val="15"/>
    </w:lvl>
  </w:abstractNum>
  <w:abstractNum w:abstractNumId="35">
    <w:nsid w:val="5C482A97"/>
    <w:multiLevelType w:val="hybridMultilevel"/>
    <w:lvl w:ilvl="0">
      <w:lvlJc w:val="left"/>
      <w:lvlText w:val="(%1)"/>
      <w:numFmt w:val="decimal"/>
      <w:start w:val="15"/>
    </w:lvl>
    <w:lvl w:ilvl="1">
      <w:lvlJc w:val="left"/>
      <w:lvlText w:val="(%2)"/>
      <w:numFmt w:val="lowerLetter"/>
      <w:start w:val="1"/>
    </w:lvl>
  </w:abstractNum>
  <w:abstractNum w:abstractNumId="36">
    <w:nsid w:val="2463B9EA"/>
    <w:multiLevelType w:val="hybridMultilevel"/>
    <w:lvl w:ilvl="0">
      <w:lvlJc w:val="left"/>
      <w:lvlText w:val="(%1)"/>
      <w:numFmt w:val="decimal"/>
      <w:start w:val="17"/>
    </w:lvl>
  </w:abstractNum>
  <w:abstractNum w:abstractNumId="37">
    <w:nsid w:val="5E884ADC"/>
    <w:multiLevelType w:val="hybridMultilevel"/>
    <w:lvl w:ilvl="0">
      <w:lvlJc w:val="left"/>
      <w:lvlText w:val="(%1)"/>
      <w:numFmt w:val="decimal"/>
      <w:start w:val="18"/>
    </w:lvl>
  </w:abstractNum>
  <w:abstractNum w:abstractNumId="38">
    <w:nsid w:val="51EAD36B"/>
    <w:multiLevelType w:val="hybridMultilevel"/>
    <w:lvl w:ilvl="0">
      <w:lvlJc w:val="left"/>
      <w:lvlText w:val="(%1)"/>
      <w:numFmt w:val="decimal"/>
      <w:start w:val="19"/>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2024-03-22T06:48:56Z</dcterms:created>
  <dcterms:modified xsi:type="dcterms:W3CDTF">2024-03-22T06:48:56Z</dcterms:modified>
</cp:coreProperties>
</file>