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927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92747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Jones Hannah Ceri</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20" w:type="dxa"/>
            <w:vAlign w:val="bottom"/>
            <w:tcBorders>
              <w:top w:val="single" w:sz="8" w:color="0000EE"/>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(1)</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18"/>
                <w:szCs w:val="18"/>
                <w:color w:val="0000FF"/>
              </w:rPr>
              <w:t>12,190</w:t>
            </w:r>
          </w:p>
        </w:tc>
        <w:tc>
          <w:tcPr>
            <w:tcW w:w="106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60" w:type="dxa"/>
            <w:vAlign w:val="bottom"/>
            <w:tcBorders>
              <w:top w:val="single" w:sz="8" w:color="2C2C2C"/>
            </w:tcBorders>
            <w:gridSpan w:val="4"/>
          </w:tcPr>
          <w:p>
            <w:pPr>
              <w:ind w:left="2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20" w:type="dxa"/>
            <w:vAlign w:val="bottom"/>
          </w:tcPr>
          <w:p>
            <w:pPr>
              <w:spacing w:after="0"/>
              <w:rPr>
                <w:sz w:val="12"/>
                <w:szCs w:val="12"/>
                <w:color w:val="auto"/>
              </w:rPr>
            </w:pPr>
          </w:p>
        </w:tc>
        <w:tc>
          <w:tcPr>
            <w:tcW w:w="1060" w:type="dxa"/>
            <w:vAlign w:val="bottom"/>
          </w:tcPr>
          <w:p>
            <w:pPr>
              <w:ind w:left="48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20" w:type="dxa"/>
            <w:vAlign w:val="bottom"/>
            <w:vMerge w:val="continue"/>
          </w:tcPr>
          <w:p>
            <w:pPr>
              <w:spacing w:after="0"/>
              <w:rPr>
                <w:sz w:val="16"/>
                <w:szCs w:val="16"/>
                <w:color w:val="auto"/>
              </w:rPr>
            </w:pPr>
          </w:p>
        </w:tc>
        <w:tc>
          <w:tcPr>
            <w:tcW w:w="106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4" w:lineRule="exact"/>
        <w:rPr>
          <w:sz w:val="24"/>
          <w:szCs w:val="24"/>
          <w:color w:val="auto"/>
        </w:rPr>
      </w:pPr>
    </w:p>
    <w:p>
      <w:pPr>
        <w:ind w:left="40" w:right="22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2,886 RSUs will vest in full on the date of the Issuer's next annual general meeting, subject to the Reporting Person's continued service as a director through such vesting date. There are no voting or dividend rights prior to vesting.</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Hannah Jones</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Hannah Jones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2116236"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2026-03-18T18:39:47Z</dcterms:created>
  <dcterms:modified xsi:type="dcterms:W3CDTF">2026-03-18T18:39:47Z</dcterms:modified>
</cp:coreProperties>
</file>