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15462df3a.htm"/>
        <w:bookmarkStart w:id="1" w:name="ksd915462df3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April 30, 2025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333-286101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28"/>
        </w:rPr>
      </w:pPr>
      <w:r>
        <w:rPr>
          <w:rFonts w:ascii="Times New Roman" w:hAnsi="Times New Roman"/>
          <w:b/>
          <w:sz w:val="28"/>
        </w:rPr>
        <w:t xml:space="preserve">Amendment No. 1 </w:t>
      </w:r>
    </w:p>
    <w:p>
      <w:pPr>
        <w:pStyle w:val="TextBody"/>
        <w:bidi w:val="0"/>
        <w:spacing w:before="0" w:after="0"/>
        <w:jc w:val="center"/>
        <w:rPr>
          <w:rFonts w:ascii="Times New Roman" w:hAnsi="Times New Roman"/>
          <w:b/>
          <w:sz w:val="28"/>
        </w:rPr>
      </w:pPr>
      <w:r>
        <w:rPr>
          <w:rFonts w:ascii="Times New Roman" w:hAnsi="Times New Roman"/>
          <w:b/>
          <w:sz w:val="28"/>
        </w:rPr>
        <w:t xml:space="preserve">to </w:t>
      </w:r>
    </w:p>
    <w:p>
      <w:pPr>
        <w:pStyle w:val="TextBody"/>
        <w:bidi w:val="0"/>
        <w:spacing w:before="0" w:after="0"/>
        <w:jc w:val="center"/>
        <w:rPr>
          <w:rFonts w:ascii="Times New Roman" w:hAnsi="Times New Roman"/>
          <w:b/>
          <w:sz w:val="28"/>
        </w:rPr>
      </w:pPr>
      <w:r>
        <w:rPr>
          <w:rFonts w:ascii="Times New Roman" w:hAnsi="Times New Roman"/>
          <w:b/>
          <w:sz w:val="28"/>
        </w:rPr>
        <w:t>FORM F-3</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36"/>
        </w:rPr>
      </w:pPr>
      <w:r>
        <w:rPr>
          <w:rFonts w:ascii="Times New Roman" w:hAnsi="Times New Roman"/>
          <w:b/>
          <w:sz w:val="36"/>
        </w:rPr>
        <w:t xml:space="preserve">Oatly Group AB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18"/>
        </w:rPr>
      </w:pPr>
      <w:r>
        <w:rPr>
          <w:rFonts w:ascii="Times New Roman" w:hAnsi="Times New Roman"/>
          <w:b/>
          <w:sz w:val="18"/>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Sweden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Not Applicable</w:t>
            </w:r>
          </w:p>
        </w:tc>
      </w:tr>
      <w:tr>
        <w:trPr/>
        <w:tc>
          <w:tcPr>
            <w:tcW w:w="5154"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40" w:after="0"/>
        <w:jc w:val="center"/>
        <w:rPr>
          <w:rFonts w:ascii="Times New Roman" w:hAnsi="Times New Roman"/>
          <w:b/>
          <w:sz w:val="18"/>
        </w:rPr>
      </w:pPr>
      <w:r>
        <w:rPr>
          <w:rFonts w:ascii="Times New Roman" w:hAnsi="Times New Roman"/>
          <w:b/>
          <w:sz w:val="18"/>
        </w:rPr>
        <w:t xml:space="preserve">Oatly Group AB </w:t>
      </w:r>
    </w:p>
    <w:p>
      <w:pPr>
        <w:pStyle w:val="TextBody"/>
        <w:bidi w:val="0"/>
        <w:spacing w:before="0" w:after="0"/>
        <w:jc w:val="center"/>
        <w:rPr>
          <w:rFonts w:ascii="Times New Roman" w:hAnsi="Times New Roman"/>
          <w:b/>
          <w:sz w:val="18"/>
        </w:rPr>
      </w:pPr>
      <w:r>
        <w:rPr>
          <w:rFonts w:ascii="Times New Roman" w:hAnsi="Times New Roman"/>
          <w:b/>
          <w:sz w:val="18"/>
        </w:rPr>
        <w:t xml:space="preserve">Ångfärjekajen 8 </w:t>
      </w:r>
    </w:p>
    <w:p>
      <w:pPr>
        <w:pStyle w:val="TextBody"/>
        <w:bidi w:val="0"/>
        <w:spacing w:before="0" w:after="0"/>
        <w:jc w:val="center"/>
        <w:rPr>
          <w:rFonts w:ascii="Times New Roman" w:hAnsi="Times New Roman"/>
          <w:b/>
          <w:sz w:val="18"/>
        </w:rPr>
      </w:pPr>
      <w:r>
        <w:rPr>
          <w:rFonts w:ascii="Times New Roman" w:hAnsi="Times New Roman"/>
          <w:b/>
          <w:sz w:val="18"/>
        </w:rPr>
        <w:t xml:space="preserve">211 19 Malmö </w:t>
      </w:r>
    </w:p>
    <w:p>
      <w:pPr>
        <w:pStyle w:val="TextBody"/>
        <w:bidi w:val="0"/>
        <w:spacing w:before="0" w:after="0"/>
        <w:jc w:val="center"/>
        <w:rPr>
          <w:rFonts w:ascii="Times New Roman" w:hAnsi="Times New Roman"/>
          <w:b/>
          <w:sz w:val="18"/>
        </w:rPr>
      </w:pPr>
      <w:r>
        <w:rPr>
          <w:rFonts w:ascii="Times New Roman" w:hAnsi="Times New Roman"/>
          <w:b/>
          <w:sz w:val="18"/>
        </w:rPr>
        <w:t xml:space="preserve">Sweden </w:t>
      </w:r>
    </w:p>
    <w:p>
      <w:pPr>
        <w:pStyle w:val="TextBody"/>
        <w:bidi w:val="0"/>
        <w:spacing w:before="0" w:after="0"/>
        <w:jc w:val="center"/>
        <w:rPr>
          <w:rFonts w:ascii="Times New Roman" w:hAnsi="Times New Roman"/>
          <w:b/>
          <w:sz w:val="14"/>
        </w:rPr>
      </w:pPr>
      <w:r>
        <w:rPr>
          <w:rFonts w:ascii="Times New Roman" w:hAnsi="Times New Roman"/>
          <w:b/>
          <w:sz w:val="14"/>
        </w:rPr>
        <w:t xml:space="preserve">(Address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18"/>
        </w:rPr>
      </w:pPr>
      <w:r>
        <w:rPr>
          <w:rFonts w:ascii="Times New Roman" w:hAnsi="Times New Roman"/>
          <w:b/>
          <w:sz w:val="18"/>
        </w:rPr>
        <w:t xml:space="preserve">Oatly Inc. </w:t>
      </w:r>
    </w:p>
    <w:p>
      <w:pPr>
        <w:pStyle w:val="TextBody"/>
        <w:bidi w:val="0"/>
        <w:spacing w:before="0" w:after="0"/>
        <w:jc w:val="center"/>
        <w:rPr>
          <w:rFonts w:ascii="Times New Roman" w:hAnsi="Times New Roman"/>
          <w:b/>
          <w:sz w:val="18"/>
        </w:rPr>
      </w:pPr>
      <w:r>
        <w:rPr>
          <w:rFonts w:ascii="Times New Roman" w:hAnsi="Times New Roman"/>
          <w:b/>
          <w:sz w:val="18"/>
        </w:rPr>
        <w:t xml:space="preserve">2275 Bridge Street </w:t>
      </w:r>
    </w:p>
    <w:p>
      <w:pPr>
        <w:pStyle w:val="TextBody"/>
        <w:bidi w:val="0"/>
        <w:spacing w:before="0" w:after="0"/>
        <w:jc w:val="center"/>
        <w:rPr>
          <w:rFonts w:ascii="Times New Roman" w:hAnsi="Times New Roman"/>
          <w:b/>
          <w:sz w:val="18"/>
        </w:rPr>
      </w:pPr>
      <w:r>
        <w:rPr>
          <w:rFonts w:ascii="Times New Roman" w:hAnsi="Times New Roman"/>
          <w:b/>
          <w:sz w:val="18"/>
        </w:rPr>
        <w:t xml:space="preserve">Building 209, Suite 200 </w:t>
      </w:r>
    </w:p>
    <w:p>
      <w:pPr>
        <w:pStyle w:val="TextBody"/>
        <w:bidi w:val="0"/>
        <w:spacing w:before="0" w:after="0"/>
        <w:jc w:val="center"/>
        <w:rPr>
          <w:rFonts w:ascii="Times New Roman" w:hAnsi="Times New Roman"/>
          <w:b/>
          <w:sz w:val="18"/>
        </w:rPr>
      </w:pPr>
      <w:r>
        <w:rPr>
          <w:rFonts w:ascii="Times New Roman" w:hAnsi="Times New Roman"/>
          <w:b/>
          <w:sz w:val="18"/>
        </w:rPr>
        <w:t xml:space="preserve">Philadelphia, PA 19137 </w:t>
      </w:r>
    </w:p>
    <w:p>
      <w:pPr>
        <w:pStyle w:val="TextBody"/>
        <w:bidi w:val="0"/>
        <w:spacing w:before="0" w:after="0"/>
        <w:jc w:val="center"/>
        <w:rPr>
          <w:rFonts w:ascii="Times New Roman" w:hAnsi="Times New Roman"/>
          <w:b/>
          <w:sz w:val="18"/>
        </w:rPr>
      </w:pPr>
      <w:r>
        <w:rPr>
          <w:rFonts w:ascii="Times New Roman" w:hAnsi="Times New Roman"/>
          <w:b/>
          <w:sz w:val="18"/>
        </w:rPr>
        <w:t xml:space="preserve">(866) 704-0391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18"/>
              </w:rPr>
            </w:pPr>
            <w:r>
              <w:rPr>
                <w:rFonts w:ascii="Times New Roman" w:hAnsi="Times New Roman"/>
                <w:b/>
                <w:sz w:val="18"/>
              </w:rPr>
              <w:t>Laura Katherine Mann</w:t>
            </w:r>
          </w:p>
          <w:p>
            <w:pPr>
              <w:pStyle w:val="TableContents"/>
              <w:bidi w:val="0"/>
              <w:spacing w:before="0" w:after="0"/>
              <w:jc w:val="center"/>
              <w:rPr>
                <w:rFonts w:ascii="Times New Roman" w:hAnsi="Times New Roman"/>
                <w:b/>
                <w:sz w:val="18"/>
              </w:rPr>
            </w:pPr>
            <w:r>
              <w:rPr>
                <w:rFonts w:ascii="Times New Roman" w:hAnsi="Times New Roman"/>
                <w:b/>
                <w:sz w:val="18"/>
              </w:rPr>
              <w:t>White &amp; Case LLP</w:t>
            </w:r>
          </w:p>
          <w:p>
            <w:pPr>
              <w:pStyle w:val="TableContents"/>
              <w:bidi w:val="0"/>
              <w:spacing w:before="0" w:after="0"/>
              <w:jc w:val="center"/>
              <w:rPr>
                <w:rFonts w:ascii="Times New Roman" w:hAnsi="Times New Roman"/>
                <w:b/>
                <w:sz w:val="18"/>
              </w:rPr>
            </w:pPr>
            <w:r>
              <w:rPr>
                <w:rFonts w:ascii="Times New Roman" w:hAnsi="Times New Roman"/>
                <w:b/>
                <w:sz w:val="18"/>
              </w:rPr>
              <w:t>609 Main Street</w:t>
            </w:r>
          </w:p>
          <w:p>
            <w:pPr>
              <w:pStyle w:val="TableContents"/>
              <w:bidi w:val="0"/>
              <w:spacing w:before="0" w:after="0"/>
              <w:jc w:val="center"/>
              <w:rPr>
                <w:rFonts w:ascii="Times New Roman" w:hAnsi="Times New Roman"/>
                <w:b/>
                <w:sz w:val="18"/>
              </w:rPr>
            </w:pPr>
            <w:r>
              <w:rPr>
                <w:rFonts w:ascii="Times New Roman" w:hAnsi="Times New Roman"/>
                <w:b/>
                <w:sz w:val="18"/>
              </w:rPr>
              <w:t>Houston, Texas 77002</w:t>
            </w:r>
          </w:p>
          <w:p>
            <w:pPr>
              <w:pStyle w:val="TableContents"/>
              <w:bidi w:val="0"/>
              <w:spacing w:before="0" w:after="20"/>
              <w:jc w:val="center"/>
              <w:rPr>
                <w:rFonts w:ascii="Times New Roman" w:hAnsi="Times New Roman"/>
                <w:b/>
                <w:sz w:val="18"/>
              </w:rPr>
            </w:pPr>
            <w:r>
              <w:rPr>
                <w:rFonts w:ascii="Times New Roman" w:hAnsi="Times New Roman"/>
                <w:b/>
                <w:sz w:val="18"/>
              </w:rPr>
              <w:t>+1 (713) 496-9700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Shoan Panahi</w:t>
            </w:r>
          </w:p>
          <w:p>
            <w:pPr>
              <w:pStyle w:val="TableContents"/>
              <w:bidi w:val="0"/>
              <w:spacing w:before="0" w:after="0"/>
              <w:jc w:val="center"/>
              <w:rPr>
                <w:rFonts w:ascii="Times New Roman" w:hAnsi="Times New Roman"/>
                <w:b/>
                <w:sz w:val="18"/>
              </w:rPr>
            </w:pPr>
            <w:r>
              <w:rPr>
                <w:rFonts w:ascii="Times New Roman" w:hAnsi="Times New Roman"/>
                <w:b/>
                <w:sz w:val="18"/>
              </w:rPr>
              <w:t>White &amp; Case Advokat AB</w:t>
            </w:r>
          </w:p>
          <w:p>
            <w:pPr>
              <w:pStyle w:val="TableContents"/>
              <w:bidi w:val="0"/>
              <w:spacing w:before="0" w:after="0"/>
              <w:jc w:val="center"/>
              <w:rPr>
                <w:rFonts w:ascii="Times New Roman" w:hAnsi="Times New Roman"/>
                <w:b/>
                <w:sz w:val="18"/>
              </w:rPr>
            </w:pPr>
            <w:r>
              <w:rPr>
                <w:rFonts w:ascii="Times New Roman" w:hAnsi="Times New Roman"/>
                <w:b/>
                <w:sz w:val="18"/>
              </w:rPr>
              <w:t>Biblioteksgatan 12, Box 5573</w:t>
            </w:r>
          </w:p>
          <w:p>
            <w:pPr>
              <w:pStyle w:val="TableContents"/>
              <w:bidi w:val="0"/>
              <w:spacing w:before="0" w:after="0"/>
              <w:jc w:val="center"/>
              <w:rPr>
                <w:rFonts w:ascii="Times New Roman" w:hAnsi="Times New Roman"/>
                <w:b/>
                <w:sz w:val="18"/>
              </w:rPr>
            </w:pPr>
            <w:r>
              <w:rPr>
                <w:rFonts w:ascii="Times New Roman" w:hAnsi="Times New Roman"/>
                <w:b/>
                <w:sz w:val="18"/>
              </w:rPr>
              <w:t>SE-114 85 Stockholm, Sweden</w:t>
            </w:r>
          </w:p>
          <w:p>
            <w:pPr>
              <w:pStyle w:val="TableContents"/>
              <w:bidi w:val="0"/>
              <w:spacing w:before="0" w:after="20"/>
              <w:jc w:val="center"/>
              <w:rPr>
                <w:rFonts w:ascii="Times New Roman" w:hAnsi="Times New Roman"/>
                <w:b/>
                <w:sz w:val="18"/>
              </w:rPr>
            </w:pPr>
            <w:r>
              <w:rPr>
                <w:rFonts w:ascii="Times New Roman" w:hAnsi="Times New Roman"/>
                <w:b/>
                <w:sz w:val="18"/>
              </w:rPr>
              <w:t>+46 8 506 323 00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this registration statement becomes effective. </w:t>
      </w:r>
    </w:p>
    <w:p>
      <w:pPr>
        <w:pStyle w:val="TextBody"/>
        <w:bidi w:val="0"/>
        <w:spacing w:before="40" w:after="0"/>
        <w:jc w:val="left"/>
        <w:rPr>
          <w:rFonts w:ascii="Times New Roman" w:hAnsi="Times New Roman"/>
          <w:sz w:val="18"/>
        </w:rPr>
      </w:pPr>
      <w:r>
        <w:rPr>
          <w:rFonts w:ascii="Times New Roman" w:hAnsi="Times New Roman"/>
          <w:sz w:val="18"/>
        </w:rPr>
        <w:t xml:space="preserve">If only securities being registered on this Form are being offered pursuant to dividend or interest reinvestment plans, please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Indicate by check mark whether the registrant is an emerging growth company as defined in Rule 405 of the Securities Act of 1933. Emerging growth company ☐ </w:t>
      </w:r>
    </w:p>
    <w:p>
      <w:pPr>
        <w:pStyle w:val="TextBody"/>
        <w:bidi w:val="0"/>
        <w:spacing w:before="40" w:after="0"/>
        <w:jc w:val="left"/>
        <w:rPr>
          <w:rFonts w:ascii="Times New Roman" w:hAnsi="Times New Roman"/>
          <w:sz w:val="18"/>
        </w:rPr>
      </w:pPr>
      <w:r>
        <w:rPr>
          <w:rFonts w:ascii="Times New Roman" w:hAnsi="Times New Roman"/>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term new or revised financial accounting standard refers to any update issued by the Financial Accounting Standards Board to its Accounting Standards Codification after April 5, 2012.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APRIL 30, 2025. </w:t>
      </w:r>
    </w:p>
    <w:p>
      <w:pPr>
        <w:pStyle w:val="TextBody"/>
        <w:bidi w:val="0"/>
        <w:spacing w:before="80" w:after="0"/>
        <w:ind w:left="960" w:right="960" w:hanging="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center"/>
        <w:rPr/>
      </w:pPr>
      <w:r>
        <w:rPr/>
        <w:drawing>
          <wp:inline distT="0" distB="0" distL="0" distR="0">
            <wp:extent cx="1304290" cy="12661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290" cy="1266190"/>
                    </a:xfrm>
                    <a:prstGeom prst="rect">
                      <a:avLst/>
                    </a:prstGeom>
                  </pic:spPr>
                </pic:pic>
              </a:graphicData>
            </a:graphic>
          </wp:inline>
        </w:drawing>
      </w:r>
      <w:r>
        <w:rPr/>
        <w:t xml:space="preserve"> </w:t>
      </w:r>
    </w:p>
    <w:p>
      <w:pPr>
        <w:pStyle w:val="TextBody"/>
        <w:bidi w:val="0"/>
        <w:spacing w:before="80" w:after="0"/>
        <w:ind w:left="960" w:right="960" w:hanging="0"/>
        <w:jc w:val="center"/>
        <w:rPr>
          <w:rFonts w:ascii="Times New Roman" w:hAnsi="Times New Roman"/>
          <w:b/>
          <w:sz w:val="28"/>
        </w:rPr>
      </w:pPr>
      <w:r>
        <w:rPr>
          <w:rFonts w:ascii="Times New Roman" w:hAnsi="Times New Roman"/>
          <w:b/>
          <w:sz w:val="28"/>
        </w:rPr>
        <w:t xml:space="preserve">2,757,430 American Depositary Shares representing Ordinary Shares </w:t>
      </w:r>
    </w:p>
    <w:p>
      <w:pPr>
        <w:pStyle w:val="TextBody"/>
        <w:bidi w:val="0"/>
        <w:spacing w:before="80" w:after="0"/>
        <w:ind w:left="960" w:right="960" w:hanging="0"/>
        <w:jc w:val="center"/>
        <w:rPr>
          <w:rFonts w:ascii="Times New Roman" w:hAnsi="Times New Roman"/>
          <w:b/>
          <w:sz w:val="28"/>
        </w:rPr>
      </w:pPr>
      <w:r>
        <w:rPr>
          <w:rFonts w:ascii="Times New Roman" w:hAnsi="Times New Roman"/>
          <w:b/>
          <w:sz w:val="28"/>
        </w:rPr>
        <w:t xml:space="preserve">Offered by Selling Security Holders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80" w:after="0"/>
        <w:ind w:left="960" w:right="960" w:hanging="0"/>
        <w:jc w:val="left"/>
        <w:rPr>
          <w:rFonts w:ascii="Times New Roman" w:hAnsi="Times New Roman"/>
          <w:sz w:val="20"/>
        </w:rPr>
      </w:pPr>
      <w:r>
        <w:rPr>
          <w:rFonts w:ascii="Times New Roman" w:hAnsi="Times New Roman"/>
          <w:sz w:val="20"/>
        </w:rPr>
        <w:t xml:space="preserve">The selling security holders identified herein may offer and sell up to 2,757,430 American Depositary Shares, or ADSs, in each case from time to time in one or more offerings. This prospectus provides you with a general description of the securities. </w:t>
      </w:r>
    </w:p>
    <w:p>
      <w:pPr>
        <w:pStyle w:val="TextBody"/>
        <w:bidi w:val="0"/>
        <w:spacing w:before="80" w:after="0"/>
        <w:ind w:left="960" w:right="960" w:hanging="0"/>
        <w:jc w:val="left"/>
        <w:rPr>
          <w:rFonts w:ascii="Times New Roman" w:hAnsi="Times New Roman"/>
          <w:sz w:val="20"/>
        </w:rPr>
      </w:pPr>
      <w:r>
        <w:rPr>
          <w:rFonts w:ascii="Times New Roman" w:hAnsi="Times New Roman"/>
          <w:sz w:val="20"/>
        </w:rPr>
        <w:t xml:space="preserve">Each time one or more selling security holders sells securities pursuant to this prospectus, Oatly Group AB (Oatly, we, us or the Company) will provide a supplement to this prospectus that contains specific information about the offering and the specific terms of the securities offered. The prospectus supplement will also describe the specific manner in which these securities will be offered and may also supplement, update or amend information contained in this prospectus. You should read this prospectus and any applicable prospectus supplement before you invest. </w:t>
      </w:r>
    </w:p>
    <w:p>
      <w:pPr>
        <w:pStyle w:val="TextBody"/>
        <w:bidi w:val="0"/>
        <w:spacing w:before="80" w:after="0"/>
        <w:ind w:left="960" w:right="960" w:hanging="0"/>
        <w:jc w:val="left"/>
        <w:rPr>
          <w:rFonts w:ascii="Times New Roman" w:hAnsi="Times New Roman"/>
          <w:sz w:val="20"/>
        </w:rPr>
      </w:pPr>
      <w:r>
        <w:rPr>
          <w:rFonts w:ascii="Times New Roman" w:hAnsi="Times New Roman"/>
          <w:sz w:val="20"/>
        </w:rPr>
        <w:t xml:space="preserve">The ADSs registered by this registration statement are issuable upon conversion of the Companys 9.25% Convertible Senior PIK Notes due 2028 (Convertible Notes) issued by the Company to the selling security holders named herein. The ADSs registered herein consist of the issuance of additional ADSs based upon the conversion price of the Convertible Notes being reset from $1.81 to $1.36 per Ordinary Share on March 23, 2025, pursuant to the terms and conditions of the Convertible Notes. The Convertible Notes were issued in transactions exempt from registration requirements of the Securities Act. We are registering the resale of the ADSs as required by the Subscription Agreement, dated as of March 14, 2023 that we entered into with certain investors (the Subscription Agreement). </w:t>
      </w:r>
    </w:p>
    <w:p>
      <w:pPr>
        <w:pStyle w:val="TextBody"/>
        <w:bidi w:val="0"/>
        <w:spacing w:before="80" w:after="0"/>
        <w:ind w:left="960" w:right="960" w:hanging="0"/>
        <w:jc w:val="left"/>
        <w:rPr>
          <w:rFonts w:ascii="Times New Roman" w:hAnsi="Times New Roman"/>
          <w:sz w:val="20"/>
        </w:rPr>
      </w:pPr>
      <w:r>
        <w:rPr>
          <w:rFonts w:ascii="Times New Roman" w:hAnsi="Times New Roman"/>
          <w:sz w:val="20"/>
        </w:rPr>
        <w:t>Each ADS represents the right to receive twenty ordinary shares of the Company, each with a par value of $0.00018 (each, an Ordinary Share). Our ADSs are listed on The Nasdaq Global Select Market under the symbol OTLY. On April 29, 2025, the last reported sale price of the ADSs on The Nasdaq Global Select Market was $10.28 per ADS. A separate Registration Statement on Form F-6 for the registration of ADSs issuable upon deposit of the Ordinary Shares was previously filed with the Securities and Exchange Commission and became effective on March 22, 2024 (File No. 333-278165), which was subsequently amended by that Post-Effective Amendment No. 1 to Registration Statement on Form F-6, filed with the Securities and Exchange Commission, which became effective on February 12, 2025.</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80" w:after="0"/>
        <w:ind w:left="960" w:right="960" w:hanging="0"/>
        <w:jc w:val="left"/>
        <w:rPr/>
      </w:pPr>
      <w:r>
        <w:rPr>
          <w:rFonts w:ascii="Times New Roman" w:hAnsi="Times New Roman"/>
          <w:b/>
          <w:sz w:val="24"/>
        </w:rPr>
        <w:t>INVESTING IN OUR SECURITIES INVOLVES RISKS. SEE </w:t>
      </w:r>
      <w:hyperlink w:anchor="tx915462_6">
        <w:r>
          <w:rPr>
            <w:rStyle w:val="InternetLink"/>
            <w:rFonts w:ascii="Times New Roman" w:hAnsi="Times New Roman"/>
            <w:b/>
            <w:i/>
            <w:sz w:val="24"/>
          </w:rPr>
          <w:t>RISK FACTORS</w:t>
        </w:r>
      </w:hyperlink>
      <w:r>
        <w:rPr>
          <w:rFonts w:ascii="Times New Roman" w:hAnsi="Times New Roman"/>
          <w:b/>
          <w:sz w:val="24"/>
        </w:rPr>
        <w:t xml:space="preserve"> ON PAGE 6 OF THIS PROSPECTUS. YOU SHOULD CAREFULLY CONSIDER THE RISKS AND UNCERTAINTIES DISCUSSED UNDER THE HEADING RISK FACTORS INCLUDED IN THE APPLICABLE PROSPECTUS SUPPLEMENT OR OTHER SIMILAR HEADINGS IN OTHER DOCUMENTS THAT ARE INCORPORATED BY REFERENCE IN THIS PROSPECTUS BEFORE INVESTING IN ANY OF OUR SECURITIES. </w:t>
      </w:r>
    </w:p>
    <w:p>
      <w:pPr>
        <w:pStyle w:val="TextBody"/>
        <w:bidi w:val="0"/>
        <w:spacing w:before="80" w:after="0"/>
        <w:ind w:left="960" w:right="960" w:hanging="0"/>
        <w:jc w:val="left"/>
        <w:rPr>
          <w:rFonts w:ascii="Times New Roman" w:hAnsi="Times New Roman"/>
          <w:b/>
          <w:sz w:val="20"/>
        </w:rPr>
      </w:pPr>
      <w:r>
        <w:rPr>
          <w:rFonts w:ascii="Times New Roman" w:hAnsi="Times New Roman"/>
          <w:b/>
          <w:sz w:val="20"/>
        </w:rPr>
        <w:t xml:space="preserve">None of the Securities and Exchange Commission 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80" w:after="0"/>
        <w:ind w:left="960" w:right="960" w:hanging="0"/>
        <w:jc w:val="center"/>
        <w:rPr>
          <w:rFonts w:ascii="Times New Roman" w:hAnsi="Times New Roman"/>
          <w:b/>
          <w:sz w:val="20"/>
        </w:rPr>
      </w:pPr>
      <w:r>
        <w:rPr>
          <w:rFonts w:ascii="Times New Roman" w:hAnsi="Times New Roman"/>
          <w:b/>
          <w:sz w:val="20"/>
        </w:rPr>
        <w:t xml:space="preserve">The date of this prospectus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2">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3">
              <w:r>
                <w:rPr>
                  <w:rStyle w:val="InternetLink"/>
                  <w:rFonts w:ascii="Times New Roman" w:hAnsi="Times New Roman"/>
                  <w:sz w:val="20"/>
                </w:rPr>
                <w:t>MARKET AND INDUSTRY DATA</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4">
              <w:r>
                <w:rPr>
                  <w:rStyle w:val="InternetLink"/>
                  <w:rFonts w:ascii="Times New Roman" w:hAnsi="Times New Roman"/>
                  <w:sz w:val="20"/>
                </w:rPr>
                <w:t>COMPANY OVERVIEW</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5">
              <w:r>
                <w:rPr>
                  <w:rStyle w:val="InternetLink"/>
                  <w:rFonts w:ascii="Times New Roman" w:hAnsi="Times New Roman"/>
                  <w:sz w:val="20"/>
                </w:rPr>
                <w:t>CORPORATE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8">
              <w:r>
                <w:rPr>
                  <w:rStyle w:val="InternetLink"/>
                  <w:rFonts w:ascii="Times New Roman" w:hAnsi="Times New Roman"/>
                  <w:sz w:val="20"/>
                </w:rPr>
                <w:t>CAPITALIZATION AND INDEBTEDNESS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9">
              <w:r>
                <w:rPr>
                  <w:rStyle w:val="InternetLink"/>
                  <w:rFonts w:ascii="Times New Roman" w:hAnsi="Times New Roman"/>
                  <w:sz w:val="20"/>
                </w:rPr>
                <w:t>DESCRIPTION OF ORDINARY SHARES AND AMERICAN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10">
              <w:r>
                <w:rPr>
                  <w:rStyle w:val="InternetLink"/>
                  <w:rFonts w:ascii="Times New Roman" w:hAnsi="Times New Roman"/>
                  <w:sz w:val="20"/>
                </w:rPr>
                <w:t>SELLING SECURITY 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12">
              <w:r>
                <w:rPr>
                  <w:rStyle w:val="InternetLink"/>
                  <w:rFonts w:ascii="Times New Roman" w:hAnsi="Times New Roman"/>
                  <w:sz w:val="20"/>
                </w:rPr>
                <w:t>ENFORCEMENT OF CIVIL LIABILITIES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13">
              <w:r>
                <w:rPr>
                  <w:rStyle w:val="InternetLink"/>
                  <w:rFonts w:ascii="Times New Roman" w:hAnsi="Times New Roman"/>
                  <w:sz w:val="20"/>
                </w:rPr>
                <w:t>TAXATION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14">
              <w:r>
                <w:rPr>
                  <w:rStyle w:val="InternetLink"/>
                  <w:rFonts w:ascii="Times New Roman" w:hAnsi="Times New Roman"/>
                  <w:sz w:val="20"/>
                </w:rPr>
                <w:t>EXPENSES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15">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16">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915462_17">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915462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shelf registration statement that we filed with the Securities and Exchange Commission, or the SEC. By using a shelf registration statement, the selling security holders may sell up to an aggregate of 2,757,430 ADSs at any time and from time to time and in one or more offerings. This prospectus does not contain all of the information included in the registration statement. For a more complete understanding of the offering of the securities, you should refer to the registration statement, including its exhibits. Each time the selling security holders sell securities described herein, we will provide a prospectus supplement to this prospectus that contains specific information about the securities being offered and sold and the specific terms of that offering. The prospectus supplement may also add, update or change information contained or incorporated by reference in this prospectus with respect to that offering.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Before purchasing any securities, you should carefully read both this prospectus and any applicable prospectus supplement. You should also read the documents we have referred you to under </w:t>
      </w:r>
      <w:r>
        <w:rPr>
          <w:rFonts w:ascii="Times New Roman" w:hAnsi="Times New Roman"/>
          <w:i/>
          <w:sz w:val="20"/>
        </w:rPr>
        <w:t>Where You Can Find More Information</w:t>
      </w:r>
      <w:r>
        <w:rPr>
          <w:rFonts w:ascii="Times New Roman" w:hAnsi="Times New Roman"/>
          <w:sz w:val="20"/>
        </w:rPr>
        <w:t> below for information on the Company, the risks we face and our financial statements. The registration and exhibits can be read at the SECs website as described under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nor any agent, underwriter or dealer, or the selling security holders have authorized anyone to provide you with information other than that contained in this prospectus or in any accompanying prospectus supplement or free writing prospectus prepared by or on behalf of us or to which we have referred you. We, any agent, underwriter or dealer, and the selling security holders take no responsibility for, and can provide no assurance as to the reliability of, any other information that others may give you. This prospectus is not an offer to sell or the solicitation of an offer to buy any securities other than the securities to which it relates, or an offer or solicitation in any jurisdiction where offers or sales are not permitted. You should assume that the information appearing in this prospectus and any applicable prospectus supplement is accurate only as of the date on its respective cover, even though this prospectus may be delivered or securities may be sold under this prospectus on a later date. Our business, financial condition, results of operations and prospects may have changed since those dates. </w:t>
      </w:r>
    </w:p>
    <w:p>
      <w:pPr>
        <w:pStyle w:val="TextBody"/>
        <w:bidi w:val="0"/>
        <w:spacing w:before="240" w:after="0"/>
        <w:jc w:val="left"/>
        <w:rPr>
          <w:rFonts w:ascii="Times New Roman" w:hAnsi="Times New Roman"/>
          <w:b/>
          <w:sz w:val="20"/>
        </w:rPr>
      </w:pPr>
      <w:r>
        <w:rPr>
          <w:rFonts w:ascii="Times New Roman" w:hAnsi="Times New Roman"/>
          <w:b/>
          <w:sz w:val="20"/>
        </w:rPr>
        <w:t xml:space="preserve">For investors outside of the United States: We have not done anything that would permit possession or distribution of this prospectus in any jurisdiction where action for that purpose is required, other than in the United States. You are required to inform yourselves about, and to observe any restrictions relating to, the distribution of this prospectus outside of the United States. </w:t>
      </w:r>
    </w:p>
    <w:p>
      <w:pPr>
        <w:pStyle w:val="TextBody"/>
        <w:bidi w:val="0"/>
        <w:spacing w:before="240" w:after="0"/>
        <w:jc w:val="left"/>
        <w:rPr>
          <w:rFonts w:ascii="Times New Roman" w:hAnsi="Times New Roman"/>
          <w:sz w:val="20"/>
        </w:rPr>
      </w:pPr>
      <w:r>
        <w:rPr>
          <w:rFonts w:ascii="Times New Roman" w:hAnsi="Times New Roman"/>
          <w:sz w:val="20"/>
        </w:rPr>
        <w:t>Unless the context otherwise requires, </w:t>
      </w:r>
      <w:r>
        <w:rPr>
          <w:rFonts w:ascii="Times New Roman" w:hAnsi="Times New Roman"/>
          <w:i/>
          <w:sz w:val="20"/>
        </w:rPr>
        <w:t>Oatly</w:t>
      </w:r>
      <w:r>
        <w:rPr>
          <w:rFonts w:ascii="Times New Roman" w:hAnsi="Times New Roman"/>
          <w:sz w:val="20"/>
        </w:rPr>
        <w:t>, </w:t>
      </w:r>
      <w:r>
        <w:rPr>
          <w:rFonts w:ascii="Times New Roman" w:hAnsi="Times New Roman"/>
          <w:i/>
          <w:sz w:val="20"/>
        </w:rPr>
        <w:t>we</w:t>
      </w:r>
      <w:r>
        <w:rPr>
          <w:rFonts w:ascii="Times New Roman" w:hAnsi="Times New Roman"/>
          <w:sz w:val="20"/>
        </w:rPr>
        <w:t>, </w:t>
      </w:r>
      <w:r>
        <w:rPr>
          <w:rFonts w:ascii="Times New Roman" w:hAnsi="Times New Roman"/>
          <w:i/>
          <w:sz w:val="20"/>
        </w:rPr>
        <w:t>us</w:t>
      </w:r>
      <w:r>
        <w:rPr>
          <w:rFonts w:ascii="Times New Roman" w:hAnsi="Times New Roman"/>
          <w:sz w:val="20"/>
        </w:rPr>
        <w:t>, </w:t>
      </w:r>
      <w:r>
        <w:rPr>
          <w:rFonts w:ascii="Times New Roman" w:hAnsi="Times New Roman"/>
          <w:i/>
          <w:sz w:val="20"/>
        </w:rPr>
        <w:t>our</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r>
        <w:rPr>
          <w:rFonts w:ascii="Times New Roman" w:hAnsi="Times New Roman"/>
          <w:i/>
          <w:sz w:val="20"/>
        </w:rPr>
        <w:t>the Company</w:t>
      </w:r>
      <w:r>
        <w:rPr>
          <w:rFonts w:ascii="Times New Roman" w:hAnsi="Times New Roman"/>
          <w:sz w:val="20"/>
        </w:rPr>
        <w:t xml:space="preserve"> and similar terms refer to Oatly Group AB and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We have proprietary rights to trademarks used in this prospectus that are important to our business, many of which are registered under applicable intellectual property laws. Solely for convenience, trademarks and trade names referred to in this prospectus may appear without the ® or  symbols, but such references are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prospectus is the property of its respective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915462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statements in this prospectus and any applicable prospectus supplement, including documents incorporated by reference herein or therein, are forward-looking statements within the meaning of the U.S. Private Securities Litigation Reform Act of 1995 that relate to our current expectations and views of future events.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prospectus and any applicable prospectus supplement other than statements of historical fact, including, without limitation, statements regarding our future operating results and financial position, our business strategy and plans, market growth opportunities and trends in the markets in which we operate, our geographic footprint, our sustainability goals and ambitions, expectations regarding demand and acceptance for our products and competition, expectations regarding the impact of macroeconomic effects, imposition of tariffs or other trade sanctions, supply chain constraints, and inflation, our objectives for future operations and our business, expectations regarding cost reductions, and our ability to raise additional capital to fund our operations, the sufficiency of our cash and cash equivalents, are forward-looking statements. Words or phrases such as forecast, project, should, may, will, expect, anticipate, aim, estimate, intend, plan, believe, potential, continue, is/are likely to or the negative of these terms and similar expressions are intended to identify forward-looking statements, though not all forward-looking statements use these words or expressions. </w:t>
      </w:r>
    </w:p>
    <w:p>
      <w:pPr>
        <w:pStyle w:val="TextBody"/>
        <w:bidi w:val="0"/>
        <w:spacing w:before="240" w:after="0"/>
        <w:jc w:val="left"/>
        <w:rPr>
          <w:rFonts w:ascii="Times New Roman" w:hAnsi="Times New Roman"/>
          <w:sz w:val="20"/>
        </w:rPr>
      </w:pPr>
      <w:r>
        <w:rPr>
          <w:rFonts w:ascii="Times New Roman" w:hAnsi="Times New Roman"/>
          <w:sz w:val="20"/>
        </w:rPr>
        <w:t>These are neither promises nor guarantees, but involve known and unknown risks, uncertainties and other factors which may cause our actual results, performance or achievements to be materially different from any future results, performance or achievements expressed or implied by the forward-looking statements, including, but not limited to those described under the Item 3.D. </w:t>
      </w:r>
      <w:r>
        <w:rPr>
          <w:rFonts w:ascii="Times New Roman" w:hAnsi="Times New Roman"/>
          <w:i/>
          <w:sz w:val="20"/>
        </w:rPr>
        <w:t>Key InformationRisk Factors</w:t>
      </w:r>
      <w:r>
        <w:rPr>
          <w:rFonts w:ascii="Times New Roman" w:hAnsi="Times New Roman"/>
          <w:sz w:val="20"/>
        </w:rPr>
        <w:t> and Item 5. </w:t>
      </w:r>
      <w:r>
        <w:rPr>
          <w:rFonts w:ascii="Times New Roman" w:hAnsi="Times New Roman"/>
          <w:i/>
          <w:sz w:val="20"/>
        </w:rPr>
        <w:t>Operating and Financial Review and Prospects</w:t>
      </w:r>
      <w:r>
        <w:rPr>
          <w:rFonts w:ascii="Times New Roman" w:hAnsi="Times New Roman"/>
          <w:sz w:val="20"/>
        </w:rPr>
        <w:t> in our Annual Report on Form 20-F filed on March 13, 2025 (the </w:t>
      </w:r>
      <w:r>
        <w:rPr>
          <w:rFonts w:ascii="Times New Roman" w:hAnsi="Times New Roman"/>
          <w:i/>
          <w:sz w:val="20"/>
        </w:rPr>
        <w:t>Annual Report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on forward-looking statements as predictions of future events. We have based the forward-looking statements contained in this prospectus and any applicable prospectus supplement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prospectus and any applicable prospectus supplement relate only to events or information as of the date on which the statements are made in this prospectus and any applicable prospectus supplement. You should not put undue reliance on any forward-looking statements. Actual results could differ materially from those anticipated in these forward-looking statements as a result of various factors described in this prospectus and any applicable prospectus supplement, including factors beyond our ability to control or predict. Although we believe that the expectations reflected in the forward-looking statements are reasonable and made in good faith,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applicable prospectus supplement, and the documents that we reference in this prospectus and any applicable prospectus supplement, and have filed as exhibits to the registration statement of which this prospectus and any applicable prospectus supplement forms a part, completely and with the understanding that our actual future results or performance may be materially different from what we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915462_3"/>
      <w:bookmarkEnd w:id="5"/>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Contained in or incorporated by reference in this prospectus and any applicable prospectus supplement, we reference information and statistics regarding the industries in which we operate, including the dairy industry. We are responsible for these statements included in or incorporated by reference in this prospectus and any applicable prospectus supplement. We have obtained this information and statistics from various independent third-party sources, such as Euromonitor International Limited (Euromonitor) and other third-party sources. </w:t>
      </w:r>
    </w:p>
    <w:p>
      <w:pPr>
        <w:pStyle w:val="TextBody"/>
        <w:bidi w:val="0"/>
        <w:spacing w:before="240" w:after="0"/>
        <w:jc w:val="left"/>
        <w:rPr>
          <w:rFonts w:ascii="Times New Roman" w:hAnsi="Times New Roman"/>
          <w:sz w:val="20"/>
        </w:rPr>
      </w:pPr>
      <w:r>
        <w:rPr>
          <w:rFonts w:ascii="Times New Roman" w:hAnsi="Times New Roman"/>
          <w:sz w:val="20"/>
        </w:rPr>
        <w:t xml:space="preserve">Some data and other information contained in or incorporated by reference in this prospectus and any applicable prospectus supplement are also based on our own estimates and calculations, which are derived from our review and interpretation of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w:t>
      </w:r>
    </w:p>
    <w:p>
      <w:pPr>
        <w:pStyle w:val="TextBody"/>
        <w:bidi w:val="0"/>
        <w:spacing w:before="240" w:after="0"/>
        <w:jc w:val="left"/>
        <w:rPr>
          <w:rFonts w:ascii="Times New Roman" w:hAnsi="Times New Roman"/>
          <w:sz w:val="20"/>
        </w:rPr>
      </w:pPr>
      <w:r>
        <w:rPr>
          <w:rFonts w:ascii="Times New Roman" w:hAnsi="Times New Roman"/>
          <w:sz w:val="20"/>
        </w:rPr>
        <w:t xml:space="preserve">In addition, assumptions and estimates of our and our industries future performance are necessarily subject to a high degree of uncertainty and risk due to a variety of factors. These and other factors could cause our future performance to differ materially from our assumptions and estimates. As a result, you should be aware that market, ranking and other similar industry data included in or incorporated by reference in this prospectus and any applicable prospectus supplement, and estimates and beliefs based on that data, may not be reliable. We cannot guarantee the accuracy or completeness of any such information contained in or incorporated by reference in this prospectus and any prospectus supplement. Forecasts and other forward-looking information obtained from these sources are subject to the same qualifications and uncertainties as the other forward-looking statements in our Annual Report. See Item 3.D. </w:t>
      </w:r>
      <w:r>
        <w:rPr>
          <w:rFonts w:ascii="Times New Roman" w:hAnsi="Times New Roman"/>
          <w:i/>
          <w:sz w:val="20"/>
        </w:rPr>
        <w:t>Key InformationRisk FactorsRisks Related to our Business and Industry</w:t>
      </w:r>
      <w:r>
        <w:rPr>
          <w:rFonts w:ascii="Times New Roman" w:hAnsi="Times New Roman"/>
          <w:sz w:val="20"/>
        </w:rPr>
        <w:t></w:t>
      </w:r>
      <w:r>
        <w:rPr>
          <w:rFonts w:ascii="Times New Roman" w:hAnsi="Times New Roman"/>
          <w:i/>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6" w:name="tx915462_4"/>
      <w:bookmarkEnd w:id="6"/>
      <w:r>
        <w:rPr>
          <w:rFonts w:ascii="Times New Roman" w:hAnsi="Times New Roman"/>
          <w:b/>
          <w:sz w:val="20"/>
        </w:rPr>
        <w:t xml:space="preserve">COMPANY OVERVIEW </w:t>
      </w:r>
    </w:p>
    <w:p>
      <w:pPr>
        <w:pStyle w:val="TextBody"/>
        <w:bidi w:val="0"/>
        <w:spacing w:before="240" w:after="0"/>
        <w:jc w:val="left"/>
        <w:rPr>
          <w:rFonts w:ascii="Times New Roman" w:hAnsi="Times New Roman"/>
          <w:sz w:val="20"/>
        </w:rPr>
      </w:pPr>
      <w:r>
        <w:rPr>
          <w:rFonts w:ascii="Times New Roman" w:hAnsi="Times New Roman"/>
          <w:sz w:val="20"/>
        </w:rPr>
        <w:t xml:space="preserve">We are the worlds original and largest oatmilk company. For over 30 years, we have focused on developing expertise around oats: a global power crop with inherent properties suited for sustainability and human health. Our commitment to oats has resulted in core technical advancements that enabled us to provide alternatives to a wide variety of dairy products, including milks, ice cream, yogurt, cooking creams, spreads and on-the-go drinks. We are utilizing this technical expertise to disrupt the global dairy industry, which Euromonitor estimated generated $590 billion in retail sales in 2024. We are driving this disruption by encouraging consumers to reassess the impacts that their food choices have on the climate and environment. We position our brand to benefit from the trend of consumers choosing plant-based foods as an alternative to animal-based ones. </w:t>
      </w:r>
    </w:p>
    <w:p>
      <w:pPr>
        <w:pStyle w:val="TextBody"/>
        <w:bidi w:val="0"/>
        <w:spacing w:before="240" w:after="0"/>
        <w:jc w:val="left"/>
        <w:rPr>
          <w:rFonts w:ascii="Times New Roman" w:hAnsi="Times New Roman"/>
          <w:sz w:val="20"/>
        </w:rPr>
      </w:pPr>
      <w:r>
        <w:rPr>
          <w:rFonts w:ascii="Times New Roman" w:hAnsi="Times New Roman"/>
          <w:sz w:val="20"/>
        </w:rPr>
        <w:t xml:space="preserve">Sustainability is at the core of our business. In general, oatmilk leads to fewer greenhouse gas emissions compared to cows milk. Based on certain product-level calculations we have commissioned in Europe and in the United States, and based on additional studies, we generally see that oatmilk products can have a significantly lower climate (CO2 equivalent) impact relative to comparable dairy products. </w:t>
      </w:r>
    </w:p>
    <w:p>
      <w:pPr>
        <w:pStyle w:val="TextBody"/>
        <w:bidi w:val="0"/>
        <w:spacing w:before="480" w:after="0"/>
        <w:jc w:val="center"/>
        <w:rPr>
          <w:rFonts w:ascii="Times New Roman" w:hAnsi="Times New Roman"/>
          <w:b/>
          <w:sz w:val="20"/>
        </w:rPr>
      </w:pPr>
      <w:bookmarkStart w:id="7" w:name="tx915462_5"/>
      <w:bookmarkEnd w:id="7"/>
      <w:r>
        <w:rPr>
          <w:rFonts w:ascii="Times New Roman" w:hAnsi="Times New Roman"/>
          <w:b/>
          <w:sz w:val="20"/>
        </w:rPr>
        <w:t xml:space="preserve">CORPORATE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1994, and our current holding company was incorporated in accordance with Swedish law on October 5, 2016, under the name Goldcup 13678 AB and were registered with the Swedish Companies Registration Office on October 20, 2016. On December 21, 2016, we changed our name to Havre Global AB and on March 1, 2021, we changed our name to Oatly Group AB.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principal executive offices are located at Ångfärjekajen 8, 211 19 Malmö, Sweden. Our telephone number at this address is +46 418 475500. Our website address is https://www.oatly.com. The information contained on, or that can be accessed through, our website is not a part of, and shall not be incorporated by reference into, this prospectus. We have included our website address as an inactive textual reference only. Our agent for service of process in the United States is Oatly Inc., and its address is 2275 Bridge Street, Building 209, Suite 200, Philadelphia, PA 19137.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915462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any securities described in this prospectus involves risks. You should carefully consider the risk factors set forth in our Annual Report, and the other information contained or incorporated by reference in this prospectus or any applicable prospectus supplement hereto, before making a decision to invest in our securities. The risks and uncertainties we have described are not the only risks we face. Additional risks and uncertainties not presently known to us or that we currently deem immaterial may also affect our operations. You should carefully consider these risk factors and risks before investing in any of our securities.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9" w:name="tx915462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American Depositary Shares by the selling security holders. </w:t>
      </w:r>
    </w:p>
    <w:p>
      <w:pPr>
        <w:pStyle w:val="TextBody"/>
        <w:bidi w:val="0"/>
        <w:spacing w:before="480" w:after="0"/>
        <w:jc w:val="center"/>
        <w:rPr>
          <w:rFonts w:ascii="Times New Roman" w:hAnsi="Times New Roman"/>
          <w:b/>
          <w:sz w:val="20"/>
        </w:rPr>
      </w:pPr>
      <w:bookmarkStart w:id="10" w:name="tx915462_8"/>
      <w:bookmarkEnd w:id="10"/>
      <w:r>
        <w:rPr>
          <w:rFonts w:ascii="Times New Roman" w:hAnsi="Times New Roman"/>
          <w:b/>
          <w:sz w:val="20"/>
        </w:rPr>
        <w:t xml:space="preserve">CAPITALIZATION AND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Our capitalization and indebtedness will be set forth in a prospectus supplement to this prospectus or in a report on Form 6-K subsequently filed with the SEC and specifically incorporated herein by reference. </w:t>
      </w:r>
    </w:p>
    <w:p>
      <w:pPr>
        <w:pStyle w:val="TextBody"/>
        <w:bidi w:val="0"/>
        <w:spacing w:before="480" w:after="0"/>
        <w:jc w:val="center"/>
        <w:rPr>
          <w:rFonts w:ascii="Times New Roman" w:hAnsi="Times New Roman"/>
          <w:b/>
          <w:sz w:val="20"/>
        </w:rPr>
      </w:pPr>
      <w:bookmarkStart w:id="11" w:name="tx915462_9"/>
      <w:bookmarkEnd w:id="11"/>
      <w:r>
        <w:rPr>
          <w:rFonts w:ascii="Times New Roman" w:hAnsi="Times New Roman"/>
          <w:b/>
          <w:sz w:val="20"/>
        </w:rPr>
        <w:t xml:space="preserve">DESCRIPTION OF ORDINARY SHARES AND AMERICAN DEPOSITARY SHARES </w:t>
      </w:r>
    </w:p>
    <w:p>
      <w:pPr>
        <w:pStyle w:val="TextBody"/>
        <w:bidi w:val="0"/>
        <w:spacing w:before="240" w:after="0"/>
        <w:jc w:val="left"/>
        <w:rPr>
          <w:rFonts w:ascii="Times New Roman" w:hAnsi="Times New Roman"/>
          <w:sz w:val="20"/>
        </w:rPr>
      </w:pPr>
      <w:r>
        <w:rPr>
          <w:rFonts w:ascii="Times New Roman" w:hAnsi="Times New Roman"/>
          <w:sz w:val="20"/>
        </w:rPr>
        <w:t>A description of our Ordinary Shares can be found in Exhibit 2.1 to our Annual Report under the heading </w:t>
      </w:r>
      <w:r>
        <w:rPr>
          <w:rFonts w:ascii="Times New Roman" w:hAnsi="Times New Roman"/>
          <w:i/>
          <w:sz w:val="20"/>
        </w:rPr>
        <w:t>Description of the Registrants Securities Registered Pursuant to Section</w:t>
      </w:r>
      <w:r>
        <w:rPr>
          <w:rFonts w:ascii="Times New Roman" w:hAnsi="Times New Roman"/>
          <w:sz w:val="20"/>
        </w:rPr>
        <w:t> </w:t>
      </w:r>
      <w:r>
        <w:rPr>
          <w:rFonts w:ascii="Times New Roman" w:hAnsi="Times New Roman"/>
          <w:i/>
          <w:sz w:val="20"/>
        </w:rPr>
        <w:t>12 of the Securities Exchange Act of 1934, As Amended</w:t>
      </w:r>
      <w:r>
        <w:rPr>
          <w:rFonts w:ascii="Times New Roman" w:hAnsi="Times New Roman"/>
          <w:sz w:val="20"/>
        </w:rPr>
        <w:t xml:space="preserve">, which description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A description of our American Depositary Shares can be found in Exhibit 2.1 to our Annual Report under the heading </w:t>
      </w:r>
      <w:r>
        <w:rPr>
          <w:rFonts w:ascii="Times New Roman" w:hAnsi="Times New Roman"/>
          <w:i/>
          <w:sz w:val="20"/>
        </w:rPr>
        <w:t>Description of the Registrants Securities Registered Pursuant to Section</w:t>
      </w:r>
      <w:r>
        <w:rPr>
          <w:rFonts w:ascii="Times New Roman" w:hAnsi="Times New Roman"/>
          <w:sz w:val="20"/>
        </w:rPr>
        <w:t> </w:t>
      </w:r>
      <w:r>
        <w:rPr>
          <w:rFonts w:ascii="Times New Roman" w:hAnsi="Times New Roman"/>
          <w:i/>
          <w:sz w:val="20"/>
        </w:rPr>
        <w:t>12 of the Securities Exchange Act of 1934, As Amended</w:t>
      </w:r>
      <w:r>
        <w:rPr>
          <w:rFonts w:ascii="Times New Roman" w:hAnsi="Times New Roman"/>
          <w:sz w:val="20"/>
        </w:rPr>
        <w:t xml:space="preserve">, which description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915462_10"/>
      <w:bookmarkEnd w:id="12"/>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This prospectus covers the resale from time to time by the selling security holders identified in the table below, including their pledgees, donees, transferees, assigns or other successors in interest (each also a selling security holder for purposes of this prospectus), of up to an aggregate of 2,757,430 ADSs. The ADSs and/or the Ordinary Shares that they represent that are registered for resale hereunder are issuable upon conversion of certain Convertible Notes issued by the Company to the selling security holders named herein, at a purchase price equivalent to 97% of the principal amount of the Convertible Notes. The Convertible Notes were issued in transactions exempt from registration requirements of the Securities Act. We are registering the resale of the ADSs as required by the Subscription Agreement that we entered into with certain investors. A description of the material terms of the Convertible Notes can be found in our Annual Report under Item 5.B </w:t>
      </w:r>
      <w:r>
        <w:rPr>
          <w:rFonts w:ascii="Times New Roman" w:hAnsi="Times New Roman"/>
          <w:i/>
          <w:sz w:val="20"/>
        </w:rPr>
        <w:t>Liquidity and Capital ResourcesConvertible Notes</w:t>
      </w:r>
      <w:r>
        <w:rPr>
          <w:rFonts w:ascii="Times New Roman" w:hAnsi="Times New Roman"/>
          <w:sz w:val="20"/>
        </w:rPr>
        <w:t> and Item 3.D </w:t>
      </w:r>
      <w:r>
        <w:rPr>
          <w:rFonts w:ascii="Times New Roman" w:hAnsi="Times New Roman"/>
          <w:i/>
          <w:sz w:val="20"/>
        </w:rPr>
        <w:t>Risk FactorsRisks Related to our Indebtedness and Outstanding Convertible Notes</w:t>
      </w:r>
      <w:r>
        <w:rPr>
          <w:rFonts w:ascii="Times New Roman" w:hAnsi="Times New Roman"/>
          <w:sz w:val="20"/>
        </w:rPr>
        <w:t xml:space="preserve">, which descriptions are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ADSs registered herein consist of the issuance of additional ADSs based upon the conversion price of the Convertible Notes being reset from $1.81 to $1.36 per Ordinary Share on March 23, 2025, pursuant to the terms and conditions of the Convertible Notes. On February 18, 2025, we completed a ratio change whereby the ratio of our ADSs to Ordinary Shares was changed from one ADS representing one Ordinary Shares to one ADS representing twenty Ordinary Shares (the ADS Ratio Change). Because the Convertible Notes held by the selling security holders are convertible into Ordinary Shares rather than ADSs, the ADS Ratio Change did not affect the conversion price and conversion rate of the Convertible Notes. In order to ensure that the selling security holders remain in the same economic position as before the ADS Ratio Change and to preserve economic equivalency with the 9.25% Convertible Senior PIK Notes due 2028 issued pursuant to (i) the Indenture dated March 23, 2023, by and among the Company and U.S. Bank Trust Company, National Association (the Trustee) and (ii) the Indenture dated May 31, 2023, by and among the Company and the Trustee, we, in accordance with the terms and conditions of the Convertible Notes, have interpreted the definition of Daily VWAP therein to assume the trading price of 1/20 of an ADS. </w:t>
      </w:r>
    </w:p>
    <w:p>
      <w:pPr>
        <w:pStyle w:val="TextBody"/>
        <w:bidi w:val="0"/>
        <w:spacing w:before="240" w:after="0"/>
        <w:jc w:val="left"/>
        <w:rPr>
          <w:rFonts w:ascii="Times New Roman" w:hAnsi="Times New Roman"/>
          <w:sz w:val="20"/>
        </w:rPr>
      </w:pPr>
      <w:r>
        <w:rPr>
          <w:rFonts w:ascii="Times New Roman" w:hAnsi="Times New Roman"/>
          <w:sz w:val="20"/>
        </w:rPr>
        <w:t xml:space="preserve">None of the selling security holders received any of our securities as compensation for underwriting services. We will not receive any proceeds from the resale of the ADSs by the 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identified in the table below may from time to time offer and sell under this prospectus any or all of the ADSs described under the column ADSs Being Offered in this Offering in the table below. The table below has been prepared based upon information furnished to us by the selling security holders as of the dates represented in the footnotes accompanying the table. The selling security holders identified below may have sold, transferred or otherwise disposed of some or all of the Convertible Notes since the date on which the information in the following table is presented in transactions exempt from or not subject to the registration requirements of the Securities Act. Information concerning the selling security holders may change from time to time and, if necessary, we will amend or supplement this prospectus accordingly and as required.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footnote disclosure following the table sets forth the name of each selling security holder and the number of ADSs, including the number of Ordinary Shares convertible into ADSs (together, Shares), beneficially owned by the selling security holder before this offering. The number of Shares reflected are those beneficially owned, as determined under applicable rules of the SEC, and the information is not necessarily indicative of beneficial ownership for any other purpose. Under applicable SEC rules, beneficial ownership includes any Shares as to which a person has sole or shared voting power or investment power and any Shares which the person has the right to acquire within 60 days after March 24, 2025, through the conversion of notes, or the exercise of warrants, options or rights and the vesting of restricted stock units, including the issuance of additional ADSs based upon the conversion price of the Convertible Notes being reset from $1.81 to $1.36 per Ordinary Share on March 23, 2025, pursuant to the terms and conditions of the Convertible Notes. Securities that can be so acquired are deemed to be outstanding for purposes of computing such persons ownership percentage, but not for purposes of computing any other persons percentage. Information regarding the nature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position, office or other material relationship, if any, that the selling security holder has had within the past three years with us or with any of our predecessors or affiliates is hereby incorporated by reference from Item 6Directors, Senior Management and Employees, and Item 7Major Shareholders and Related Party Transactions in our most recently filed Annual Report on Form 20-F.</w:t>
      </w:r>
    </w:p>
    <w:p>
      <w:pPr>
        <w:pStyle w:val="TextBody"/>
        <w:bidi w:val="0"/>
        <w:spacing w:before="240" w:after="0"/>
        <w:jc w:val="left"/>
        <w:rPr>
          <w:rFonts w:ascii="Times New Roman" w:hAnsi="Times New Roman"/>
          <w:sz w:val="20"/>
        </w:rPr>
      </w:pPr>
      <w:r>
        <w:rPr>
          <w:rFonts w:ascii="Times New Roman" w:hAnsi="Times New Roman"/>
          <w:sz w:val="20"/>
        </w:rPr>
        <w:t xml:space="preserve">The number of ADSs reflected in the table as being offered in the offering reflects the maximum number of additional ADSs that became issuable upon the reset in the conversion price of the Convertible Notes from $1.81 to $1.36 per Ordinary Share on March 23, 2025, pursuant to the terms and conditions of the Convertible Notes and, accordingly, assumes that interest thereon is paid semi-annually in kind through maturity.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that all ADSs reflected in the table as being offered in the offering covered by this prospectus supplement will be sold from time to time in this offering. We cannot provide an estimate as to the number of Shares that will be held by the selling security holders upon termination of the offering covered by this prospectus supplement because the selling security holders may offer some, all or none of their ADSs being offered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Shares beneficially owned is based on 598,559,840 Ordinary Shares outstanding as of February 28,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2"/>
        <w:gridCol w:w="149"/>
        <w:gridCol w:w="77"/>
        <w:gridCol w:w="1444"/>
        <w:gridCol w:w="350"/>
        <w:gridCol w:w="91"/>
        <w:gridCol w:w="111"/>
        <w:gridCol w:w="940"/>
        <w:gridCol w:w="276"/>
        <w:gridCol w:w="91"/>
        <w:gridCol w:w="60"/>
        <w:gridCol w:w="990"/>
        <w:gridCol w:w="60"/>
        <w:gridCol w:w="148"/>
        <w:gridCol w:w="77"/>
        <w:gridCol w:w="1444"/>
        <w:gridCol w:w="60"/>
        <w:gridCol w:w="149"/>
        <w:gridCol w:w="185"/>
        <w:gridCol w:w="1566"/>
        <w:gridCol w:w="285"/>
      </w:tblGrid>
      <w:tr>
        <w:trPr/>
        <w:tc>
          <w:tcPr>
            <w:tcW w:w="165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65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013" w:type="dxa"/>
            <w:gridSpan w:val="6"/>
            <w:tcBorders>
              <w:bottom w:val="single" w:sz="8" w:space="0" w:color="000000"/>
            </w:tcBorders>
            <w:tcMar>
              <w:bottom w:w="28" w:type="dxa"/>
            </w:tcMar>
            <w:vAlign w:val="bottom"/>
          </w:tcPr>
          <w:p>
            <w:pPr>
              <w:pStyle w:val="TableContents"/>
              <w:bidi w:val="0"/>
              <w:spacing w:before="0" w:after="283"/>
              <w:jc w:val="center"/>
              <w:rPr/>
            </w:pPr>
            <w:r>
              <w:rPr>
                <w:b/>
              </w:rPr>
              <w:t>ADS EQUIVALENT</w:t>
              <w:br/>
              <w:t>BENEFICIALLY</w:t>
            </w:r>
            <w:r>
              <w:rPr/>
              <w:br/>
            </w:r>
            <w:r>
              <w:rPr>
                <w:b/>
              </w:rPr>
              <w:t>OWNED PRIOR TO</w:t>
            </w:r>
            <w:r>
              <w:rPr/>
              <w:br/>
            </w:r>
            <w:r>
              <w:rPr>
                <w:b/>
              </w:rPr>
              <w:t>THE OFFERING</w:t>
            </w:r>
          </w:p>
        </w:tc>
        <w:tc>
          <w:tcPr>
            <w:tcW w:w="27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ADSs BEING</w:t>
            </w:r>
          </w:p>
          <w:p>
            <w:pPr>
              <w:pStyle w:val="TableContents"/>
              <w:bidi w:val="0"/>
              <w:spacing w:before="0" w:after="0"/>
              <w:jc w:val="center"/>
              <w:rPr>
                <w:rFonts w:ascii="Times New Roman" w:hAnsi="Times New Roman"/>
                <w:b/>
                <w:sz w:val="16"/>
              </w:rPr>
            </w:pPr>
            <w:r>
              <w:rPr>
                <w:rFonts w:ascii="Times New Roman" w:hAnsi="Times New Roman"/>
                <w:b/>
                <w:sz w:val="16"/>
              </w:rPr>
              <w:t>OFFERED IN</w:t>
            </w:r>
          </w:p>
          <w:p>
            <w:pPr>
              <w:pStyle w:val="TableContents"/>
              <w:bidi w:val="0"/>
              <w:spacing w:before="0" w:after="0"/>
              <w:jc w:val="center"/>
              <w:rPr>
                <w:rFonts w:ascii="Times New Roman" w:hAnsi="Times New Roman"/>
                <w:b/>
                <w:sz w:val="16"/>
              </w:rPr>
            </w:pPr>
            <w:r>
              <w:rPr>
                <w:rFonts w:ascii="Times New Roman" w:hAnsi="Times New Roman"/>
                <w:b/>
                <w:sz w:val="16"/>
              </w:rPr>
              <w:t>THIS</w:t>
            </w:r>
          </w:p>
          <w:p>
            <w:pPr>
              <w:pStyle w:val="TableContents"/>
              <w:bidi w:val="0"/>
              <w:spacing w:before="0" w:after="20"/>
              <w:jc w:val="center"/>
              <w:rPr>
                <w:rFonts w:ascii="Times New Roman" w:hAnsi="Times New Roman"/>
                <w:b/>
                <w:sz w:val="16"/>
              </w:rPr>
            </w:pPr>
            <w:r>
              <w:rPr>
                <w:rFonts w:ascii="Times New Roman" w:hAnsi="Times New Roman"/>
                <w:b/>
                <w:sz w:val="16"/>
              </w:rPr>
              <w:t>OFFERING</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3481" w:type="dxa"/>
            <w:gridSpan w:val="6"/>
            <w:tcBorders>
              <w:bottom w:val="single" w:sz="8" w:space="0" w:color="000000"/>
            </w:tcBorders>
            <w:tcMar>
              <w:bottom w:w="28" w:type="dxa"/>
            </w:tcMar>
            <w:vAlign w:val="bottom"/>
          </w:tcPr>
          <w:p>
            <w:pPr>
              <w:pStyle w:val="TableContents"/>
              <w:bidi w:val="0"/>
              <w:spacing w:before="0" w:after="283"/>
              <w:jc w:val="center"/>
              <w:rPr/>
            </w:pPr>
            <w:r>
              <w:rPr>
                <w:b/>
              </w:rPr>
              <w:t>ADS EQUIVALENT</w:t>
              <w:br/>
              <w:t>BENEFICIALLY</w:t>
            </w:r>
            <w:r>
              <w:rPr/>
              <w:br/>
            </w:r>
            <w:r>
              <w:rPr>
                <w:b/>
              </w:rPr>
              <w:t>OWNED AFTER THE</w:t>
            </w:r>
            <w:r>
              <w:rPr/>
              <w:br/>
            </w:r>
            <w:r>
              <w:rPr>
                <w:b/>
              </w:rPr>
              <w:t>OFFERING</w:t>
            </w:r>
          </w:p>
        </w:tc>
        <w:tc>
          <w:tcPr>
            <w:tcW w:w="285" w:type="dxa"/>
            <w:tcBorders/>
            <w:vAlign w:val="bottom"/>
          </w:tcPr>
          <w:p>
            <w:pPr>
              <w:pStyle w:val="TableContents"/>
              <w:bidi w:val="0"/>
              <w:spacing w:before="0" w:after="283"/>
              <w:jc w:val="left"/>
              <w:rPr/>
            </w:pPr>
            <w:r>
              <w:rPr/>
              <w:t> </w:t>
            </w:r>
          </w:p>
        </w:tc>
      </w:tr>
      <w:tr>
        <w:trPr/>
        <w:tc>
          <w:tcPr>
            <w:tcW w:w="1652"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OF SELLING</w:t>
            </w:r>
          </w:p>
          <w:p>
            <w:pPr>
              <w:pStyle w:val="TableContents"/>
              <w:bidi w:val="0"/>
              <w:spacing w:before="0" w:after="20"/>
              <w:jc w:val="left"/>
              <w:rPr>
                <w:rFonts w:ascii="Times New Roman" w:hAnsi="Times New Roman"/>
                <w:b/>
                <w:sz w:val="16"/>
              </w:rPr>
            </w:pPr>
            <w:r>
              <w:rPr>
                <w:rFonts w:ascii="Times New Roman" w:hAnsi="Times New Roman"/>
                <w:b/>
                <w:sz w:val="16"/>
              </w:rPr>
              <w:t>STOCKHOLDER</w:t>
            </w:r>
          </w:p>
        </w:tc>
        <w:tc>
          <w:tcPr>
            <w:tcW w:w="149" w:type="dxa"/>
            <w:tcBorders/>
            <w:vAlign w:val="bottom"/>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ADSs</w:t>
            </w:r>
          </w:p>
        </w:tc>
        <w:tc>
          <w:tcPr>
            <w:tcW w:w="35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pPr>
            <w:r>
              <w:rPr>
                <w:b/>
              </w:rPr>
              <w:t>PERCEN</w:t>
            </w:r>
            <w:r>
              <w:rPr/>
              <w:br/>
            </w:r>
            <w:r>
              <w:rPr>
                <w:b/>
              </w:rPr>
              <w:t>TAGE</w:t>
            </w:r>
          </w:p>
        </w:tc>
        <w:tc>
          <w:tcPr>
            <w:tcW w:w="27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ADSs</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7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5" w:type="dxa"/>
            <w:tcBorders/>
            <w:vAlign w:val="bottom"/>
          </w:tcPr>
          <w:p>
            <w:pPr>
              <w:pStyle w:val="TableContents"/>
              <w:bidi w:val="0"/>
              <w:spacing w:before="0" w:after="283"/>
              <w:jc w:val="left"/>
              <w:rPr/>
            </w:pPr>
            <w:r>
              <w:rPr/>
              <w:t> </w:t>
            </w:r>
          </w:p>
        </w:tc>
      </w:tr>
      <w:tr>
        <w:trPr/>
        <w:tc>
          <w:tcPr>
            <w:tcW w:w="1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Nativus Company Limited</w:t>
            </w:r>
          </w:p>
        </w:tc>
        <w:tc>
          <w:tcPr>
            <w:tcW w:w="149"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14,186,756</w:t>
            </w:r>
          </w:p>
        </w:tc>
        <w:tc>
          <w:tcPr>
            <w:tcW w:w="350" w:type="dxa"/>
            <w:tcBorders/>
            <w:shd w:fill="CCEEFF" w:val="clear"/>
            <w:vAlign w:val="bottom"/>
          </w:tcPr>
          <w:p>
            <w:pPr>
              <w:pStyle w:val="TableContents"/>
              <w:bidi w:val="0"/>
              <w:spacing w:before="0" w:after="283"/>
              <w:jc w:val="left"/>
              <w:rPr/>
            </w:pPr>
            <w:r>
              <w:rPr/>
              <w:t>(1) </w:t>
            </w:r>
          </w:p>
        </w:tc>
        <w:tc>
          <w:tcPr>
            <w:tcW w:w="9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46.5</w:t>
            </w:r>
          </w:p>
        </w:tc>
        <w:tc>
          <w:tcPr>
            <w:tcW w:w="27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2,272,935</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14,186,756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6" w:type="dxa"/>
            <w:tcBorders/>
            <w:shd w:fill="CCEEFF" w:val="clear"/>
            <w:vAlign w:val="bottom"/>
          </w:tcPr>
          <w:p>
            <w:pPr>
              <w:pStyle w:val="TableContents"/>
              <w:bidi w:val="0"/>
              <w:spacing w:before="0" w:after="283"/>
              <w:jc w:val="right"/>
              <w:rPr/>
            </w:pPr>
            <w:r>
              <w:rPr/>
              <w:t>46.5</w:t>
            </w:r>
          </w:p>
        </w:tc>
        <w:tc>
          <w:tcPr>
            <w:tcW w:w="285" w:type="dxa"/>
            <w:tcBorders/>
            <w:shd w:fill="CCEEFF" w:val="clear"/>
            <w:vAlign w:val="bottom"/>
          </w:tcPr>
          <w:p>
            <w:pPr>
              <w:pStyle w:val="TableContents"/>
              <w:bidi w:val="0"/>
              <w:spacing w:before="0" w:after="283"/>
              <w:jc w:val="left"/>
              <w:rPr/>
            </w:pPr>
            <w:r>
              <w:rPr/>
              <w:t>% </w:t>
            </w:r>
          </w:p>
        </w:tc>
      </w:tr>
      <w:tr>
        <w:trPr/>
        <w:tc>
          <w:tcPr>
            <w:tcW w:w="1652" w:type="dxa"/>
            <w:tcBorders/>
          </w:tcPr>
          <w:p>
            <w:pPr>
              <w:pStyle w:val="TableContents"/>
              <w:bidi w:val="0"/>
              <w:spacing w:before="0" w:after="0"/>
              <w:jc w:val="left"/>
              <w:rPr>
                <w:rFonts w:ascii="Times New Roman" w:hAnsi="Times New Roman"/>
                <w:sz w:val="20"/>
              </w:rPr>
            </w:pPr>
            <w:r>
              <w:rPr>
                <w:rFonts w:ascii="Times New Roman" w:hAnsi="Times New Roman"/>
                <w:sz w:val="20"/>
              </w:rPr>
              <w:t>Verlinvest S.A.</w:t>
            </w:r>
          </w:p>
        </w:tc>
        <w:tc>
          <w:tcPr>
            <w:tcW w:w="149"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14,186,756</w:t>
            </w:r>
          </w:p>
        </w:tc>
        <w:tc>
          <w:tcPr>
            <w:tcW w:w="350" w:type="dxa"/>
            <w:tcBorders/>
            <w:vAlign w:val="bottom"/>
          </w:tcPr>
          <w:p>
            <w:pPr>
              <w:pStyle w:val="TableContents"/>
              <w:bidi w:val="0"/>
              <w:spacing w:before="0" w:after="283"/>
              <w:jc w:val="left"/>
              <w:rPr/>
            </w:pPr>
            <w:r>
              <w:rPr/>
              <w:t>(2) </w:t>
            </w:r>
          </w:p>
        </w:tc>
        <w:tc>
          <w:tcPr>
            <w:tcW w:w="9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46.5</w:t>
            </w:r>
          </w:p>
        </w:tc>
        <w:tc>
          <w:tcPr>
            <w:tcW w:w="27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175,859</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14,186,756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283"/>
              <w:jc w:val="right"/>
              <w:rPr/>
            </w:pPr>
            <w:r>
              <w:rPr/>
              <w:t>46.5</w:t>
            </w:r>
          </w:p>
        </w:tc>
        <w:tc>
          <w:tcPr>
            <w:tcW w:w="285" w:type="dxa"/>
            <w:tcBorders/>
            <w:vAlign w:val="bottom"/>
          </w:tcPr>
          <w:p>
            <w:pPr>
              <w:pStyle w:val="TableContents"/>
              <w:bidi w:val="0"/>
              <w:spacing w:before="0" w:after="283"/>
              <w:jc w:val="left"/>
              <w:rPr/>
            </w:pPr>
            <w:r>
              <w:rPr/>
              <w:t>% </w:t>
            </w:r>
          </w:p>
        </w:tc>
      </w:tr>
      <w:tr>
        <w:trPr/>
        <w:tc>
          <w:tcPr>
            <w:tcW w:w="1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BXG Redhawk S.à r.l.</w:t>
            </w:r>
          </w:p>
        </w:tc>
        <w:tc>
          <w:tcPr>
            <w:tcW w:w="149"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2,882,580</w:t>
            </w:r>
          </w:p>
        </w:tc>
        <w:tc>
          <w:tcPr>
            <w:tcW w:w="350" w:type="dxa"/>
            <w:tcBorders/>
            <w:shd w:fill="CCEEFF" w:val="clear"/>
            <w:vAlign w:val="bottom"/>
          </w:tcPr>
          <w:p>
            <w:pPr>
              <w:pStyle w:val="TableContents"/>
              <w:bidi w:val="0"/>
              <w:spacing w:before="0" w:after="283"/>
              <w:jc w:val="left"/>
              <w:rPr/>
            </w:pPr>
            <w:r>
              <w:rPr/>
              <w:t>(3) </w:t>
            </w:r>
          </w:p>
        </w:tc>
        <w:tc>
          <w:tcPr>
            <w:tcW w:w="9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9.3</w:t>
            </w:r>
          </w:p>
        </w:tc>
        <w:tc>
          <w:tcPr>
            <w:tcW w:w="27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305,723</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2,882,580</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6" w:type="dxa"/>
            <w:tcBorders/>
            <w:shd w:fill="CCEEFF" w:val="clear"/>
            <w:vAlign w:val="bottom"/>
          </w:tcPr>
          <w:p>
            <w:pPr>
              <w:pStyle w:val="TableContents"/>
              <w:bidi w:val="0"/>
              <w:spacing w:before="0" w:after="283"/>
              <w:jc w:val="right"/>
              <w:rPr/>
            </w:pPr>
            <w:r>
              <w:rPr/>
              <w:t>9.3</w:t>
            </w:r>
          </w:p>
        </w:tc>
        <w:tc>
          <w:tcPr>
            <w:tcW w:w="285" w:type="dxa"/>
            <w:tcBorders/>
            <w:shd w:fill="CCEEFF" w:val="clear"/>
            <w:vAlign w:val="bottom"/>
          </w:tcPr>
          <w:p>
            <w:pPr>
              <w:pStyle w:val="TableContents"/>
              <w:bidi w:val="0"/>
              <w:spacing w:before="0" w:after="283"/>
              <w:jc w:val="left"/>
              <w:rPr/>
            </w:pPr>
            <w:r>
              <w:rPr/>
              <w:t>% </w:t>
            </w:r>
          </w:p>
        </w:tc>
      </w:tr>
      <w:tr>
        <w:trPr/>
        <w:tc>
          <w:tcPr>
            <w:tcW w:w="1652" w:type="dxa"/>
            <w:tcBorders/>
          </w:tcPr>
          <w:p>
            <w:pPr>
              <w:pStyle w:val="TableContents"/>
              <w:bidi w:val="0"/>
              <w:spacing w:before="0" w:after="0"/>
              <w:jc w:val="left"/>
              <w:rPr>
                <w:rFonts w:ascii="Times New Roman" w:hAnsi="Times New Roman"/>
                <w:sz w:val="20"/>
              </w:rPr>
            </w:pPr>
            <w:r>
              <w:rPr>
                <w:rFonts w:ascii="Times New Roman" w:hAnsi="Times New Roman"/>
                <w:sz w:val="20"/>
              </w:rPr>
              <w:t>BXG SPV ESC (CYM) L.P.</w:t>
            </w:r>
          </w:p>
        </w:tc>
        <w:tc>
          <w:tcPr>
            <w:tcW w:w="149"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27,470</w:t>
            </w:r>
          </w:p>
        </w:tc>
        <w:tc>
          <w:tcPr>
            <w:tcW w:w="350" w:type="dxa"/>
            <w:tcBorders/>
            <w:vAlign w:val="bottom"/>
          </w:tcPr>
          <w:p>
            <w:pPr>
              <w:pStyle w:val="TableContents"/>
              <w:bidi w:val="0"/>
              <w:spacing w:before="0" w:after="283"/>
              <w:jc w:val="left"/>
              <w:rPr/>
            </w:pPr>
            <w:r>
              <w:rPr/>
              <w:t>(3) </w:t>
            </w:r>
          </w:p>
        </w:tc>
        <w:tc>
          <w:tcPr>
            <w:tcW w:w="9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2,913</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27,470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6" w:type="dxa"/>
            <w:tcBorders/>
            <w:vAlign w:val="bottom"/>
          </w:tcPr>
          <w:p>
            <w:pPr>
              <w:pStyle w:val="TableContents"/>
              <w:bidi w:val="0"/>
              <w:spacing w:before="0" w:after="283"/>
              <w:jc w:val="right"/>
              <w:rPr/>
            </w:pPr>
            <w:r>
              <w:rPr/>
              <w:t>  </w:t>
            </w:r>
          </w:p>
        </w:tc>
        <w:tc>
          <w:tcPr>
            <w:tcW w:w="28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beneficial ownership of less than 1% of the total outstanding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271,763,953 Ordinary Shares (equivalent to 13,588,197 ADSs) and 11,971,196 Ordinary Shares (equivalent to 598,559 ADSs) which would be received upon conversion of Convertible Notes within 60 days of March 24, 2025, based on 598,559,840 Ordinary Shares (equivalent to 29,927,992 ADSs) outstanding as of February 28, 2025. Nativus Company Limited directly holds 271,763,953 Ordinary Shares (equivalent to 13,588,197 ADSs) of the Company. Of the total number of Convertible Notes respectively owned by Nativus Company Limited and Verlinvest, only that number of Convertible Notes that would result in an increase in the aggregate beneficial ownership of Nativus Company Limited and Verlinvest of 2% or less of our outstanding Ordinary Shares (or up to approximately 11,971,196 Ordinary Shares (equivalent to 598,559 ADSs)) are convertible immediately. The remaining Convertible Notes owned by Nativus Company Limited, which are convertible into an aggregate maximum of approximately 123,703,395 Ordinary Shares (equivalent to 6,185,169 ADSs) within 60 days of March 24, 2025, are convertible upon giving more than 60 days notice to us. As a result, approximately 123,703,395 Ordinary Shares (equivalent to 6,185,169 ADSs) are not included in the beneficial ownership information set forth herein for Nativus Company Limited.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Nativus Company Limited is a wholly owned subsidiary of CR Verlinvest Health Investment Limited (CRVV), a limited company incorporated in Hong Kong and a joint venture that is 50% owned by Verlinvest S.A., a company incorporated in Belgium (Verlinvest), and 50% owned by Blossom Key (Hong Kong) Holdings Limited, a limited company incorporated in Hong Kong. Each of Nativus Company Limited and CRVV have sole voting and dispositive power over 283,735,149 Ordinary Shares (equivalent to 14,186,756 ADSs). Blossom Key (Hong Kong) Holdings Limited is a wholly owned subsidiary of CRH (CRE) Limited. CRH (CRE) Limited is a wholly owned subsidiary of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Resources (Holdings) Company Limited. CRC Bluesky Limited holds all the voting shares in China Resources (Holdings) Company Limited. CRC Bluesky Limited is a wholly owned subsidiary of China Resources Inc. China Resources Company Limited holds substantially all the shares in China Resources Inc. The State-owned Assets Supervision and Administration Commission of the State Council and the National Council for Social Security Fund of the Peoples Republic of China perform the duty of investor (as to 90.0222% and 9.9778%, respectively) of China Resources Company Limited on behalf of the State Council of the Peoples Republic of China. Each of Blossom Key (Hong Kong) Holdings Limited, CRH (CRE) Limited, China Resources (Holdings) Company Limited, CRC Bluesky Limited, China Resources Inc., China Resources Company Limited and Verlinvest S.A. have shared voting and dispositive power over 283,735,149 Ordinary Shares (equivalent to 14,186,756 ADSs). The address for Nativus Company Limited is 39/F, China Resources Building, 26 Harbour Road, Wanchai, Hong Kong and the address for CRVV is 39/F, China Resources Building, 26 Harbour Road, Wanchai, Hong Kong.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set forth in footnote (1), Verlinvest has shared voting and dispositive power over 271,763,953 Ordinary Shares (equivalent to 13,588,197 ADSs). It also has (i) sole voting and dispositive power over Convertible Notes which are convertible into an aggregate maximum of approximately 10,497,248 Ordinary Shares (equivalent to 524,862 ADSs) (after subtracting Convertible Notes originally sold by the Company and purchased by Verlinvest and resold by Verlinvest to Mars II Holdings Pte. Ltd. on May 31, 2023), and (ii) shared voting and dispositive power over Convertible Notes of which a portion are convertible into an aggregate maximum of 1,473,948 Ordinary Shares (equivalent to 73,697 ADSs), in each case within 60 days of March 24, 2025, based on 598,559,840 Ordinary Shares (equivalent to 29,927,992 ADSs) outstanding as of February 28, 2025. Of the total number of Convertible Notes respectively owned by Verlinvest and Nativus Company Limited, only that number of Convertible Notes that would result in an increase in the aggregate beneficial ownership of Verlinvest and Nativus Company Limited of 2% or less of our outstanding Ordinary Shares (or up to approximately 11,971,196 Ordinary Shares (equivalent to 598,559 ADSs)) are convertible immediately. The remaining Convertible Notes over which Verlinvest has shared voting and dispositive power, which are convertible into an aggregate maximum of approximately 134,200,643 Ordinary Shares (equivalent to 6,710,032 ADSs) within 60 days of March 24, 2025, are convertible upon giving more than 60 days notice to us. As a result, approximately 134,200,643 Ordinary Shares (equivalent to 6,710,032 ADSs) are not included in the beneficial ownership information set forth herein for Verlinvest. The address for Verlinvest is Place Flagey 18, 1050 Brussels, Belgium.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39,778,182 Ordinary Shares (equivalent to 1,988,909 ADSs) and 18,422,872 Ordinary Shares (equivalent to 921,143 ADSs) which would be received upon conversion of Convertible Notes within 60 days of March 24, 2025. Number of Ordinary Shares represents 39,402,666 Ordinary Shares (equivalent to 1,970,133 ADSs) directly held by BXG Redhawk S.à r.l. and 375,516 Ordinary Shares (equivalent to 18,775 ADSs) directly held by BXG SPV ESC (CYM) L.P. (together, the Blackstone Funds). Shares which may be received upon conversion of Convertible Notes within 60 days of March 24, 2025 represents 18,248,959 Ordinary Shares (equivalent to 912,447 ADSs) which would be received upon conversion of Convertible Notes held by BXG Redhawk S.à r.l. and 173,913 Ordinary Shares (equivalent to 8,695 ADSs) which would be received upon conversion of Convertible Notes held by BXG SPV ESC (CYM) L.P. BXG Redhawk S.à r.l. is controlled by BXG Redhawk Holdings (CYM) L.P., the general partner of which is BXG Holdings Manager L.L.C. Blackstone Growth Associates L.P. is the managing member of BXG Holdings Manager L.L.C and BXGA L.L.C. is the general partner of Blackstone Growth Associates L.P. Blackstone Holdings II L.P. is the managing member of BXGA L.L.C. The general partner of BXG SPV ESC (CYM) L.P. is BXG Side-by-Side GP L.L.C. Blackstone Holdings II L.P. is the sole member of BXG Side-by-Side GP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 owned by Blackstones senior managing directors and controlled by its founder, Stephen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Schwarzman. 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our relationships with the selling security holders and their affiliates, see the section entitled Convertible Notes in our Annual Report on Form 20-F for the fiscal year ended December 31, 2024, filed with the SEC on March 13, 2025,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915462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Any selling security holder may sell the securities in one or more of the following ways (or in any combination)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by applicable law and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 of our securities may be carried out,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transactions and transactions on Nasdaq or any other organized market where the securities may be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own account pursuant to a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at the market to or through a market maker or into an existing trading market, on an exchange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in other ways not involving market makers or established trading markets, including direct sales to purchasers.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method of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from that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to be allowed or paid to the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and the discounts to be allowed or paid to dealers,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information regarding the distribution of the securities that we believe to be material.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Underwriters may offer and sell the securities at a fixed price or prices, which may be changed, or from time to time at market prices prevailing at the time of sale, at prices related to prevailing market prices or at negotiated prices. Any selling security holders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any selling security holders in the form of underwriting discounts and may also receive commissions from purchasers of securities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may sell securities to or through dealers, and dealers may receive compensation in the form of discounts or concessions from the underwriters and commissions from the purchasers for whom they may act as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dealers and agents who participate in the distribution of securities and their controlling persons may be entitled, under agreements that may be entered into with us to indemnification by us against certain liabilities, including liabilities under the Securities Act, or to contribution with respect to payments that the underwriters, dealers or agents and their controlling persons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Any selling security holders may also make direct sales through subscription rights distributed to our existing shareholders on a pro rata basis, which may or may not be transferable. </w:t>
      </w:r>
    </w:p>
    <w:p>
      <w:pPr>
        <w:pStyle w:val="TextBody"/>
        <w:bidi w:val="0"/>
        <w:spacing w:before="240" w:after="0"/>
        <w:jc w:val="left"/>
        <w:rPr>
          <w:rFonts w:ascii="Times New Roman" w:hAnsi="Times New Roman"/>
          <w:sz w:val="20"/>
        </w:rPr>
      </w:pPr>
      <w:r>
        <w:rPr>
          <w:rFonts w:ascii="Times New Roman" w:hAnsi="Times New Roman"/>
          <w:sz w:val="20"/>
        </w:rPr>
        <w:t xml:space="preserve">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One or more selling security holders may utilize this prospectus (and any related prospectus supplement) to make one or more in-kind distributions of the securities to its shareholders, partners or members. To the extent required by applicable law, information about the distribution will be reflected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915462_12"/>
      <w:bookmarkEnd w:id="14"/>
      <w:r>
        <w:rPr>
          <w:rFonts w:ascii="Times New Roman" w:hAnsi="Times New Roman"/>
          <w:b/>
          <w:sz w:val="20"/>
        </w:rPr>
        <w:t xml:space="preserve">ENFORCEMENT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incorporated and currently existing under the laws of Sweden. In addition, certain of our directors and officers reside outside of the United States, and substantially all of the assets of our subsidiaries are located outside of the United States. As a result, it may be difficult for investors to effect service of process on us or those persons in the United States or to enforce in the United States judgments obtained in U.S. courts against us or those persons based on the civil liability or other provisions of the U.S. securities laws or other laws. In addition, uncertainty exists as to whether the courts of Sweden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or enforce judgments of U.S. courts obtained against us or our directors or officers predicated upon the civil liabilities provisions of the securities laws of the United States or any state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entertain original actions brought in Sweden against us or our directors or officers predicated upon the securities laws of the United States or any state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United States and Sweden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Sweden. In order to obtain a judgment that is enforceable in Sweden, the party in whose favor a final and conclusive judgment of the U.S. court has been rendered will be required to file its claim with a court of competent jurisdiction in Sweden. Such party may submit to the Swedish court the final judgment rendered by the U.S. court. This court will have discretion to attach such weight to the judgment rendered by the relevant U.S. court depending on the circumstances. Circumstances that may be relevant to the Swedish court in deciding to give conclusive effect to a final and enforceable judgment of such court in respect of the contractual obligations thereunder without re-examination or re-litigation of the substantive matters adjudicated upon include whether: (i) the court involved accepted jurisdiction on the basis of internationally recognized grounds to accept jurisdiction, (ii) the proceedings before such court are in compliance with principles of proper procedure, (iii) such judgment is not contrary to the public policy of Sweden and (iv) such judgment is not incompatible with a judgment given between the same parties by a Swedish court or with a prior judgment given between the same parties by a foreign court in a dispute concerning the same subject matter and based on the same cause of action, provided such prior judgment fulfils the conditions necessary for it to be given binding effect in Sweden. Swedish courts may deny the recognition and enforcement of punitive damages or other awards. Moreover, a Swedish court may reduce the amount of damages granted by a U.S. court and recognize damages only to the extent that they are necessary to compensate actual losses or damages. </w:t>
      </w:r>
    </w:p>
    <w:p>
      <w:pPr>
        <w:pStyle w:val="TextBody"/>
        <w:bidi w:val="0"/>
        <w:spacing w:before="240" w:after="0"/>
        <w:jc w:val="left"/>
        <w:rPr>
          <w:rFonts w:ascii="Times New Roman" w:hAnsi="Times New Roman"/>
          <w:sz w:val="20"/>
        </w:rPr>
      </w:pPr>
      <w:r>
        <w:rPr>
          <w:rFonts w:ascii="Times New Roman" w:hAnsi="Times New Roman"/>
          <w:sz w:val="20"/>
        </w:rPr>
        <w:t xml:space="preserve">Swedish civil procedure differs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Swedish law.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service of process in accordance with applicable treaties, investors may be able to enforce in Sweden judgments in civil and commercial matters obtained from U.S. federal or state courts. However, no assurance can be given that those judgments will be enforceable. In addition, it is doubtful whether a Swedish court would accept jurisdiction and impose civil liability in an original action commenced in Sweden and predicated solely upon U.S. federal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915462_13"/>
      <w:bookmarkEnd w:id="15"/>
      <w:r>
        <w:rPr>
          <w:rFonts w:ascii="Times New Roman" w:hAnsi="Times New Roman"/>
          <w:b/>
          <w:sz w:val="20"/>
        </w:rPr>
        <w:t xml:space="preserve">TAXATION </w:t>
      </w:r>
    </w:p>
    <w:p>
      <w:pPr>
        <w:pStyle w:val="TextBody"/>
        <w:bidi w:val="0"/>
        <w:spacing w:before="240" w:after="0"/>
        <w:jc w:val="left"/>
        <w:rPr>
          <w:rFonts w:ascii="Times New Roman" w:hAnsi="Times New Roman"/>
          <w:sz w:val="20"/>
        </w:rPr>
      </w:pPr>
      <w:r>
        <w:rPr>
          <w:rFonts w:ascii="Times New Roman" w:hAnsi="Times New Roman"/>
          <w:sz w:val="20"/>
        </w:rPr>
        <w:t xml:space="preserve">The material U.S. and Swedish federal income tax consequences, if any, relating to the purchase, ownership and disposition of our securities offered by this prospectus will be set forth in the prospectus supplement pertaining to the offering of such securities. </w:t>
      </w:r>
    </w:p>
    <w:p>
      <w:pPr>
        <w:pStyle w:val="TextBody"/>
        <w:bidi w:val="0"/>
        <w:spacing w:before="480" w:after="0"/>
        <w:jc w:val="center"/>
        <w:rPr>
          <w:rFonts w:ascii="Times New Roman" w:hAnsi="Times New Roman"/>
          <w:b/>
          <w:sz w:val="20"/>
        </w:rPr>
      </w:pPr>
      <w:bookmarkStart w:id="16" w:name="tx915462_14"/>
      <w:bookmarkEnd w:id="16"/>
      <w:r>
        <w:rPr>
          <w:rFonts w:ascii="Times New Roman" w:hAnsi="Times New Roman"/>
          <w:b/>
          <w:sz w:val="20"/>
        </w:rPr>
        <w:t xml:space="preserve">EXPENSES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statement of expenses in connection with the distribution of the securities registered. All amounts shown are estimates except the SEC registration fee. The estimates do not include expenses related to offerings of particular securities. Each prospectus supplement describing an offering of securities will reflect the estimated expenses related to the offering of securities under that prospectus supplement.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74"/>
        <w:gridCol w:w="496"/>
        <w:gridCol w:w="156"/>
        <w:gridCol w:w="1007"/>
        <w:gridCol w:w="206"/>
      </w:tblGrid>
      <w:tr>
        <w:trPr/>
        <w:tc>
          <w:tcPr>
            <w:tcW w:w="5074"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0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Expense</w:t>
            </w:r>
          </w:p>
        </w:tc>
        <w:tc>
          <w:tcPr>
            <w:tcW w:w="4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w:t>
            </w:r>
          </w:p>
        </w:tc>
        <w:tc>
          <w:tcPr>
            <w:tcW w:w="206" w:type="dxa"/>
            <w:tcBorders/>
            <w:shd w:fill="CCEEFF" w:val="clear"/>
            <w:vAlign w:val="bottom"/>
          </w:tcPr>
          <w:p>
            <w:pPr>
              <w:pStyle w:val="TableContents"/>
              <w:bidi w:val="0"/>
              <w:spacing w:before="0" w:after="283"/>
              <w:jc w:val="left"/>
              <w:rPr/>
            </w:pPr>
            <w:r>
              <w:rPr/>
              <w:t> </w:t>
            </w:r>
          </w:p>
        </w:tc>
      </w:tr>
      <w:tr>
        <w:trPr/>
        <w:tc>
          <w:tcPr>
            <w:tcW w:w="5074" w:type="dxa"/>
            <w:tcBorders/>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9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4,010.54</w:t>
            </w:r>
          </w:p>
        </w:tc>
        <w:tc>
          <w:tcPr>
            <w:tcW w:w="206" w:type="dxa"/>
            <w:tcBorders/>
            <w:vAlign w:val="bottom"/>
          </w:tcPr>
          <w:p>
            <w:pPr>
              <w:pStyle w:val="TableContents"/>
              <w:bidi w:val="0"/>
              <w:spacing w:before="0" w:after="283"/>
              <w:jc w:val="left"/>
              <w:rPr/>
            </w:pPr>
            <w:r>
              <w:rPr/>
              <w:t> </w:t>
            </w:r>
          </w:p>
        </w:tc>
      </w:tr>
      <w:tr>
        <w:trPr/>
        <w:tc>
          <w:tcPr>
            <w:tcW w:w="5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w:t>
            </w:r>
          </w:p>
        </w:tc>
        <w:tc>
          <w:tcPr>
            <w:tcW w:w="206" w:type="dxa"/>
            <w:tcBorders/>
            <w:shd w:fill="CCEEFF" w:val="clear"/>
            <w:vAlign w:val="bottom"/>
          </w:tcPr>
          <w:p>
            <w:pPr>
              <w:pStyle w:val="TableContents"/>
              <w:bidi w:val="0"/>
              <w:spacing w:before="0" w:after="283"/>
              <w:jc w:val="left"/>
              <w:rPr/>
            </w:pPr>
            <w:r>
              <w:rPr/>
              <w:t>* </w:t>
            </w:r>
          </w:p>
        </w:tc>
      </w:tr>
      <w:tr>
        <w:trPr/>
        <w:tc>
          <w:tcPr>
            <w:tcW w:w="5074"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9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w:t>
            </w:r>
          </w:p>
        </w:tc>
        <w:tc>
          <w:tcPr>
            <w:tcW w:w="206" w:type="dxa"/>
            <w:tcBorders/>
            <w:vAlign w:val="bottom"/>
          </w:tcPr>
          <w:p>
            <w:pPr>
              <w:pStyle w:val="TableContents"/>
              <w:bidi w:val="0"/>
              <w:spacing w:before="0" w:after="283"/>
              <w:jc w:val="left"/>
              <w:rPr/>
            </w:pPr>
            <w:r>
              <w:rPr/>
              <w:t>* </w:t>
            </w:r>
          </w:p>
        </w:tc>
      </w:tr>
      <w:tr>
        <w:trPr/>
        <w:tc>
          <w:tcPr>
            <w:tcW w:w="5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w:t>
            </w:r>
          </w:p>
        </w:tc>
        <w:tc>
          <w:tcPr>
            <w:tcW w:w="206" w:type="dxa"/>
            <w:tcBorders/>
            <w:shd w:fill="CCEEFF" w:val="clear"/>
            <w:vAlign w:val="bottom"/>
          </w:tcPr>
          <w:p>
            <w:pPr>
              <w:pStyle w:val="TableContents"/>
              <w:bidi w:val="0"/>
              <w:spacing w:before="0" w:after="283"/>
              <w:jc w:val="left"/>
              <w:rPr/>
            </w:pPr>
            <w:r>
              <w:rPr/>
              <w:t>* </w:t>
            </w:r>
          </w:p>
        </w:tc>
      </w:tr>
      <w:tr>
        <w:trPr/>
        <w:tc>
          <w:tcPr>
            <w:tcW w:w="507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9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w:t>
            </w:r>
          </w:p>
        </w:tc>
        <w:tc>
          <w:tcPr>
            <w:tcW w:w="206" w:type="dxa"/>
            <w:tcBorders/>
            <w:vAlign w:val="bottom"/>
          </w:tcPr>
          <w:p>
            <w:pPr>
              <w:pStyle w:val="TableContents"/>
              <w:bidi w:val="0"/>
              <w:spacing w:before="0" w:after="283"/>
              <w:jc w:val="left"/>
              <w:rPr/>
            </w:pPr>
            <w:r>
              <w:rPr/>
              <w:t>* </w:t>
            </w:r>
          </w:p>
        </w:tc>
      </w:tr>
      <w:tr>
        <w:trPr/>
        <w:tc>
          <w:tcPr>
            <w:tcW w:w="5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costs</w:t>
            </w:r>
          </w:p>
        </w:tc>
        <w:tc>
          <w:tcPr>
            <w:tcW w:w="49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w:t>
            </w:r>
          </w:p>
        </w:tc>
        <w:tc>
          <w:tcPr>
            <w:tcW w:w="20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amounts of fees and expenses to be incurred in connection with any offering of securities pursuant to this registration statement will be determined from time to time and reflected in the applicable prospectus supplement.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provided in a prospectus supplement describing an offering of securities or a report on Form 6-K that is incorporated by reference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915462_15"/>
      <w:bookmarkEnd w:id="1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White &amp; Case Advokat AB, Stockholm, Sweden, will pass upon the validity of the securities being registered hereby and certain other legal matters in connection with the registration of such securities. White &amp; Case LLP, Houston, Texas will pass certain matters of New York law for us in connection with the registration of certain securities being registered hereby. Additional legal matters may be passed upon for us and any underwriter that we will name in the applicable prospectus supplement. </w:t>
      </w:r>
    </w:p>
    <w:p>
      <w:pPr>
        <w:pStyle w:val="TextBody"/>
        <w:bidi w:val="0"/>
        <w:spacing w:before="480" w:after="0"/>
        <w:jc w:val="center"/>
        <w:rPr>
          <w:rFonts w:ascii="Times New Roman" w:hAnsi="Times New Roman"/>
          <w:b/>
          <w:sz w:val="20"/>
        </w:rPr>
      </w:pPr>
      <w:bookmarkStart w:id="18" w:name="tx915462_16"/>
      <w:bookmarkEnd w:id="1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Oatly Group AB appearing in Oatly Group ABs Annual Report on Form 20-F for the year ended December 31, 2024, and the effectiveness of Oatly Group ABs internal control over financial reporting as of December 31, 2024, have been audited by Ernst &amp; Young AB, independent registered public accounting firm, as set forth in its reports thereon, which conclude, among other things, that Oatly Group AB did not maintain effective internal control over financial reporting as of December 31, 2024 based on Internal ControlIntegrated Framework issued by the Committee of Sponsoring Organizations of the Treadway Commission (2013 framework) because of the effects of the material weaknesses described therein, included therein, and incorporated herein by reference. Such consolidated financial statements have been incorporated herein by reference in reliance upon such reports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business address of Ernst &amp; Young AB is Box 7850, 103 99, Stockholm, Sweden.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915462_17"/>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We are subject to the information requirements of the Exchange Act that are applicable to foreign private issuers. Accordingly, we are required to file reports and other information with the SEC, including annual reports on Form 20-F and disclosure furnished under cover of Form 6-K. The SEC maintains a website (</w:t>
      </w:r>
      <w:r>
        <w:rPr>
          <w:rFonts w:ascii="Times New Roman" w:hAnsi="Times New Roman"/>
          <w:i/>
          <w:sz w:val="20"/>
        </w:rPr>
        <w:t>www.sec.gov</w:t>
      </w:r>
      <w:r>
        <w:rPr>
          <w:rFonts w:ascii="Times New Roman" w:hAnsi="Times New Roman"/>
          <w:sz w:val="20"/>
        </w:rPr>
        <w:t>) that contains reports and other information regarding issuers, such as us, that file electronically with the SEC. We also maintain a website (</w:t>
      </w:r>
      <w:r>
        <w:rPr>
          <w:rFonts w:ascii="Times New Roman" w:hAnsi="Times New Roman"/>
          <w:i/>
          <w:sz w:val="20"/>
        </w:rPr>
        <w:t>https:// www.oatly.com</w:t>
      </w:r>
      <w:r>
        <w:rPr>
          <w:rFonts w:ascii="Times New Roman" w:hAnsi="Times New Roman"/>
          <w:sz w:val="20"/>
        </w:rPr>
        <w:t xml:space="preserve">), from which you can access such reports and other information free of charge as soon as reasonably practicable after such material is electronically filed with, or furnished to, the SEC. The information contained on, or that can be accessed through, our website is not a part of, and shall not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under the Exchange Act from rules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financial statements with the SEC as frequently or as promptly as U.S. companies whose securities are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send the depositary a copy of all notices of shareholders meetings and other reports, communications and information that are made generally available to shareholders. The depositary has agreed to mail to all holders of ADSs a notice containing the information (or a summary of the information) contained in any notice of a meeting of our shareholders received by the depositary and will make available to all holders of ADSs such notices and all such other reports and communications received by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and any applicable prospectus supplement, and later information that we file with the SEC will automatically update and supersede this information. This prospectus and any applicable prospectus supplement incorporate by reference the documents set forth below that have previously been filed with the SEC (other than those documents or the portions of those documents that are furnished unless otherwise specified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20-F</w:t>
              </w:r>
            </w:hyperlink>
            <w:r>
              <w:rPr>
                <w:rFonts w:ascii="Times New Roman" w:hAnsi="Times New Roman"/>
                <w:sz w:val="20"/>
              </w:rPr>
              <w:t xml:space="preserve"> for the fiscal year ended December 31, 2024 filed with the SEC on March 13,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6-K filed with the SEC on </w:t>
            </w:r>
            <w:hyperlink r:id="rId4">
              <w:r>
                <w:rPr>
                  <w:rStyle w:val="InternetLink"/>
                  <w:rFonts w:ascii="Times New Roman" w:hAnsi="Times New Roman"/>
                  <w:sz w:val="20"/>
                </w:rPr>
                <w:t>January 31, 2025</w:t>
              </w:r>
            </w:hyperlink>
            <w:r>
              <w:rPr>
                <w:rFonts w:ascii="Times New Roman" w:hAnsi="Times New Roman"/>
                <w:sz w:val="20"/>
              </w:rPr>
              <w:t xml:space="preserve">, </w:t>
            </w:r>
            <w:hyperlink r:id="rId5">
              <w:r>
                <w:rPr>
                  <w:rStyle w:val="InternetLink"/>
                  <w:rFonts w:ascii="Times New Roman" w:hAnsi="Times New Roman"/>
                  <w:sz w:val="20"/>
                </w:rPr>
                <w:t>February 12, 2025</w:t>
              </w:r>
            </w:hyperlink>
            <w:r>
              <w:rPr>
                <w:rFonts w:ascii="Times New Roman" w:hAnsi="Times New Roman"/>
                <w:sz w:val="20"/>
              </w:rPr>
              <w:t xml:space="preserve"> (only with respect to the information contained under the heading Amendments to Sustainable Revolving Credit Facility Agreement and Term Loan B Credit Agreement), </w:t>
            </w:r>
            <w:hyperlink r:id="rId6">
              <w:r>
                <w:rPr>
                  <w:rStyle w:val="InternetLink"/>
                  <w:rFonts w:ascii="Times New Roman" w:hAnsi="Times New Roman"/>
                  <w:sz w:val="20"/>
                </w:rPr>
                <w:t>February  18, 2025</w:t>
              </w:r>
            </w:hyperlink>
            <w:r>
              <w:rPr>
                <w:rFonts w:ascii="Times New Roman" w:hAnsi="Times New Roman"/>
                <w:sz w:val="20"/>
              </w:rPr>
              <w:t xml:space="preserve">, </w:t>
            </w:r>
            <w:hyperlink r:id="rId7">
              <w:r>
                <w:rPr>
                  <w:rStyle w:val="InternetLink"/>
                  <w:rFonts w:ascii="Times New Roman" w:hAnsi="Times New Roman"/>
                  <w:sz w:val="20"/>
                </w:rPr>
                <w:t>March  5, 2025</w:t>
              </w:r>
            </w:hyperlink>
            <w:r>
              <w:rPr>
                <w:rFonts w:ascii="Times New Roman" w:hAnsi="Times New Roman"/>
                <w:sz w:val="20"/>
              </w:rPr>
              <w:t xml:space="preserve">, </w:t>
            </w:r>
            <w:hyperlink r:id="rId8">
              <w:r>
                <w:rPr>
                  <w:rStyle w:val="InternetLink"/>
                  <w:rFonts w:ascii="Times New Roman" w:hAnsi="Times New Roman"/>
                  <w:sz w:val="20"/>
                </w:rPr>
                <w:t>April  11, 2025</w:t>
              </w:r>
            </w:hyperlink>
            <w:r>
              <w:rPr>
                <w:rFonts w:ascii="Times New Roman" w:hAnsi="Times New Roman"/>
                <w:sz w:val="20"/>
              </w:rPr>
              <w:t xml:space="preserve">, </w:t>
            </w:r>
            <w:hyperlink r:id="rId9">
              <w:r>
                <w:rPr>
                  <w:rStyle w:val="InternetLink"/>
                  <w:rFonts w:ascii="Times New Roman" w:hAnsi="Times New Roman"/>
                  <w:sz w:val="20"/>
                </w:rPr>
                <w:t>April 28,  2025</w:t>
              </w:r>
            </w:hyperlink>
            <w:r>
              <w:rPr>
                <w:rFonts w:ascii="Times New Roman" w:hAnsi="Times New Roman"/>
                <w:sz w:val="20"/>
              </w:rPr>
              <w:t xml:space="preserve">, and </w:t>
            </w:r>
            <w:hyperlink r:id="rId10">
              <w:r>
                <w:rPr>
                  <w:rStyle w:val="InternetLink"/>
                  <w:rFonts w:ascii="Times New Roman" w:hAnsi="Times New Roman"/>
                  <w:sz w:val="20"/>
                </w:rPr>
                <w:t>April 30,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securities contained in </w:t>
            </w:r>
            <w:hyperlink r:id="rId11">
              <w:r>
                <w:rPr>
                  <w:rStyle w:val="InternetLink"/>
                  <w:rFonts w:ascii="Times New Roman" w:hAnsi="Times New Roman"/>
                  <w:sz w:val="20"/>
                </w:rPr>
                <w:t>Exhibit 2.1</w:t>
              </w:r>
            </w:hyperlink>
            <w:r>
              <w:rPr>
                <w:rFonts w:ascii="Times New Roman" w:hAnsi="Times New Roman"/>
                <w:sz w:val="20"/>
              </w:rPr>
              <w:t xml:space="preserve"> to our Annual Report on Form 20-F for the fiscal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including any reports on Form 6-K that we specifically identify in such forms as being incorporated by reference, but excluding any information furnished to, rather than filed with, the SEC, will also be incorporated by reference into this prospectus and deemed to be part of this prospectus from the date of the filing of such reports and documents. The most recent information that we file with the SEC automatically updates and supersedes more dated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can obtain free of charge a copy of any documents that are incorporated by reference in this prospectus supplement at no cost, by writing or telephoning us at: </w:t>
      </w:r>
    </w:p>
    <w:p>
      <w:pPr>
        <w:pStyle w:val="TextBody"/>
        <w:bidi w:val="0"/>
        <w:spacing w:before="480" w:after="0"/>
        <w:jc w:val="center"/>
        <w:rPr>
          <w:rFonts w:ascii="Times New Roman" w:hAnsi="Times New Roman"/>
          <w:b/>
          <w:sz w:val="20"/>
        </w:rPr>
      </w:pPr>
      <w:r>
        <w:rPr>
          <w:rFonts w:ascii="Times New Roman" w:hAnsi="Times New Roman"/>
          <w:b/>
          <w:sz w:val="20"/>
        </w:rPr>
        <w:t xml:space="preserve">Oatly Group AB </w:t>
      </w:r>
    </w:p>
    <w:p>
      <w:pPr>
        <w:pStyle w:val="TextBody"/>
        <w:bidi w:val="0"/>
        <w:spacing w:before="0" w:after="0"/>
        <w:jc w:val="center"/>
        <w:rPr>
          <w:rFonts w:ascii="Times New Roman" w:hAnsi="Times New Roman"/>
          <w:b/>
          <w:sz w:val="20"/>
        </w:rPr>
      </w:pPr>
      <w:r>
        <w:rPr>
          <w:rFonts w:ascii="Times New Roman" w:hAnsi="Times New Roman"/>
          <w:b/>
          <w:sz w:val="20"/>
        </w:rPr>
        <w:t xml:space="preserve">Ångfärjekajen 8, </w:t>
      </w:r>
    </w:p>
    <w:p>
      <w:pPr>
        <w:pStyle w:val="TextBody"/>
        <w:bidi w:val="0"/>
        <w:spacing w:before="0" w:after="0"/>
        <w:jc w:val="center"/>
        <w:rPr>
          <w:rFonts w:ascii="Times New Roman" w:hAnsi="Times New Roman"/>
          <w:b/>
          <w:sz w:val="20"/>
        </w:rPr>
      </w:pPr>
      <w:r>
        <w:rPr>
          <w:rFonts w:ascii="Times New Roman" w:hAnsi="Times New Roman"/>
          <w:b/>
          <w:sz w:val="20"/>
        </w:rPr>
        <w:t xml:space="preserve">211 19 Malmö, </w:t>
      </w:r>
    </w:p>
    <w:p>
      <w:pPr>
        <w:pStyle w:val="TextBody"/>
        <w:bidi w:val="0"/>
        <w:spacing w:before="0" w:after="0"/>
        <w:jc w:val="center"/>
        <w:rPr>
          <w:rFonts w:ascii="Times New Roman" w:hAnsi="Times New Roman"/>
          <w:b/>
          <w:sz w:val="20"/>
        </w:rPr>
      </w:pPr>
      <w:r>
        <w:rPr>
          <w:rFonts w:ascii="Times New Roman" w:hAnsi="Times New Roman"/>
          <w:b/>
          <w:sz w:val="20"/>
        </w:rPr>
        <w:t xml:space="preserve">Sweden </w:t>
      </w:r>
    </w:p>
    <w:p>
      <w:pPr>
        <w:pStyle w:val="TextBody"/>
        <w:bidi w:val="0"/>
        <w:spacing w:before="0" w:after="0"/>
        <w:jc w:val="center"/>
        <w:rPr>
          <w:rFonts w:ascii="Times New Roman" w:hAnsi="Times New Roman"/>
          <w:b/>
          <w:sz w:val="20"/>
        </w:rPr>
      </w:pPr>
      <w:r>
        <w:rPr>
          <w:rFonts w:ascii="Times New Roman" w:hAnsi="Times New Roman"/>
          <w:b/>
          <w:sz w:val="20"/>
        </w:rPr>
        <w:t xml:space="preserve">Tel: +46 418 475500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pPr>
      <w:r>
        <w:rPr/>
        <w:drawing>
          <wp:inline distT="0" distB="0" distL="0" distR="0">
            <wp:extent cx="1304290" cy="12661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304290" cy="126619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6"/>
        </w:rPr>
      </w:pPr>
      <w:r>
        <w:rPr>
          <w:rFonts w:ascii="Times New Roman" w:hAnsi="Times New Roman"/>
          <w:b/>
          <w:sz w:val="36"/>
        </w:rPr>
        <w:t xml:space="preserve">2,757,430 American Depositary Shares representing Ordinary Shares </w:t>
      </w:r>
    </w:p>
    <w:p>
      <w:pPr>
        <w:pStyle w:val="TextBody"/>
        <w:bidi w:val="0"/>
        <w:spacing w:before="2400" w:after="0"/>
        <w:jc w:val="center"/>
        <w:rPr>
          <w:rFonts w:ascii="Times New Roman" w:hAnsi="Times New Roman"/>
          <w:b/>
          <w:sz w:val="20"/>
        </w:rPr>
      </w:pPr>
      <w:r>
        <w:rPr>
          <w:rFonts w:ascii="Times New Roman" w:hAnsi="Times New Roman"/>
          <w:b/>
          <w:sz w:val="20"/>
        </w:rPr>
        <w:t xml:space="preserve">Offered by Selling Security Holders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8. Indemnification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the Swedish Companies Act, we are empowered to indemnify our directors against any liability they incur by reason of their directorship. We maintain directors and officers insurance to insure such persons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theretofore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9.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9"/>
        <w:gridCol w:w="602"/>
        <w:gridCol w:w="8924"/>
      </w:tblGrid>
      <w:tr>
        <w:trPr/>
        <w:tc>
          <w:tcPr>
            <w:tcW w:w="679" w:type="dxa"/>
            <w:tcBorders/>
            <w:vAlign w:val="center"/>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8924" w:type="dxa"/>
            <w:tcBorders/>
            <w:vAlign w:val="center"/>
          </w:tcPr>
          <w:p>
            <w:pPr>
              <w:pStyle w:val="TableContents"/>
              <w:bidi w:val="0"/>
              <w:spacing w:before="0" w:after="283"/>
              <w:jc w:val="left"/>
              <w:rPr>
                <w:sz w:val="4"/>
                <w:szCs w:val="4"/>
              </w:rPr>
            </w:pPr>
            <w:r>
              <w:rPr>
                <w:sz w:val="4"/>
                <w:szCs w:val="4"/>
              </w:rPr>
            </w:r>
          </w:p>
        </w:tc>
      </w:tr>
      <w:tr>
        <w:trPr/>
        <w:tc>
          <w:tcPr>
            <w:tcW w:w="67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602" w:type="dxa"/>
            <w:tcBorders/>
            <w:vAlign w:val="bottom"/>
          </w:tcPr>
          <w:p>
            <w:pPr>
              <w:pStyle w:val="TableContents"/>
              <w:bidi w:val="0"/>
              <w:spacing w:before="0" w:after="283"/>
              <w:jc w:val="left"/>
              <w:rPr/>
            </w:pPr>
            <w:r>
              <w:rPr/>
              <w:t>  </w:t>
            </w:r>
          </w:p>
        </w:tc>
        <w:tc>
          <w:tcPr>
            <w:tcW w:w="89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Index</w:t>
            </w:r>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 </w:t>
            </w:r>
            <w:r>
              <w:rPr/>
              <w:t>1.1*</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r>
              <w:rPr/>
              <w:t>Form of Underwriting Agreement</w:t>
            </w:r>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 </w:t>
            </w:r>
            <w:r>
              <w:rPr/>
              <w:t>3.1</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hyperlink r:id="rId13">
              <w:r>
                <w:rPr>
                  <w:rStyle w:val="InternetLink"/>
                </w:rPr>
                <w:t xml:space="preserve">Articles of Association of Oatly Group AB, as amended on March  6, 2023, incorporated by reference to Exhibit 1.1 of the Annual Report on Form 20-F for the year ended December 31, 2023 filed with the SEC on March 22, 2024 </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 </w:t>
            </w:r>
            <w:r>
              <w:rPr/>
              <w:t>4.1</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hyperlink r:id="rId14">
              <w:r>
                <w:rPr>
                  <w:rStyle w:val="InternetLink"/>
                </w:rPr>
                <w:t>Deposit Agreement, incorporated by reference to Exhibit 2.2 of the Annual Report on Form 20-F for the year ended December 31, 2022 filed with the SEC on April 20, 2023 with respect to the ADSs representing ordinary shares</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 </w:t>
            </w:r>
            <w:r>
              <w:rPr/>
              <w:t>4.2</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hyperlink r:id="rId15">
              <w:r>
                <w:rPr>
                  <w:rStyle w:val="InternetLink"/>
                </w:rPr>
                <w:t xml:space="preserve">Amendment No. 1 to Deposit Agreement, incorporated by reference to Exhibit 2.3 of the Annual Report on Form 20-F for the year ended December 31, 2024 filed with the SEC on March 13, 2025 with respect to ADSs representing ordinary shares </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 </w:t>
            </w:r>
            <w:r>
              <w:rPr/>
              <w:t>4.3</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hyperlink r:id="rId16">
              <w:r>
                <w:rPr>
                  <w:rStyle w:val="InternetLink"/>
                </w:rPr>
                <w:t>Form of American Depositary Receipt, incorporated by reference to Exhibit 2.4 of the Annual Report on Form 20-F for the year ended December 31, 2024 filed with the SEC on March 13, 2025</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 </w:t>
            </w:r>
            <w:r>
              <w:rPr/>
              <w:t>4.4</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hyperlink r:id="rId17">
              <w:r>
                <w:rPr>
                  <w:rStyle w:val="InternetLink"/>
                </w:rPr>
                <w:t>Subscription Agreement, dated March 14, 2023, incorporated by reference to Exhibit 2.8 of the Annual Report on Form 20-F for the year ended December 31, 2024 filed with the SEC on March 13, 2025</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 </w:t>
            </w:r>
            <w:r>
              <w:rPr/>
              <w:t>5.1**</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hyperlink r:id="rId18">
              <w:r>
                <w:rPr>
                  <w:rStyle w:val="InternetLink"/>
                </w:rPr>
                <w:t>Opinion of White &amp; Case Advokat AB, Swedish counsel to the Registrant</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23.1**</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hyperlink r:id="rId19">
              <w:r>
                <w:rPr>
                  <w:rStyle w:val="InternetLink"/>
                </w:rPr>
                <w:t>Consent of White &amp; Case Advokat AB (included in Exhibit 5.1)</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23.2</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hyperlink w:anchor="d915462dex232.htm">
              <w:r>
                <w:rPr>
                  <w:rStyle w:val="InternetLink"/>
                </w:rPr>
                <w:t>Consent of Ernst &amp; Young AB</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24.1**</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r>
              <w:fldChar w:fldCharType="begin"/>
            </w:r>
            <w:r>
              <w:rPr>
                <w:rStyle w:val="InternetLink"/>
              </w:rPr>
              <w:instrText xml:space="preserve"> HYPERLINK "http://www.sec.gov/Archives/edgar/data/1843586/000119312525062651/d915462df3.htm" \l "sig"</w:instrText>
            </w:r>
            <w:r>
              <w:rPr>
                <w:rStyle w:val="InternetLink"/>
              </w:rPr>
              <w:fldChar w:fldCharType="separate"/>
            </w:r>
            <w:r>
              <w:rPr>
                <w:rStyle w:val="InternetLink"/>
              </w:rPr>
              <w:t>Power of Attorney (included in the signature pages hereto)</w:t>
            </w:r>
            <w:r>
              <w:rPr>
                <w:rStyle w:val="InternetLink"/>
              </w:rPr>
              <w:fldChar w:fldCharType="end"/>
            </w:r>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107**</w:t>
            </w:r>
          </w:p>
        </w:tc>
        <w:tc>
          <w:tcPr>
            <w:tcW w:w="602" w:type="dxa"/>
            <w:tcBorders/>
            <w:vAlign w:val="bottom"/>
          </w:tcPr>
          <w:p>
            <w:pPr>
              <w:pStyle w:val="TableContents"/>
              <w:bidi w:val="0"/>
              <w:spacing w:before="0" w:after="283"/>
              <w:jc w:val="left"/>
              <w:rPr/>
            </w:pPr>
            <w:r>
              <w:rPr/>
              <w:t>  </w:t>
            </w:r>
          </w:p>
        </w:tc>
        <w:tc>
          <w:tcPr>
            <w:tcW w:w="8924" w:type="dxa"/>
            <w:tcBorders/>
          </w:tcPr>
          <w:p>
            <w:pPr>
              <w:pStyle w:val="TableContents"/>
              <w:bidi w:val="0"/>
              <w:spacing w:before="0" w:after="283"/>
              <w:jc w:val="left"/>
              <w:rPr/>
            </w:pPr>
            <w:hyperlink r:id="rId20">
              <w:r>
                <w:rPr>
                  <w:rStyle w:val="InternetLink"/>
                </w:rPr>
                <w:t>Calculation of Filing Fee Tables</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incorporated by reference in connection with the offering of a class of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10.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as amended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clauses (a)(1)(i), (a)(1)(ii), and (a)(1)(iii) above do not apply if the information required to be included in a post-effective amendment by those paragraphs is contained in reports filed with or furnished to the SEC by the registrant pursuant to Sections 13 or 15(d) of the Securities Exchange Act of 1934, as amended,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SEC by the registrant pursuant to Sections 13 or 15(d) of the Exchange Act that are incorporated by reference in the Form F-3.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Sections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sig"/>
      <w:bookmarkEnd w:id="2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Malmö, Sweden on April 30,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1"/>
        <w:gridCol w:w="61"/>
        <w:gridCol w:w="3630"/>
      </w:tblGrid>
      <w:tr>
        <w:trPr/>
        <w:tc>
          <w:tcPr>
            <w:tcW w:w="39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OATLY GROUP AB</w:t>
            </w:r>
          </w:p>
        </w:tc>
      </w:tr>
      <w:tr>
        <w:trPr>
          <w:trHeight w:val="240" w:hRule="atLeast"/>
        </w:trPr>
        <w:tc>
          <w:tcPr>
            <w:tcW w:w="391" w:type="dxa"/>
            <w:tcBorders/>
            <w:vAlign w:val="center"/>
          </w:tcPr>
          <w:p>
            <w:pPr>
              <w:pStyle w:val="TableContents"/>
              <w:bidi w:val="0"/>
              <w:spacing w:before="0" w:after="283"/>
              <w:jc w:val="left"/>
              <w:rPr>
                <w:sz w:val="4"/>
                <w:szCs w:val="4"/>
              </w:rPr>
            </w:pPr>
            <w:r>
              <w:rPr>
                <w:sz w:val="4"/>
                <w:szCs w:val="4"/>
              </w:rPr>
            </w:r>
          </w:p>
        </w:tc>
        <w:tc>
          <w:tcPr>
            <w:tcW w:w="3691" w:type="dxa"/>
            <w:gridSpan w:val="2"/>
            <w:tcBorders/>
            <w:vAlign w:val="center"/>
          </w:tcPr>
          <w:p>
            <w:pPr>
              <w:pStyle w:val="TableContents"/>
              <w:bidi w:val="0"/>
              <w:spacing w:before="0" w:after="283"/>
              <w:jc w:val="left"/>
              <w:rPr>
                <w:sz w:val="4"/>
                <w:szCs w:val="4"/>
              </w:rPr>
            </w:pPr>
            <w:r>
              <w:rPr>
                <w:sz w:val="4"/>
                <w:szCs w:val="4"/>
              </w:rPr>
            </w:r>
          </w:p>
        </w:tc>
      </w:tr>
      <w:tr>
        <w:trPr/>
        <w:tc>
          <w:tcPr>
            <w:tcW w:w="391"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0"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Jean-Christophe Flatin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Jean-Christophe Flatin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60"/>
        <w:gridCol w:w="120"/>
        <w:gridCol w:w="3635"/>
        <w:gridCol w:w="193"/>
        <w:gridCol w:w="1897"/>
      </w:tblGrid>
      <w:tr>
        <w:trPr/>
        <w:tc>
          <w:tcPr>
            <w:tcW w:w="43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43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63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93" w:type="dxa"/>
            <w:tcBorders/>
            <w:vAlign w:val="bottom"/>
          </w:tcPr>
          <w:p>
            <w:pPr>
              <w:pStyle w:val="TableContents"/>
              <w:bidi w:val="0"/>
              <w:spacing w:before="0" w:after="283"/>
              <w:jc w:val="left"/>
              <w:rPr/>
            </w:pPr>
            <w:r>
              <w:rPr/>
              <w:t> </w:t>
            </w:r>
          </w:p>
        </w:tc>
        <w:tc>
          <w:tcPr>
            <w:tcW w:w="189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Jean-Christophe Flatin</w:t>
            </w:r>
          </w:p>
          <w:p>
            <w:pPr>
              <w:pStyle w:val="TableContents"/>
              <w:bidi w:val="0"/>
              <w:spacing w:before="0" w:after="20"/>
              <w:jc w:val="left"/>
              <w:rPr>
                <w:rFonts w:ascii="Times New Roman" w:hAnsi="Times New Roman"/>
                <w:sz w:val="20"/>
              </w:rPr>
            </w:pPr>
            <w:r>
              <w:rPr>
                <w:rFonts w:ascii="Times New Roman" w:hAnsi="Times New Roman"/>
                <w:sz w:val="20"/>
              </w:rPr>
              <w:t>Jean-Christophe Flatin</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Marie-José David</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and Accounting Officer</w:t>
            </w:r>
            <w:r>
              <w:rPr>
                <w:rFonts w:ascii="Times New Roman" w:hAnsi="Times New Roman"/>
                <w:sz w:val="20"/>
              </w:rPr>
              <w:t>)</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Eric Melloul</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center"/>
              <w:rPr/>
            </w:pPr>
            <w:r>
              <w:rPr/>
              <w:t>Board Member</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Ann Chung</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center"/>
              <w:rPr/>
            </w:pPr>
            <w:r>
              <w:rPr/>
              <w:t>Board Member</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Bernard Hours</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center"/>
              <w:rPr/>
            </w:pPr>
            <w:r>
              <w:rPr/>
              <w:t>Board Member</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Lillis Härd</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center"/>
              <w:rPr/>
            </w:pPr>
            <w:r>
              <w:rPr/>
              <w:t>Board Member</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Hannah Jones</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center"/>
              <w:rPr/>
            </w:pPr>
            <w:r>
              <w:rPr/>
              <w:t>Board Member</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Frances Rathke</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center"/>
              <w:rPr/>
            </w:pPr>
            <w:r>
              <w:rPr/>
              <w:t>Board Member</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Gregory Christenson</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center"/>
              <w:rPr/>
            </w:pPr>
            <w:r>
              <w:rPr/>
              <w:t>Board Member</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Yawen Wu</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center"/>
              <w:rPr/>
            </w:pPr>
            <w:r>
              <w:rPr/>
              <w:t>Board Member</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r>
        <w:trPr>
          <w:trHeight w:val="240" w:hRule="atLeast"/>
        </w:trPr>
        <w:tc>
          <w:tcPr>
            <w:tcW w:w="436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2090" w:type="dxa"/>
            <w:gridSpan w:val="2"/>
            <w:tcBorders/>
            <w:vAlign w:val="center"/>
          </w:tcPr>
          <w:p>
            <w:pPr>
              <w:pStyle w:val="TableContents"/>
              <w:bidi w:val="0"/>
              <w:spacing w:before="0" w:after="283"/>
              <w:jc w:val="left"/>
              <w:rPr>
                <w:sz w:val="4"/>
                <w:szCs w:val="4"/>
              </w:rPr>
            </w:pPr>
            <w:r>
              <w:rPr>
                <w:sz w:val="4"/>
                <w:szCs w:val="4"/>
              </w:rPr>
            </w:r>
          </w:p>
        </w:tc>
      </w:tr>
      <w:tr>
        <w:trPr/>
        <w:tc>
          <w:tcPr>
            <w:tcW w:w="436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Lai Shu Tuen-Muk</w:t>
            </w:r>
          </w:p>
        </w:tc>
        <w:tc>
          <w:tcPr>
            <w:tcW w:w="12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283"/>
              <w:jc w:val="center"/>
              <w:rPr/>
            </w:pPr>
            <w:r>
              <w:rPr/>
              <w:t>Board Member</w:t>
            </w:r>
          </w:p>
        </w:tc>
        <w:tc>
          <w:tcPr>
            <w:tcW w:w="193"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center"/>
              <w:rPr/>
            </w:pPr>
            <w:r>
              <w:rPr/>
              <w:t>April 30,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49"/>
        <w:gridCol w:w="120"/>
        <w:gridCol w:w="3513"/>
        <w:gridCol w:w="203"/>
        <w:gridCol w:w="1920"/>
      </w:tblGrid>
      <w:tr>
        <w:trPr/>
        <w:tc>
          <w:tcPr>
            <w:tcW w:w="44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44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1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3" w:type="dxa"/>
            <w:tcBorders/>
            <w:vAlign w:val="bottom"/>
          </w:tcPr>
          <w:p>
            <w:pPr>
              <w:pStyle w:val="TableContents"/>
              <w:bidi w:val="0"/>
              <w:spacing w:before="0" w:after="283"/>
              <w:jc w:val="left"/>
              <w:rPr/>
            </w:pPr>
            <w:r>
              <w:rPr/>
              <w:t> </w:t>
            </w:r>
          </w:p>
        </w:tc>
        <w:tc>
          <w:tcPr>
            <w:tcW w:w="192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449" w:type="dxa"/>
            <w:tcBorders/>
            <w:vAlign w:val="center"/>
          </w:tcPr>
          <w:p>
            <w:pPr>
              <w:pStyle w:val="TableContents"/>
              <w:bidi w:val="0"/>
              <w:spacing w:before="0" w:after="283"/>
              <w:jc w:val="left"/>
              <w:rPr>
                <w:sz w:val="4"/>
                <w:szCs w:val="4"/>
              </w:rPr>
            </w:pPr>
            <w:r>
              <w:rPr>
                <w:sz w:val="4"/>
                <w:szCs w:val="4"/>
              </w:rPr>
            </w:r>
          </w:p>
        </w:tc>
        <w:tc>
          <w:tcPr>
            <w:tcW w:w="3633" w:type="dxa"/>
            <w:gridSpan w:val="2"/>
            <w:tcBorders/>
            <w:vAlign w:val="center"/>
          </w:tcPr>
          <w:p>
            <w:pPr>
              <w:pStyle w:val="TableContents"/>
              <w:bidi w:val="0"/>
              <w:spacing w:before="0" w:after="283"/>
              <w:jc w:val="left"/>
              <w:rPr>
                <w:sz w:val="4"/>
                <w:szCs w:val="4"/>
              </w:rPr>
            </w:pPr>
            <w:r>
              <w:rPr>
                <w:sz w:val="4"/>
                <w:szCs w:val="4"/>
              </w:rPr>
            </w:r>
          </w:p>
        </w:tc>
        <w:tc>
          <w:tcPr>
            <w:tcW w:w="2123" w:type="dxa"/>
            <w:gridSpan w:val="2"/>
            <w:tcBorders/>
            <w:vAlign w:val="center"/>
          </w:tcPr>
          <w:p>
            <w:pPr>
              <w:pStyle w:val="TableContents"/>
              <w:bidi w:val="0"/>
              <w:spacing w:before="0" w:after="283"/>
              <w:jc w:val="left"/>
              <w:rPr>
                <w:sz w:val="4"/>
                <w:szCs w:val="4"/>
              </w:rPr>
            </w:pPr>
            <w:r>
              <w:rPr>
                <w:sz w:val="4"/>
                <w:szCs w:val="4"/>
              </w:rPr>
            </w:r>
          </w:p>
        </w:tc>
      </w:tr>
      <w:tr>
        <w:trPr/>
        <w:tc>
          <w:tcPr>
            <w:tcW w:w="444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Xin Wang</w:t>
            </w:r>
          </w:p>
        </w:tc>
        <w:tc>
          <w:tcPr>
            <w:tcW w:w="120" w:type="dxa"/>
            <w:tcBorders/>
            <w:vAlign w:val="bottom"/>
          </w:tcPr>
          <w:p>
            <w:pPr>
              <w:pStyle w:val="TableContents"/>
              <w:bidi w:val="0"/>
              <w:spacing w:before="0" w:after="283"/>
              <w:jc w:val="left"/>
              <w:rPr/>
            </w:pPr>
            <w:r>
              <w:rPr/>
              <w:t>  </w:t>
            </w:r>
          </w:p>
        </w:tc>
        <w:tc>
          <w:tcPr>
            <w:tcW w:w="3513" w:type="dxa"/>
            <w:tcBorders/>
          </w:tcPr>
          <w:p>
            <w:pPr>
              <w:pStyle w:val="TableContents"/>
              <w:bidi w:val="0"/>
              <w:spacing w:before="0" w:after="283"/>
              <w:jc w:val="center"/>
              <w:rPr/>
            </w:pPr>
            <w:r>
              <w:rPr/>
              <w:t>Board Member</w:t>
            </w:r>
          </w:p>
        </w:tc>
        <w:tc>
          <w:tcPr>
            <w:tcW w:w="203"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center"/>
              <w:rPr/>
            </w:pPr>
            <w:r>
              <w:rPr/>
              <w:t>April 30, 2025</w:t>
            </w:r>
          </w:p>
        </w:tc>
      </w:tr>
      <w:tr>
        <w:trPr>
          <w:trHeight w:val="240" w:hRule="atLeast"/>
        </w:trPr>
        <w:tc>
          <w:tcPr>
            <w:tcW w:w="4449" w:type="dxa"/>
            <w:tcBorders/>
            <w:vAlign w:val="center"/>
          </w:tcPr>
          <w:p>
            <w:pPr>
              <w:pStyle w:val="TableContents"/>
              <w:bidi w:val="0"/>
              <w:spacing w:before="0" w:after="283"/>
              <w:jc w:val="left"/>
              <w:rPr>
                <w:sz w:val="4"/>
                <w:szCs w:val="4"/>
              </w:rPr>
            </w:pPr>
            <w:r>
              <w:rPr>
                <w:sz w:val="4"/>
                <w:szCs w:val="4"/>
              </w:rPr>
            </w:r>
          </w:p>
        </w:tc>
        <w:tc>
          <w:tcPr>
            <w:tcW w:w="3633" w:type="dxa"/>
            <w:gridSpan w:val="2"/>
            <w:tcBorders/>
            <w:vAlign w:val="center"/>
          </w:tcPr>
          <w:p>
            <w:pPr>
              <w:pStyle w:val="TableContents"/>
              <w:bidi w:val="0"/>
              <w:spacing w:before="0" w:after="283"/>
              <w:jc w:val="left"/>
              <w:rPr>
                <w:sz w:val="4"/>
                <w:szCs w:val="4"/>
              </w:rPr>
            </w:pPr>
            <w:r>
              <w:rPr>
                <w:sz w:val="4"/>
                <w:szCs w:val="4"/>
              </w:rPr>
            </w:r>
          </w:p>
        </w:tc>
        <w:tc>
          <w:tcPr>
            <w:tcW w:w="2123" w:type="dxa"/>
            <w:gridSpan w:val="2"/>
            <w:tcBorders/>
            <w:vAlign w:val="center"/>
          </w:tcPr>
          <w:p>
            <w:pPr>
              <w:pStyle w:val="TableContents"/>
              <w:bidi w:val="0"/>
              <w:spacing w:before="0" w:after="283"/>
              <w:jc w:val="left"/>
              <w:rPr>
                <w:sz w:val="4"/>
                <w:szCs w:val="4"/>
              </w:rPr>
            </w:pPr>
            <w:r>
              <w:rPr>
                <w:sz w:val="4"/>
                <w:szCs w:val="4"/>
              </w:rPr>
            </w:r>
          </w:p>
        </w:tc>
      </w:tr>
      <w:tr>
        <w:trPr/>
        <w:tc>
          <w:tcPr>
            <w:tcW w:w="444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Martin Brok</w:t>
            </w:r>
          </w:p>
        </w:tc>
        <w:tc>
          <w:tcPr>
            <w:tcW w:w="120" w:type="dxa"/>
            <w:tcBorders/>
            <w:vAlign w:val="bottom"/>
          </w:tcPr>
          <w:p>
            <w:pPr>
              <w:pStyle w:val="TableContents"/>
              <w:bidi w:val="0"/>
              <w:spacing w:before="0" w:after="283"/>
              <w:jc w:val="left"/>
              <w:rPr/>
            </w:pPr>
            <w:r>
              <w:rPr/>
              <w:t>  </w:t>
            </w:r>
          </w:p>
        </w:tc>
        <w:tc>
          <w:tcPr>
            <w:tcW w:w="3513" w:type="dxa"/>
            <w:tcBorders/>
          </w:tcPr>
          <w:p>
            <w:pPr>
              <w:pStyle w:val="TableContents"/>
              <w:bidi w:val="0"/>
              <w:spacing w:before="0" w:after="283"/>
              <w:jc w:val="center"/>
              <w:rPr/>
            </w:pPr>
            <w:r>
              <w:rPr/>
              <w:t>Board Member</w:t>
            </w:r>
          </w:p>
        </w:tc>
        <w:tc>
          <w:tcPr>
            <w:tcW w:w="203" w:type="dxa"/>
            <w:tcBorders/>
            <w:vAlign w:val="bottom"/>
          </w:tcPr>
          <w:p>
            <w:pPr>
              <w:pStyle w:val="TableContents"/>
              <w:bidi w:val="0"/>
              <w:spacing w:before="0" w:after="283"/>
              <w:jc w:val="left"/>
              <w:rPr/>
            </w:pPr>
            <w:r>
              <w:rPr/>
              <w:t> </w:t>
            </w:r>
          </w:p>
        </w:tc>
        <w:tc>
          <w:tcPr>
            <w:tcW w:w="1920" w:type="dxa"/>
            <w:tcBorders/>
          </w:tcPr>
          <w:p>
            <w:pPr>
              <w:pStyle w:val="TableContents"/>
              <w:bidi w:val="0"/>
              <w:spacing w:before="0" w:after="283"/>
              <w:jc w:val="center"/>
              <w:rPr/>
            </w:pPr>
            <w:r>
              <w:rPr/>
              <w:t>April 30, 2025</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39"/>
        <w:gridCol w:w="80"/>
        <w:gridCol w:w="430"/>
        <w:gridCol w:w="67"/>
        <w:gridCol w:w="3366"/>
      </w:tblGrid>
      <w:tr>
        <w:trPr/>
        <w:tc>
          <w:tcPr>
            <w:tcW w:w="139"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w:t>
            </w:r>
          </w:p>
        </w:tc>
        <w:tc>
          <w:tcPr>
            <w:tcW w:w="80" w:type="dxa"/>
            <w:tcBorders/>
            <w:vAlign w:val="bottom"/>
          </w:tcPr>
          <w:p>
            <w:pPr>
              <w:pStyle w:val="TableContents"/>
              <w:bidi w:val="0"/>
              <w:spacing w:before="0" w:after="283"/>
              <w:jc w:val="left"/>
              <w:rPr/>
            </w:pPr>
            <w:r>
              <w:rPr/>
              <w:t> </w:t>
            </w:r>
          </w:p>
        </w:tc>
        <w:tc>
          <w:tcPr>
            <w:tcW w:w="430"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336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Jean-Christophe Flatin</w:t>
            </w:r>
          </w:p>
        </w:tc>
      </w:tr>
      <w:tr>
        <w:trPr/>
        <w:tc>
          <w:tcPr>
            <w:tcW w:w="139"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863" w:type="dxa"/>
            <w:gridSpan w:val="3"/>
            <w:tcBorders/>
          </w:tcPr>
          <w:p>
            <w:pPr>
              <w:pStyle w:val="TableContents"/>
              <w:bidi w:val="0"/>
              <w:spacing w:before="0" w:after="283"/>
              <w:jc w:val="left"/>
              <w:rPr/>
            </w:pPr>
            <w:r>
              <w:rPr/>
              <w:t>Name: Jean-Christophe Flatin</w:t>
            </w:r>
          </w:p>
        </w:tc>
      </w:tr>
      <w:tr>
        <w:trPr/>
        <w:tc>
          <w:tcPr>
            <w:tcW w:w="139"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3863" w:type="dxa"/>
            <w:gridSpan w:val="3"/>
            <w:tcBorders/>
          </w:tcPr>
          <w:p>
            <w:pPr>
              <w:pStyle w:val="TableContents"/>
              <w:bidi w:val="0"/>
              <w:spacing w:before="0" w:after="283"/>
              <w:jc w:val="left"/>
              <w:rPr/>
            </w:pPr>
            <w:r>
              <w:rPr/>
              <w:t>Title: Attorney-in-Fact</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AUTHORIZED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undersigned, the duly authorized representative in the United States of Oatly Group AB has signed this registration statement on April 30,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Oatly Inc.</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Merritt</w:t>
            </w:r>
          </w:p>
        </w:tc>
      </w:tr>
      <w:tr>
        <w:trPr/>
        <w:tc>
          <w:tcPr>
            <w:tcW w:w="4082" w:type="dxa"/>
            <w:gridSpan w:val="3"/>
            <w:tcBorders/>
          </w:tcPr>
          <w:p>
            <w:pPr>
              <w:pStyle w:val="TableContents"/>
              <w:bidi w:val="0"/>
              <w:spacing w:before="0" w:after="283"/>
              <w:jc w:val="left"/>
              <w:rPr/>
            </w:pPr>
            <w:r>
              <w:rPr/>
              <w:t>Name: Matthew Merritt</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21" w:name="d915462dex232.htm"/>
      <w:bookmarkStart w:id="22" w:name="ksd915462dex232"/>
      <w:bookmarkEnd w:id="21"/>
      <w:bookmarkEnd w:id="22"/>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this Registration Statement on Form F-3 and related Prospectus of Oatly Group AB for the registration of American Depositary Shares representing ordinary shares offered by selling security holders, and to the incorporation by reference therein of our reports dated March 13, 2025, with respect to the consolidated financial statements of Oatly Group AB, and the effectiveness of internal control over financial reporting of Oatly Group AB, included in its Annual Report on Form 20-F for the year ended December 31, 2024,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AB </w:t>
      </w:r>
    </w:p>
    <w:p>
      <w:pPr>
        <w:pStyle w:val="TextBody"/>
        <w:bidi w:val="0"/>
        <w:spacing w:before="240" w:after="0"/>
        <w:jc w:val="left"/>
        <w:rPr>
          <w:rFonts w:ascii="Times New Roman" w:hAnsi="Times New Roman"/>
          <w:sz w:val="20"/>
        </w:rPr>
      </w:pPr>
      <w:r>
        <w:rPr>
          <w:rFonts w:ascii="Times New Roman" w:hAnsi="Times New Roman"/>
          <w:sz w:val="20"/>
        </w:rPr>
        <w:t xml:space="preserve">Stockholm, Sweden </w:t>
      </w:r>
    </w:p>
    <w:p>
      <w:pPr>
        <w:pStyle w:val="TextBody"/>
        <w:bidi w:val="0"/>
        <w:spacing w:before="0" w:after="0"/>
        <w:jc w:val="left"/>
        <w:rPr>
          <w:rFonts w:ascii="Times New Roman" w:hAnsi="Times New Roman"/>
          <w:sz w:val="20"/>
        </w:rPr>
      </w:pPr>
      <w:r>
        <w:rPr>
          <w:rFonts w:ascii="Times New Roman" w:hAnsi="Times New Roman"/>
          <w:sz w:val="20"/>
        </w:rPr>
        <w:t xml:space="preserve">April 30, 2025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43586/000095017025038739/otly-20241231.htm" TargetMode="External"/><Relationship Id="rId4" Type="http://schemas.openxmlformats.org/officeDocument/2006/relationships/hyperlink" Target="http://www.sec.gov/Archives/edgar/data/1843586/000095017025011432/otly_6k_adr_ratio_change.htm" TargetMode="External"/><Relationship Id="rId5" Type="http://schemas.openxmlformats.org/officeDocument/2006/relationships/hyperlink" Target="http://www.sec.gov/Archives/edgar/data/1843586/000095017025018403/otly_6k_pr_ye24.htm" TargetMode="External"/><Relationship Id="rId6" Type="http://schemas.openxmlformats.org/officeDocument/2006/relationships/hyperlink" Target="http://www.sec.gov/Archives/edgar/data/1843586/000095017025022262/otly_6k_adr_ratio_change.htm" TargetMode="External"/><Relationship Id="rId7" Type="http://schemas.openxmlformats.org/officeDocument/2006/relationships/hyperlink" Target="http://www.sec.gov/Archives/edgar/data/1843586/000095017025033083/otly_6k_nasdaq_recomplia.htm" TargetMode="External"/><Relationship Id="rId8" Type="http://schemas.openxmlformats.org/officeDocument/2006/relationships/hyperlink" Target="http://www.sec.gov/Archives/edgar/data/1843586/000095017025053015/otly_6k_agm_notice_2025.htm" TargetMode="External"/><Relationship Id="rId9" Type="http://schemas.openxmlformats.org/officeDocument/2006/relationships/hyperlink" Target="http://www.sec.gov/Archives/edgar/data/1843586/000095017025059292/otly_6k_english_ar_ye24.htm" TargetMode="External"/><Relationship Id="rId10" Type="http://schemas.openxmlformats.org/officeDocument/2006/relationships/hyperlink" Target="http://www.sec.gov/Archives/edgar/data/1843586/000095017025061038/otly_6k_1q25.htm" TargetMode="External"/><Relationship Id="rId11" Type="http://schemas.openxmlformats.org/officeDocument/2006/relationships/hyperlink" Target="http://www.sec.gov/Archives/edgar/data/1843586/000095017025038739/otly-ex2_1.htm" TargetMode="External"/><Relationship Id="rId12" Type="http://schemas.openxmlformats.org/officeDocument/2006/relationships/image" Target="media/image1.jpeg"/><Relationship Id="rId13" Type="http://schemas.openxmlformats.org/officeDocument/2006/relationships/hyperlink" Target="http://www.sec.gov/Archives/edgar/data/1843586/000095017023006121/otly-ex1_1.htm" TargetMode="External"/><Relationship Id="rId14" Type="http://schemas.openxmlformats.org/officeDocument/2006/relationships/hyperlink" Target="http://www.sec.gov/Archives/edgar/data/1843586/000156459022013633/otly-ex22_320.htm" TargetMode="External"/><Relationship Id="rId15" Type="http://schemas.openxmlformats.org/officeDocument/2006/relationships/hyperlink" Target="http://www.sec.gov/Archives/edgar/data/1843586/000095017025038739/otly-ex2_3.htm" TargetMode="External"/><Relationship Id="rId16" Type="http://schemas.openxmlformats.org/officeDocument/2006/relationships/hyperlink" Target="http://www.sec.gov/Archives/edgar/data/1843586/000095017025038739/otly-ex2_3.htm" TargetMode="External"/><Relationship Id="rId17" Type="http://schemas.openxmlformats.org/officeDocument/2006/relationships/hyperlink" Target="http://www.sec.gov/Archives/edgar/data/1843586/000095017024035039/otly-ex2_7.htm" TargetMode="External"/><Relationship Id="rId18" Type="http://schemas.openxmlformats.org/officeDocument/2006/relationships/hyperlink" Target="http://www.sec.gov/Archives/edgar/data/1843586/000119312525062651/d915462dex51.htm" TargetMode="External"/><Relationship Id="rId19" Type="http://schemas.openxmlformats.org/officeDocument/2006/relationships/hyperlink" Target="http://www.sec.gov/Archives/edgar/data/1843586/000119312525062651/d915462dex51.htm" TargetMode="External"/><Relationship Id="rId20" Type="http://schemas.openxmlformats.org/officeDocument/2006/relationships/hyperlink" Target="http://www.sec.gov/Archives/edgar/data/1843586/000119312525062651/d915462dexfilingfees.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10860</Words>
  <Characters>57423</Characters>
  <CharactersWithSpaces>68237</CharactersWithSpaces>
  <Paragraphs>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