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333-286101</w:t>
      </w:r>
    </w:p>
    <w:p>
      <w:pPr>
        <w:spacing w:after="0" w:line="1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19685</wp:posOffset>
            </wp:positionV>
            <wp:extent cx="1165860" cy="1139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1139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2,757,430 American Depositary Shares representing Ordinary Shares</w:t>
      </w:r>
    </w:p>
    <w:p>
      <w:pPr>
        <w:spacing w:after="0" w:line="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Offered by Selling Security 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4"/>
          <w:szCs w:val="24"/>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selling security holders identified herein may offer and sell up to 2,757,430 American Depositary Shares, or ADSs, in each case from time to time in one or more offerings. This prospectus provides you with a general description of the securities.</w:t>
      </w:r>
    </w:p>
    <w:p>
      <w:pPr>
        <w:spacing w:after="0" w:line="27" w:lineRule="exact"/>
        <w:rPr>
          <w:sz w:val="24"/>
          <w:szCs w:val="24"/>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Each time one or more selling security holders sells securities pursuant to this prospectus, Oatly Group AB (“Oatly,” “we,” “us” or the “Company”) will provide a supplement to this prospectus that contains specific information about the offering and the specific terms of the securities offered. The prospectus supplement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31" w:lineRule="exact"/>
        <w:rPr>
          <w:sz w:val="24"/>
          <w:szCs w:val="24"/>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ADSs registered by this registration statement are issuable upon conversion of the Company’s 9.25% Convertible Senior PIK Notes due 2028 (“Convertible Notes”) issued by the Company to the selling security holders named herein. The ADSs registered herein consist of the issuance of additional ADSs based upon the conversion price of the Convertible Notes being reset from $1.81 to $1.36 per Ordinary Share on March 23, 2025, pursuant to the terms and conditions of the Convertible Notes. The Convertible Notes were issued in transactions exempt from registration requirements of the Securities Act. We are registering the resale of the ADSs as required by the Subscription Agreement, dated as of March 14, 2023 that we entered into with certain investors (the “Subscription Agreement”).</w:t>
      </w:r>
    </w:p>
    <w:p>
      <w:pPr>
        <w:spacing w:after="0" w:line="39" w:lineRule="exact"/>
        <w:rPr>
          <w:sz w:val="24"/>
          <w:szCs w:val="24"/>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Each ADS represents the right to receive twenty ordinary shares of the Company, each with a par value of $0.00018 (each, an “Ordinary Share”). Our ADSs are listed on The Nasdaq Global Select Market under the symbol “OTLY.” On April 29, 2025, the last reported sale price of the ADSs on The Nasdaq Global Select Market was $10.28 per ADS. A separate Registration Statement on Form F-6 for the registration of ADSs issuable upon deposit of the Ordinary Shares was previously filed with the Securities and Exchange Commission and became effective on March 22, 2024 (File</w:t>
      </w:r>
    </w:p>
    <w:p>
      <w:pPr>
        <w:spacing w:after="0" w:line="3" w:lineRule="exact"/>
        <w:rPr>
          <w:sz w:val="24"/>
          <w:szCs w:val="24"/>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No. 333-278165), which was subsequently amended by that Post-Effective Amendment No. 1 to Registration Statement on Form F-6, filed with the Securities and Exchange Commission, which became effective on February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118110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4" w:lineRule="exact"/>
        <w:rPr>
          <w:sz w:val="24"/>
          <w:szCs w:val="24"/>
          <w:color w:val="auto"/>
        </w:rPr>
      </w:pPr>
    </w:p>
    <w:p>
      <w:pPr>
        <w:ind w:left="120" w:right="60"/>
        <w:spacing w:after="0" w:line="239"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6 OF THIS PROSPECTUS. YOU SHOULD CAREFULLY CONSIDER THE RISKS AND UNCERTAINTIES DISCUSSED UNDER THE HEADING “RISK FACTORS” INCLUDED IN THE APPLICABLE PROSPECTUS SUPPLEMENT OR OTHER SIMILAR HEADINGS IN OTHER DOCUMENTS THAT ARE INCORPORATED BY REFERENCE IN THIS PROSPECTUS BEFORE INVESTING IN ANY OF OUR SECURITIES.</w:t>
      </w:r>
    </w:p>
    <w:p>
      <w:pPr>
        <w:spacing w:after="0" w:line="34" w:lineRule="exact"/>
        <w:rPr>
          <w:sz w:val="24"/>
          <w:szCs w:val="24"/>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Securities and Exchange Commission 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104140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15,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56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3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MARKET AND INDUSTRY DATA</w:t>
            </w:r>
          </w:p>
        </w:tc>
        <w:tc>
          <w:tcPr>
            <w:tcW w:w="324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26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COMPANY OVERVIEW</w:t>
            </w:r>
          </w:p>
        </w:tc>
        <w:tc>
          <w:tcPr>
            <w:tcW w:w="592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CORPORATE INFORMATION</w:t>
            </w:r>
          </w:p>
        </w:tc>
        <w:tc>
          <w:tcPr>
            <w:tcW w:w="622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8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2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 AND INDEBTEDNESS</w:t>
            </w:r>
          </w:p>
        </w:tc>
        <w:tc>
          <w:tcPr>
            <w:tcW w:w="528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64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ORDINARY SHARES AND AMERICAN DEPOSITARY SHARES</w:t>
            </w:r>
          </w:p>
        </w:tc>
        <w:tc>
          <w:tcPr>
            <w:tcW w:w="20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5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02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2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536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9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766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EXPENSES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710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4"/>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This prospectus is part of a shelf registration statement that we filed with the Securities and Exchange Commission, or the SEC. By using a shelf registration statement, the selling security holders may sell up to an aggregate of 2,757,430 ADSs at any time and from time to time and in one or more offerings. This prospectus does not contain all of the information included in the registration statement. For a more complete understanding of the offering of the securities, you should refer to the registration statement, including its exhibits. Each time the selling security holders sell securities described herein, we will provide a prospectus supplement to this prospectus that contains specific information about the securities being offered and sold and the specific terms of that offering. The prospectus supplement may also add, update or change information contained or incorporated by reference in this prospectus with respect to that offering.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left="120" w:right="240"/>
        <w:spacing w:after="0" w:line="289" w:lineRule="auto"/>
        <w:rPr>
          <w:sz w:val="20"/>
          <w:szCs w:val="20"/>
          <w:color w:val="auto"/>
        </w:rPr>
      </w:pPr>
      <w:r>
        <w:rPr>
          <w:rFonts w:ascii="Times New Roman" w:cs="Times New Roman" w:eastAsia="Times New Roman" w:hAnsi="Times New Roman"/>
          <w:sz w:val="17"/>
          <w:szCs w:val="17"/>
          <w:color w:val="auto"/>
        </w:rPr>
        <w:t>Before purchasing any securities, you should carefully read both this prospectus and any applicable prospectus supplement. You should also read the documents we have referred you to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below for information on the Company, the risks we face and our financial statements. The registration and exhibits can be read at the SEC’s website as described under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Neither we, nor any agent, underwriter or dealer, or the selling security holders have authorized anyone to provide you with information other than that contained in this prospectus or in any accompanying prospectus supplement or free writing prospectus prepared by or on behalf of us or to which we have referred you. We, any agent, underwriter or dealer, and the selling security holders take no responsibility for, and can provide no assurance as to the reliability of, any other information that others may give you. This prospectus is not an offer to sell or the solicitation of an offer to buy any securities other than the securities to which it relates, or an offer or solicitation in any jurisdiction where offers or sales are not permitted. You should assume that the information appearing in this prospectus and any applicable prospectus supplement is accurate only as of the date on its respective cover, even though this prospectus may be delivered or securities may be sold under this prospectus on a later date. Our business, financial condition, results of operations and prospects may have changed since those dates.</w:t>
      </w:r>
    </w:p>
    <w:p>
      <w:pPr>
        <w:spacing w:after="0" w:line="185"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For investors outside of the United States: We have not done anything that would permit possession or distribution of this prospectus in any jurisdiction where action for that purpose is required, other than in the United States. You are required to inform yourselves about, and to observe any restrictions relating to, the distribution of this prospectus outside of the United States.</w:t>
      </w:r>
    </w:p>
    <w:p>
      <w:pPr>
        <w:spacing w:after="0" w:line="173"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color w:val="auto"/>
        </w:rPr>
        <w:t>Unless the context otherwise requires, “</w:t>
      </w:r>
      <w:r>
        <w:rPr>
          <w:rFonts w:ascii="Times New Roman" w:cs="Times New Roman" w:eastAsia="Times New Roman" w:hAnsi="Times New Roman"/>
          <w:sz w:val="18"/>
          <w:szCs w:val="18"/>
          <w:i w:val="1"/>
          <w:iCs w:val="1"/>
          <w:color w:val="auto"/>
        </w:rPr>
        <w:t>Oatly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“Company</w:t>
      </w:r>
      <w:r>
        <w:rPr>
          <w:rFonts w:ascii="Times New Roman" w:cs="Times New Roman" w:eastAsia="Times New Roman" w:hAnsi="Times New Roman"/>
          <w:sz w:val="18"/>
          <w:szCs w:val="18"/>
          <w:color w:val="auto"/>
        </w:rPr>
        <w:t>” and similar terms refer to Oatly Group AB and its subsidiaries on a consolidated basis.</w:t>
      </w:r>
    </w:p>
    <w:p>
      <w:pPr>
        <w:spacing w:after="0" w:line="160" w:lineRule="exact"/>
        <w:rPr>
          <w:sz w:val="20"/>
          <w:szCs w:val="20"/>
          <w:color w:val="auto"/>
        </w:rPr>
      </w:pPr>
    </w:p>
    <w:p>
      <w:pPr>
        <w:ind w:left="120" w:right="500"/>
        <w:spacing w:after="0" w:line="224"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that are important to our business, many of which are registered under applicable intellectual property laws.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symbols, but such references are not</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intended to indicate, in any way, that we will not assert, to the fullest extent possible under applicable law, our rights or the rights of the applicable licensor to these trademarks and trade names. We do not intend our use or display of other companies’ trademarks, trade names or service marks to imply a relationship with, or endorsement or sponsorship of us by, any other companies. Each trademark, trade name or service mark of any other company appearing in this prospectus is the property of its respective holder.</w:t>
      </w:r>
    </w:p>
    <w:p>
      <w:pPr>
        <w:spacing w:after="0" w:line="11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320" w:top="455" w:right="8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Certain statements in this prospectus and any applicable prospectus supplement, including documents incorporated by reference herein or therein, are forward-looking statements within the meaning of the U.S. Private Securities Litigation Reform Act of 1995 that relate to our current expectations and views of future events.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prospectus and any applicable prospectus supplement other than statements of historical fact, including, without limitation, statements regarding our future operating results and financial position, our business strategy and plans, market growth opportunities and trends in the markets in which we operate, our geographic footprint, our sustainability goals and ambitions, expectations regarding demand and acceptance for our products and competition, expectations regarding the impact of macroeconomic effects, imposition of tariffs or other trade sanctions, supply chain constraints, and inflation, our objectives for future operations and our business, expectations regarding cost reductions, and our ability to raise additional capital to fund our operations, the sufficiency of our cash and cash equivalents, are forward-looking statements. Words or phrases such as “forecast”, “project”, “should”, “may”, “will”, “expect”, “anticipate”, “aim”, “estimate”, “intend”, “plan”, “believe”, “potential”, “continue”, “is/are likely to” or the negative of these terms and similar expressions are intended to identify forward-looking statements, though not all forward-looking statements use these words or expressions.</w:t>
      </w:r>
    </w:p>
    <w:p>
      <w:pPr>
        <w:spacing w:after="0" w:line="187"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These are neither promises nor guarantees, but involve known and unknown risks, uncertainties and other factors which may cause our actual results, performance or achievements to be materially different from any future results, performance or achievements expressed or implied by the forward-looking statements, including, but not limited to those described under the Item 3.D. “</w:t>
      </w:r>
      <w:r>
        <w:rPr>
          <w:rFonts w:ascii="Times New Roman" w:cs="Times New Roman" w:eastAsia="Times New Roman" w:hAnsi="Times New Roman"/>
          <w:sz w:val="18"/>
          <w:szCs w:val="18"/>
          <w:i w:val="1"/>
          <w:iCs w:val="1"/>
          <w:color w:val="auto"/>
        </w:rPr>
        <w:t>Key Information—Risk Factors</w:t>
      </w:r>
      <w:r>
        <w:rPr>
          <w:rFonts w:ascii="Times New Roman" w:cs="Times New Roman" w:eastAsia="Times New Roman" w:hAnsi="Times New Roman"/>
          <w:sz w:val="18"/>
          <w:szCs w:val="18"/>
          <w:color w:val="auto"/>
        </w:rPr>
        <w:t>” and Item 5. “</w:t>
      </w:r>
      <w:r>
        <w:rPr>
          <w:rFonts w:ascii="Times New Roman" w:cs="Times New Roman" w:eastAsia="Times New Roman" w:hAnsi="Times New Roman"/>
          <w:sz w:val="18"/>
          <w:szCs w:val="18"/>
          <w:i w:val="1"/>
          <w:iCs w:val="1"/>
          <w:color w:val="auto"/>
        </w:rPr>
        <w:t>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Review and Prospects</w:t>
      </w:r>
      <w:r>
        <w:rPr>
          <w:rFonts w:ascii="Times New Roman" w:cs="Times New Roman" w:eastAsia="Times New Roman" w:hAnsi="Times New Roman"/>
          <w:sz w:val="18"/>
          <w:szCs w:val="18"/>
          <w:color w:val="auto"/>
        </w:rPr>
        <w:t>” in our Annual Report on Form 20-F filed on March 13, 2025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and any applicable prospectus supplement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herein.</w:t>
      </w:r>
    </w:p>
    <w:p>
      <w:pPr>
        <w:spacing w:after="0" w:line="18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forward-looking statements made in this prospectus and any applicable prospectus supplement relate only to events or information as of the date on which the statements are made in this prospectus and any applicable prospectus supplement. You should not put undue reliance on any forward-looking statements. Actual results could differ materially from those anticipated in these forward-looking statements as a result of various factors described in this prospectus and any applicable prospectus supplement, including factors beyond our ability to control or predict. Although we believe that the expectations reflected in the forward-looking statements are reasonable and made in good faith, we cannot guarantee that future results, levels of activity, performance and events and circumstances reflected in the forward-looking statements will be achieved or will occur.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applicable prospectus supplement, and the documents that we reference in this prospectus and any applicable prospectus supplement, and have filed as exhibits to the registration statement of which this prospectus and any applicable prospectus supplement forms a part, completely and with the understanding that our actual future results or performance may be materially different from what we expect.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Contained in or incorporated by reference in this prospectus and any applicable prospectus supplement, we reference information and statistics regarding the industries in which we operate, including the dairy industry. We are responsible for these statements included in or incorporated by reference in this prospectus and any applicable prospectus supplement. We have obtained this information and statistics from various independent third-party sources, such as Euromonitor International Limited (“Euromonitor”) and other third-party sources.</w:t>
      </w:r>
    </w:p>
    <w:p>
      <w:pPr>
        <w:spacing w:after="0" w:line="18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Some data and other information contained in or incorporated by reference in this prospectus and any applicable prospectus supplement are also based on our own estimates and calculations, which are derived from our review and interpretation of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In addition, assumptions and estimates of our and our industries’ future performance are necessarily subject to a high degree of uncertainty and risk due to a variety of factors. These and other factors could cause our future performance to differ materially from our assumptions and estimates. As a result, you should be aware that market, ranking and other similar industry data included in or incorporated by reference in this prospectus and any applicable prospectus supplement, and estimates and beliefs based on that data, may not be reliable. We cannot guarantee the accuracy or completeness of any such information contained in or incorporated by reference in this prospectus and any prospectus supplement. Forecasts and other forward-looking information obtained from these sources are subject to the same qualifications and uncertainties as the other forward-looking statements in our Annual Report. See Item 3.D. </w:t>
      </w:r>
      <w:r>
        <w:rPr>
          <w:rFonts w:ascii="Times New Roman" w:cs="Times New Roman" w:eastAsia="Times New Roman" w:hAnsi="Times New Roman"/>
          <w:sz w:val="18"/>
          <w:szCs w:val="18"/>
          <w:i w:val="1"/>
          <w:iCs w:val="1"/>
          <w:color w:val="auto"/>
        </w:rPr>
        <w:t>“Key Information—Risk Factors—Risks Related to our Business and Industry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estimates of market opportunity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forecasts of market growth may prove to be inaccurate, and even if the market in which we compete achieves the forecasted growth, our business could fail to grow at similar rates, if at all</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are the world’s original and largest oatmilk company. For over 30 years, we have focused on developing expertise around oats: a global power crop with inherent properties suited for sustainability and human health. Our commitment to oats has resulted in core technical advancements that enabled us to provide alternatives to a wide variety of dairy products, including milks, ice cream, yogurt, cooking creams, spreads and on-the-go drinks. We are utilizing this technical expertise to disrupt the global dairy industry, which Euromonitor estimated generated $590 billion in retail sales in 2024. We are driving this disruption by encouraging consumers to reassess the impacts that their food choices have on the climate and environment. We position our brand to benefit from the trend of consumers choosing plant-based foods as an alternative to animal-based ones.</w:t>
      </w:r>
    </w:p>
    <w:p>
      <w:pPr>
        <w:spacing w:after="0" w:line="187"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Sustainability is at the core of our business. In general, oatmilk leads to fewer greenhouse gas emissions compared to cow’s milk. Based on certain product-level calculations we have commissioned in Europe and in the United States, and based on additional studies, we generally see that oatmilk products can have a significantly lower climate (CO2 equivalent) impact relative to comparable dairy products.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were founded in 1994, and our current holding company was incorporated in accordance with Swedish law on October 5, 2016, under the name Goldcup 13678 AB and were registered with the Swedish Companies Registration Office on October 20, 2016. On December 21, 2016, we changed our name to Havre Global AB and on March 1, 2021, we changed our name to Oatly Group AB.</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Ångfärjekajen 8, 211 19 Malmö, Sweden. Our telephone number at this address is +46 418 475500. Our website address is https://www.oatly.com. The information contained on, or that can be accessed through, our website is not a part of, and shall not be incorporated by reference into, this prospectus. We have included our website address as an inactive textual reference only. Our agent for service of process in the United States is Oatly Inc., and its address is 2275 Bridge Street, Building 209, Suite 200, Philadelphia, PA 19137.</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Investing in any securities described in this prospectus involves risks. You should carefully consider the risk factors set forth in our Annual Report, and the other information contained or incorporated by reference in this prospectus or any applicable prospectus supplement hereto, before making a decision to invest in our securities. The risks and uncertainties we have described are not the only risks we face. Additional risks and uncertainties not presently known to us or that we currently deem immaterial may also affect our operations. You should carefully consider these risk factors and risks before investing in any of our securities.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the sale of American Depositary Shares by the selling security holders.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capitalization and indebtedness will be set forth in a prospectus supplement to this prospectus or in a report on Form 6-K subsequently filed with the SEC and specifically incorporated herein by reference.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ORDINARY SHARES AND AMERICAN DEPOSITARY SHARES</w:t>
      </w:r>
    </w:p>
    <w:p>
      <w:pPr>
        <w:spacing w:after="0" w:line="227" w:lineRule="exact"/>
        <w:rPr>
          <w:sz w:val="20"/>
          <w:szCs w:val="20"/>
          <w:color w:val="auto"/>
        </w:rPr>
      </w:pPr>
    </w:p>
    <w:p>
      <w:pPr>
        <w:ind w:left="120" w:right="340"/>
        <w:spacing w:after="0" w:line="315" w:lineRule="auto"/>
        <w:rPr>
          <w:sz w:val="20"/>
          <w:szCs w:val="20"/>
          <w:color w:val="auto"/>
        </w:rPr>
      </w:pPr>
      <w:r>
        <w:rPr>
          <w:rFonts w:ascii="Times New Roman" w:cs="Times New Roman" w:eastAsia="Times New Roman" w:hAnsi="Times New Roman"/>
          <w:sz w:val="17"/>
          <w:szCs w:val="17"/>
          <w:color w:val="auto"/>
        </w:rPr>
        <w:t>A description of our Ordinary Shares can be found in Exhibit 2.1 to our Annual Report under the heading “</w:t>
      </w:r>
      <w:r>
        <w:rPr>
          <w:rFonts w:ascii="Times New Roman" w:cs="Times New Roman" w:eastAsia="Times New Roman" w:hAnsi="Times New Roman"/>
          <w:sz w:val="17"/>
          <w:szCs w:val="17"/>
          <w:i w:val="1"/>
          <w:iCs w:val="1"/>
          <w:color w:val="auto"/>
        </w:rPr>
        <w:t>Description of the Registrant’s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Registered Pursuant to Section 12 of the Securities Exchange Act of 1934, As Amended</w:t>
      </w:r>
      <w:r>
        <w:rPr>
          <w:rFonts w:ascii="Times New Roman" w:cs="Times New Roman" w:eastAsia="Times New Roman" w:hAnsi="Times New Roman"/>
          <w:sz w:val="17"/>
          <w:szCs w:val="17"/>
          <w:color w:val="auto"/>
        </w:rPr>
        <w:t>”, which description is incorporated by reference herein.</w:t>
      </w:r>
    </w:p>
    <w:p>
      <w:pPr>
        <w:spacing w:after="0" w:line="135"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color w:val="auto"/>
        </w:rPr>
        <w:t>A description of our American Depositary Shares can be found in Exhibit 2.1 to our Annual Report under the heading “</w:t>
      </w:r>
      <w:r>
        <w:rPr>
          <w:rFonts w:ascii="Times New Roman" w:cs="Times New Roman" w:eastAsia="Times New Roman" w:hAnsi="Times New Roman"/>
          <w:sz w:val="18"/>
          <w:szCs w:val="18"/>
          <w:i w:val="1"/>
          <w:iCs w:val="1"/>
          <w:color w:val="auto"/>
        </w:rPr>
        <w:t>Description of the Registrant’s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Registered Pursuant to Section 12 of the Securities Exchange Act of 1934, As Amended</w:t>
      </w:r>
      <w:r>
        <w:rPr>
          <w:rFonts w:ascii="Times New Roman" w:cs="Times New Roman" w:eastAsia="Times New Roman" w:hAnsi="Times New Roman"/>
          <w:sz w:val="18"/>
          <w:szCs w:val="18"/>
          <w:color w:val="auto"/>
        </w:rPr>
        <w:t>”, which description is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22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This prospectus covers the resale from time to time by the selling security holders identified in the table below, including their pledgees, donees, transferees, assigns or other successors in interest (each also a “selling security holder” for purposes of this prospectus), of up to an aggregate of 2,757,430 ADSs. The ADSs and/or the Ordinary Shares that they represent that are registered for resale hereunder are issuable upon conversion of certain Convertible Notes issued by the Company to the selling security holders named herein, at a purchase price equivalent to 97% of the principal amount of the Convertible Notes. The Convertible Notes were issued in transactions exempt from registration requirements of the Securities Act. We are registering the resale of the ADSs as required by the Subscription Agreement that we entered into with certain investors. A description of the material terms of the Convertible Notes can be found in our Annual Report under Item 5.B “</w:t>
      </w:r>
      <w:r>
        <w:rPr>
          <w:rFonts w:ascii="Times New Roman" w:cs="Times New Roman" w:eastAsia="Times New Roman" w:hAnsi="Times New Roman"/>
          <w:sz w:val="17"/>
          <w:szCs w:val="17"/>
          <w:i w:val="1"/>
          <w:iCs w:val="1"/>
          <w:color w:val="auto"/>
        </w:rPr>
        <w:t>Liquidity and Capital Resources—Convertible Notes</w:t>
      </w:r>
      <w:r>
        <w:rPr>
          <w:rFonts w:ascii="Times New Roman" w:cs="Times New Roman" w:eastAsia="Times New Roman" w:hAnsi="Times New Roman"/>
          <w:sz w:val="17"/>
          <w:szCs w:val="17"/>
          <w:color w:val="auto"/>
        </w:rPr>
        <w:t>” and Item 3.D “</w:t>
      </w:r>
      <w:r>
        <w:rPr>
          <w:rFonts w:ascii="Times New Roman" w:cs="Times New Roman" w:eastAsia="Times New Roman" w:hAnsi="Times New Roman"/>
          <w:sz w:val="17"/>
          <w:szCs w:val="17"/>
          <w:i w:val="1"/>
          <w:iCs w:val="1"/>
          <w:color w:val="auto"/>
        </w:rPr>
        <w:t>Risk Factors—Risks Related to our Indebtedness and Outstanding Convertible Notes</w:t>
      </w:r>
      <w:r>
        <w:rPr>
          <w:rFonts w:ascii="Times New Roman" w:cs="Times New Roman" w:eastAsia="Times New Roman" w:hAnsi="Times New Roman"/>
          <w:sz w:val="17"/>
          <w:szCs w:val="17"/>
          <w:color w:val="auto"/>
        </w:rPr>
        <w:t>”, which descriptions are incorporated by reference herein.</w:t>
      </w:r>
    </w:p>
    <w:p>
      <w:pPr>
        <w:spacing w:after="0" w:line="17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ADSs registered herein consist of the issuance of additional ADSs based upon the conversion price of the Convertible Notes being reset from $1.81 to $1.36 per Ordinary Share on March 23, 2025, pursuant to the terms and conditions of the Convertible Notes. On February 18, 2025, we completed a ratio change whereby the ratio of our ADSs to Ordinary Shares was changed from one ADS representing one Ordinary Shares to one ADS representing twenty Ordinary Shares (the “ADS Ratio Change”). Because the Convertible Notes held by the selling security holders are convertible into Ordinary Shares rather than ADSs, the ADS Ratio Change did not affect the conversion price and conversion rate of the Convertible Notes. In order to ensure that the selling security holders remain in the same economic position as before the ADS Ratio Change and to preserve economic equivalency with the</w:t>
      </w:r>
    </w:p>
    <w:p>
      <w:pPr>
        <w:spacing w:after="0" w:line="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9.25% Convertible Senior PIK Notes due 2028 issued pursuant to (i) the Indenture dated March 23, 2023, by and among the Company and U.S. Bank Trust Company, National Association (the “Trustee”) and (ii) the Indenture dated May 31, 2023, by and among the Company and the Trustee, we, in accordance with the terms and conditions of the Convertible Notes, have interpreted the definition of “Daily VWAP” therein to assume the trading price of 1/20 of an ADS.</w:t>
      </w:r>
    </w:p>
    <w:p>
      <w:pPr>
        <w:spacing w:after="0" w:line="18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None of the selling security holders received any of our securities as compensation for underwriting services. We will not receive any proceeds from the resale of the ADSs by the selling security holders.</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selling security holders identified in the table below may from time to time offer and sell under this prospectus any or all of the ADSs described under the column “ADSs Being Offered in this Offering” in the table below. The table below has been prepared based upon information furnished to us by the selling security holders as of the dates represented in the footnotes accompanying the table. The selling security holders identified below may have sold, transferred or otherwise disposed of some or all of the Convertible Notes since the date on which the information in the following table is presented in transactions exempt from or not subject to the registration requirements of the Securities Act. Information concerning the selling security holders may change from time to time and, if necessary, we will amend or supplement this prospectus accordingly and as required.</w:t>
      </w:r>
    </w:p>
    <w:p>
      <w:pPr>
        <w:spacing w:after="0" w:line="187"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The following table and footnote disclosure following the table sets forth the name of each selling security holder and the number of ADSs, including the number of Ordinary Shares convertible into ADSs (together, “Shares”), beneficially owned by the selling security holder before this offering. The number of Shares reflected are those beneficially owned, as determined under applicable rules of the SEC, and the information is not necessarily indicative of beneficial ownership for any other purpose. Under applicable SEC rules, beneficial ownership includes any Shares as to which a person has sole or shared voting power or investment power and any Shares which the person has the right to acquire within 60 days after March 24, 2025, through the conversion of notes, or the exercise of warrants, options or rights and the vesting of restricted stock units, including the issuance of additional ADSs based upon the conversion price of the Convertible Notes being reset from $1.81 to $1.36 per Ordinary Share on March 23, 2025, pursuant to the terms and conditions of the Convertible Notes. Securities that can be so acquired are deemed to be outstanding for purposes of computing such person’s ownership percentage, but not for purposes of computing any other person’s percentage. Information regarding the nature of any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position, office or other material relationship, if any, that the selling security holder has had within the past three years with us or with any of our predecessors or affiliates is hereby incorporated by reference from Item 6—Directors, Senior Management and Employees, and Item 7—Major Shareholders and Related Party Transactions in our most recently filed Annual Report on Form 20-F.</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number of ADSs reflected in the table as being offered in the offering reflects the maximum number of additional ADSs that became issuable upon the reset in the conversion price of the Convertible Notes from $1.81 to $1.36 per Ordinary Share on March 23, 2025, pursuant to the terms and conditions of the Convertible Notes and, accordingly, assumes that interest thereon is paid semi-annually in kind through maturity.</w:t>
      </w:r>
    </w:p>
    <w:p>
      <w:pPr>
        <w:spacing w:after="0" w:line="17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We have assumed that all ADSs reflected in the table as being offered in the offering covered by this prospectus supplement will be sold from time to time in this offering. We cannot provide an estimate as to the number of Shares that will be held by the selling security holders upon termination of the offering covered by this prospectus supplement because the selling security holders may offer some, all or none of their ADSs being offered in the offering.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percentage of Shares beneficially owned is based on 598,559,840 Ordinary Shares outstanding as of February 28, 2025.</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64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ADS EQUIVALENT</w:t>
            </w: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ADSs BEING</w:t>
            </w:r>
          </w:p>
        </w:tc>
        <w:tc>
          <w:tcPr>
            <w:tcW w:w="25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ADS EQUIVALENT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640" w:type="dxa"/>
            <w:vAlign w:val="bottom"/>
            <w:gridSpan w:val="4"/>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OFFERED IN</w:t>
            </w:r>
          </w:p>
        </w:tc>
        <w:tc>
          <w:tcPr>
            <w:tcW w:w="25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64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THIS</w:t>
            </w:r>
          </w:p>
        </w:tc>
        <w:tc>
          <w:tcPr>
            <w:tcW w:w="25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0" w:type="dxa"/>
            <w:vAlign w:val="bottom"/>
          </w:tcPr>
          <w:p>
            <w:pPr>
              <w:spacing w:after="0"/>
              <w:rPr>
                <w:sz w:val="1"/>
                <w:szCs w:val="1"/>
                <w:color w:val="auto"/>
              </w:rPr>
            </w:pPr>
          </w:p>
        </w:tc>
      </w:tr>
      <w:tr>
        <w:trPr>
          <w:trHeight w:val="175"/>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w:t>
            </w: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58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540" w:type="dxa"/>
            <w:vAlign w:val="bottom"/>
            <w:vMerge w:val="continue"/>
          </w:tcPr>
          <w:p>
            <w:pPr>
              <w:spacing w:after="0"/>
              <w:rPr>
                <w:sz w:val="10"/>
                <w:szCs w:val="10"/>
                <w:color w:val="auto"/>
              </w:rPr>
            </w:pPr>
          </w:p>
        </w:tc>
        <w:tc>
          <w:tcPr>
            <w:tcW w:w="1460" w:type="dxa"/>
            <w:vAlign w:val="bottom"/>
            <w:gridSpan w:val="2"/>
          </w:tcPr>
          <w:p>
            <w:pPr>
              <w:jc w:val="right"/>
              <w:ind w:right="513"/>
              <w:spacing w:after="0" w:line="11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PERCEN</w:t>
            </w: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gridSpan w:val="2"/>
          </w:tcPr>
          <w:p>
            <w:pPr>
              <w:jc w:val="center"/>
              <w:ind w:right="440"/>
              <w:spacing w:after="0" w:line="11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PERCENTAGE</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8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ADSs</w:t>
            </w:r>
          </w:p>
        </w:tc>
        <w:tc>
          <w:tcPr>
            <w:tcW w:w="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TAGE</w:t>
            </w:r>
          </w:p>
        </w:tc>
        <w:tc>
          <w:tcPr>
            <w:tcW w:w="5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ADSs</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Nativus Company Limited</w:t>
            </w:r>
          </w:p>
        </w:tc>
        <w:tc>
          <w:tcPr>
            <w:tcW w:w="8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2"/>
              </w:rPr>
              <w:t>(1)</w:t>
            </w: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32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2,272,935</w:t>
            </w: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14,186,756</w:t>
            </w:r>
          </w:p>
        </w:tc>
        <w:tc>
          <w:tcPr>
            <w:tcW w:w="58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3" w:lineRule="exact"/>
              <w:rPr>
                <w:sz w:val="20"/>
                <w:szCs w:val="20"/>
                <w:color w:val="auto"/>
              </w:rPr>
            </w:pPr>
            <w:r>
              <w:rPr>
                <w:rFonts w:ascii="Times New Roman" w:cs="Times New Roman" w:eastAsia="Times New Roman" w:hAnsi="Times New Roman"/>
                <w:sz w:val="18"/>
                <w:szCs w:val="18"/>
                <w:color w:val="auto"/>
              </w:rPr>
              <w:t>46.5%</w:t>
            </w:r>
          </w:p>
        </w:tc>
        <w:tc>
          <w:tcPr>
            <w:tcW w:w="13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14,186,756</w:t>
            </w:r>
          </w:p>
        </w:tc>
        <w:tc>
          <w:tcPr>
            <w:tcW w:w="4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Verlinvest S.A.</w:t>
            </w:r>
          </w:p>
        </w:tc>
        <w:tc>
          <w:tcPr>
            <w:tcW w:w="1460" w:type="dxa"/>
            <w:vAlign w:val="bottom"/>
            <w:gridSpan w:val="2"/>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14,186,756</w:t>
            </w:r>
            <w:r>
              <w:rPr>
                <w:rFonts w:ascii="Times New Roman" w:cs="Times New Roman" w:eastAsia="Times New Roman" w:hAnsi="Times New Roman"/>
                <w:sz w:val="25"/>
                <w:szCs w:val="25"/>
                <w:color w:val="auto"/>
                <w:vertAlign w:val="superscript"/>
              </w:rPr>
              <w:t>(2)</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46.5%</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175,859</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14,186,756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BXG Redhawk S.à r.l.</w:t>
            </w:r>
          </w:p>
        </w:tc>
        <w:tc>
          <w:tcPr>
            <w:tcW w:w="1460" w:type="dxa"/>
            <w:vAlign w:val="bottom"/>
            <w:gridSpan w:val="2"/>
            <w:shd w:val="clear" w:color="auto" w:fill="CCEEFF"/>
          </w:tcPr>
          <w:p>
            <w:pPr>
              <w:jc w:val="right"/>
              <w:ind w:right="353"/>
              <w:spacing w:after="0" w:line="216" w:lineRule="exact"/>
              <w:rPr>
                <w:sz w:val="20"/>
                <w:szCs w:val="20"/>
                <w:color w:val="auto"/>
              </w:rPr>
            </w:pPr>
            <w:r>
              <w:rPr>
                <w:rFonts w:ascii="Times New Roman" w:cs="Times New Roman" w:eastAsia="Times New Roman" w:hAnsi="Times New Roman"/>
                <w:sz w:val="17"/>
                <w:szCs w:val="17"/>
                <w:color w:val="auto"/>
              </w:rPr>
              <w:t>2,882,580</w:t>
            </w:r>
            <w:r>
              <w:rPr>
                <w:rFonts w:ascii="Times New Roman" w:cs="Times New Roman" w:eastAsia="Times New Roman" w:hAnsi="Times New Roman"/>
                <w:sz w:val="25"/>
                <w:szCs w:val="25"/>
                <w:color w:val="auto"/>
                <w:vertAlign w:val="superscript"/>
              </w:rPr>
              <w:t>(3)</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305,723</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2,882,580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35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BXG SPV ESC (CYM) L.P.</w:t>
            </w:r>
          </w:p>
        </w:tc>
        <w:tc>
          <w:tcPr>
            <w:tcW w:w="1460" w:type="dxa"/>
            <w:vAlign w:val="bottom"/>
            <w:gridSpan w:val="2"/>
          </w:tcPr>
          <w:p>
            <w:pPr>
              <w:jc w:val="right"/>
              <w:ind w:right="353"/>
              <w:spacing w:after="0"/>
              <w:rPr>
                <w:sz w:val="20"/>
                <w:szCs w:val="20"/>
                <w:color w:val="auto"/>
              </w:rPr>
            </w:pPr>
            <w:r>
              <w:rPr>
                <w:rFonts w:ascii="Times New Roman" w:cs="Times New Roman" w:eastAsia="Times New Roman" w:hAnsi="Times New Roman"/>
                <w:sz w:val="18"/>
                <w:szCs w:val="18"/>
                <w:color w:val="auto"/>
              </w:rPr>
              <w:t>27,470</w:t>
            </w:r>
            <w:r>
              <w:rPr>
                <w:rFonts w:ascii="Times New Roman" w:cs="Times New Roman" w:eastAsia="Times New Roman" w:hAnsi="Times New Roman"/>
                <w:sz w:val="26"/>
                <w:szCs w:val="26"/>
                <w:color w:val="auto"/>
                <w:vertAlign w:val="superscript"/>
              </w:rPr>
              <w:t>(3)</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2,913</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27,470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53" w:lineRule="auto"/>
        <w:tabs>
          <w:tab w:leader="none" w:pos="10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271,763,953 Ordinary Shares (equivalent to 13,588,197 ADSs) and 11,971,196 Ordinary Shares (equivalent to 598,559 ADSs) which would be received upon conversion of Convertible Notes within 60 days of March 24, 2025, based on 598,559,840 Ordinary Shares (equivalent to 29,927,992 ADSs) outstanding as of February 28, 2025. Nativus Company Limited directly holds 271,763,953 Ordinary Shares (equivalent to 13,588,197 ADSs) of the Company. Of the total number of Convertible Notes respectively owned by Nativus Company Limited and Verlinvest, only that number of Convertible Notes that would result in an increase in the aggregate beneficial ownership of Nativus Company Limited and Verlinvest of 2% or less of our outstanding Ordinary Shares (or up to approximately 11,971,196 Ordinary Shares (equivalent to 598,559 ADSs)) are convertible immediately. The remaining Convertible Notes owned by Nativus Company Limited, which are convertible into an aggregate maximum of approximately 123,703,395 Ordinary Shares (equivalent to 6,185,169 ADSs) within 60 days of March 24, 2025, are convertible upon giving more than 60 days’ notice to us. As a result, approximately 123,703,395 Ordinary Shares (equivalent to 6,185,169 ADSs) are not included in the beneficial ownership information set forth herein for Nativus Company Limited.</w:t>
      </w:r>
    </w:p>
    <w:p>
      <w:pPr>
        <w:spacing w:after="0" w:line="83" w:lineRule="exact"/>
        <w:rPr>
          <w:rFonts w:ascii="Times New Roman" w:cs="Times New Roman" w:eastAsia="Times New Roman" w:hAnsi="Times New Roman"/>
          <w:sz w:val="18"/>
          <w:szCs w:val="18"/>
          <w:color w:val="auto"/>
        </w:rPr>
      </w:pPr>
    </w:p>
    <w:p>
      <w:pPr>
        <w:ind w:left="110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Nativus Company Limited is a wholly owned subsidiary of CR Verlinvest Health Investment Limited (“CRVV”), a limited company incorporated in Hong Kong and a joint venture that is 50% owned by Verlinvest S.A., a company incorporated in Belgium (“Verlinvest”), and 50% owned by Blossom Key (Hong Kong) Holdings Limited, a limited company incorporated in Hong Kong. Each of Nativus Company Limited and CRVV have sole voting and dispositive power over 283,735,149 Ordinary Shares (equivalent to 14,186,756 ADSs). Blossom Key (Hong Kong) Holdings Limited is a wholly owned subsidiary of CRH (CRE) Limited. CRH (CRE) Limited is a wholly owned subsidiary of China</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Resources (Holdings) Company Limited. CRC Bluesky Limited holds all the voting shares in China Resources (Holdings) Company Limited. CRC Bluesky Limited is a wholly owned subsidiary of China Resources Inc. China Resources Company Limited holds substantially all the shares in China Resources Inc. The State-owned Assets Supervision and Administration Commission of the State Council and the National Council for Social Security Fund of the People’s Republic of China perform the duty of investor (as to 90.0222% and 9.9778%, respectively) of China Resources Company Limited on behalf of the State Council of the People’s Republic of China. Each of Blossom Key (Hong Kong) Holdings Limited, CRH (CRE) Limited, China Resources (Holdings) Company Limited, CRC Bluesky Limited, China Resources Inc., China Resources Company Limited and Verlinvest S.A. have shared voting and dispositive power over 283,735,149 Ordinary Shares (equivalent to 14,186,756 ADSs). The address for Nativus Company Limited is 39/F, China Resources Building, 26 Harbour Road, Wanchai, Hong Kong and the address for CRVV is 39/F, China Resources Building, 26 Harbour Road, Wanchai, Hong Kong.</w:t>
      </w:r>
    </w:p>
    <w:p>
      <w:pPr>
        <w:spacing w:after="0" w:line="100" w:lineRule="exact"/>
        <w:rPr>
          <w:sz w:val="20"/>
          <w:szCs w:val="20"/>
          <w:color w:val="auto"/>
        </w:rPr>
      </w:pPr>
    </w:p>
    <w:p>
      <w:pPr>
        <w:ind w:left="1080" w:hanging="532"/>
        <w:spacing w:after="0" w:line="25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footnote (1), Verlinvest has shared voting and dispositive power over 271,763,953 Ordinary Shares (equivalent to 13,588,197 ADSs). It also has (i) sole voting and dispositive power over Convertible Notes which are convertible into an aggregate maximum of approximately 10,497,248 Ordinary Shares (equivalent to 524,862 ADSs) (after subtracting Convertible Notes originally sold by the Company and purchased by Verlinvest and resold by Verlinvest to Mars II Holdings Pte. Ltd. on May 31, 2023), and (ii) shared voting and dispositive power over Convertible Notes of which a portion are convertible into an aggregate maximum of 1,473,948 Ordinary Shares (equivalent to 73,697 ADSs), in each case within 60 days of March 24, 2025, based on 598,559,840 Ordinary Shares (equivalent to 29,927,992 ADSs) outstanding as of February 28, 2025. Of the total number of Convertible Notes respectively owned by Verlinvest and Nativus Company Limited, only that number of Convertible Notes that would result in an increase in the aggregate beneficial ownership of Verlinvest and Nativus Company Limited of 2% or less of our outstanding Ordinary Shares (or up to approximately 11,971,196 Ordinary Shares (equivalent to 598,559 ADSs)) are convertible immediately. The remaining Convertible Notes over which Verlinvest has shared voting and dispositive power, which are convertible into an aggregate maximum of approximately 134,200,643 Ordinary Shares (equivalent to 6,710,032 ADSs) within 60 days of March 24, 2025, are convertible upon giving more than 60 days’ notice to us. As a result, approximately 134,200,643 Ordinary Shares (equivalent to 6,710,032 ADSs) are not included in the beneficial ownership information set forth herein for Verlinvest. The address for Verlinvest is Place Flagey 18, 1050 Brussels, Belgium.</w:t>
      </w:r>
    </w:p>
    <w:p>
      <w:pPr>
        <w:spacing w:after="0" w:line="102" w:lineRule="exact"/>
        <w:rPr>
          <w:rFonts w:ascii="Times New Roman" w:cs="Times New Roman" w:eastAsia="Times New Roman" w:hAnsi="Times New Roman"/>
          <w:sz w:val="18"/>
          <w:szCs w:val="18"/>
          <w:color w:val="auto"/>
        </w:rPr>
      </w:pPr>
    </w:p>
    <w:p>
      <w:pPr>
        <w:ind w:left="1080" w:right="60" w:hanging="532"/>
        <w:spacing w:after="0" w:line="25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39,778,182 Ordinary Shares (equivalent to 1,988,909 ADSs) and 18,422,872 Ordinary Shares (equivalent to 921,143 ADSs) which would be received upon conversion of Convertible Notes within 60 days of March 24, 2025. Number of Ordinary Shares represents 39,402,666 Ordinary Shares (equivalent to 1,970,133 ADSs) directly held by BXG Redhawk S.à r.l. and 375,516 Ordinary Shares (equivalent to 18,775 ADSs) directly held by BXG SPV ESC (CYM) L.P. (together, the “Blackstone Funds”). Shares which may be received upon conversion of Convertible Notes within 60 days of March 24, 2025 represents 18,248,959 Ordinary Shares (equivalent to 912,447 ADSs) which would be received upon conversion of Convertible Notes held by BXG Redhawk S.à r.l. and 173,913 Ordinary Shares (equivalent to 8,695 ADSs) which would be received upon conversion of Convertible Notes held by BXG SPV ESC (CYM) L.P. BXG Redhawk S.à r.l. is controlled by BXG Redhawk Holdings (CYM) L.P., the general partner of which is BXG Holdings Manager L.L.C. Blackstone Growth Associates L.P. is the managing member of BXG Holdings Manager L.L.C and BXGA L.L.C. is the general partner of Blackstone Growth Associates L.P. Blackstone Holdings II L.P. is the managing member of BXGA L.L.C. The general partner of BXG SPV ESC (CYM) L.P. is BXG Side-by-Side GP L.L.C. Blackstone Holdings II L.P. is the sole member of BXG Side-by-Side GP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 owned by Blackstone’s senior managing directors and controlled by its founder, Stephen A.</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Schwarzman. 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180"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For more information about our relationships with the selling security holders and their affiliates, see the section entitled “Convertible Notes” in our Annual Report on Form 20-F for the fiscal year ended December 31, 2024, filed with the SEC on March 13, 2025, which is incorporated herein by reference.</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selling security holder may sell the securities in one or more of the following ways (or in any combination) from time to time:</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our securities may be carried out, from time to time, in one or more transactions, including:</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and transactions on Nasdaq or any other organized market where the securities may be traded;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from that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to be allowed or paid to the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 the discounts to be allowed or paid to dealers, if 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distribution of the securities that we believe to be material.</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Underwriters may offer and sell the securities at a fixed price or prices, which may be changed, or from time to time at market prices prevailing at the time of sale, at prices related to prevailing market prices or at negotiated prices. Any selling security holders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any selling security holders in the form of underwriting discounts and may also receive commissions from purchasers of securities for whom they may act as agent.</w:t>
      </w:r>
    </w:p>
    <w:p>
      <w:pPr>
        <w:spacing w:after="0" w:line="18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Underwriters may sell securities to or through dealers, and dealers may receive compensation in the form of discounts or concessions from the underwriters and commissions from the purchasers for whom they may act as agent.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securities and their controlling persons may be entitled, under agreements that may be entered into with us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Any selling security holders may also make direct sales through subscription rights distributed to our existing shareholders on a pro rata basis, which may or may not be transferable.</w:t>
      </w:r>
    </w:p>
    <w:p>
      <w:pPr>
        <w:spacing w:after="0" w:line="162"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One or more selling security holders may utilize this prospectus (and any related prospectus supplement) to make one or more in-kind distributions of the securities to its shareholders, partners or members. To the extent required by applicable law, information about the distribution will be reflected in a prospectus supplement.</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320" w:top="455" w:right="5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incorporated and currently existing under the laws of Sweden. In addition, certain of our directors and officers reside outside of the United States, and substantially all of the assets of our subsidiaries are located outside of the United States. As a result, it may be difficult for investors to effect service of process on us or those persons in the United States or to enforce in the United States judgments obtained in U.S. courts against us or those persons based on the civil liability or other provisions of the U.S. securities laws or other laws. In addition, uncertainty exists as to whether the courts of Sweden would:</w:t>
      </w:r>
    </w:p>
    <w:p>
      <w:pPr>
        <w:spacing w:after="0" w:line="89" w:lineRule="exact"/>
        <w:rPr>
          <w:sz w:val="20"/>
          <w:szCs w:val="20"/>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U.S. courts obtained against us or our directors or officers predicated upon the civil liabilities provisions of the securities laws of the United States or any state in the United States;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Sweden against us or our directors or officers predicated upon the securities laws of the United States or any state in the United States.</w:t>
      </w:r>
    </w:p>
    <w:p>
      <w:pPr>
        <w:spacing w:after="0" w:line="162"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United States and Sweden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Sweden. In order to obtain a judgment that is enforceable in Sweden, the party in whose favor a final and conclusive judgment of the U.S. court has been rendered will be required to file its claim with a court of competent jurisdiction in Sweden. Such party may submit to the Swedish court the final judgment rendered by the U.S. court. This court will have discretion to attach such weight to the judgment rendered by the relevant U.S. court depending on the circumstances. Circumstances that may be relevant to the Swedish court in deciding to give conclusive effect to a final and enforceable judgment of such court in respect of the contractual obligations thereunder without re-examination or re-litigation of the substantive matters adjudicated upon include whether: (i) the court involved accepted jurisdiction on the basis of internationally recognized grounds to accept jurisdiction, (ii) the proceedings before such court are in compliance with principles of proper procedure, (iii) such judgment is not contrary to the public policy of Sweden and (iv) such judgment is not incompatible with a judgment given between the same parties by a Swedish court or with a prior judgment given between the same parties by a foreign court in a dispute concerning the same subject matter and based on the same cause of action, provided such prior judgment fulfils the conditions necessary for it to be given binding effect in Sweden. Swedish courts may deny the recognition and enforcement of punitive damages or other awards. Moreover, a Swedish court may reduce the amount of damages granted by a U.S. court and recognize damages only to the extent that they are necessary to compensate actual losses or damages.</w:t>
      </w:r>
    </w:p>
    <w:p>
      <w:pPr>
        <w:spacing w:after="0" w:line="19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Swedish civil procedure differs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Swedish law.</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Subject to the foregoing and service of process in accordance with applicable treaties, investors may be able to enforce in Sweden judgments in civil and commercial matters obtained from U.S. federal or state courts. However, no assurance can be given that those judgments will be enforceable. In addition, it is doubtful whether a Swedish court would accept jurisdiction and impose civil liability in an original action commenced in Sweden and predicated solely upon U.S. federal securities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material U.S. and Swedish federal income tax consequences, if any, relating to the purchase, ownership and disposition of our securities offered by this prospectus will be set forth in the prospectus supplement pertaining to the offering of such securities.</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$4,010.54</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0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8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3080" w:type="dxa"/>
            <w:vAlign w:val="bottom"/>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line="261"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of fees and expenses to be incurred in connection with any offering of securities pursuant to this registration statement will be determined from time to time and reflected in the applicable prospectus supplement.</w:t>
      </w: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in a prospectus supplement describing an offering of securities or a report on Form 6-K that is incorporated by reference herein.</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color w:val="auto"/>
        </w:rPr>
        <w:t>White &amp; Case Advokat AB, Stockholm, Sweden, will pass upon the validity of the securities being registered hereby and certain other legal matters in connection with the registration of such securities. White &amp; Case LLP, Houston, Texas will pass certain matters of New York law for us in connection with the registration of certain securities being registered hereby. Additional legal matters may be passed upon for us and any underwriter that we will name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Oatly Group AB appearing in Oatly Group AB’s Annual Report on Form 20-F for the year ended December 31, 2024, and the effectiveness of Oatly Group AB’s internal control over financial reporting as of December 31, 2024, have been audited by Ernst &amp; Young AB, independent registered public accounting firm, as set forth in its reports thereon, which conclude, among other things, that Oatly Group AB did not maintain effective internal control over financial reporting as of December 31, 2024 based on Internal Control—Integrated Framework issued by the Committee of Sponsoring Organizations of the Treadway Commission (2013 framework) because of the effects of the material weaknesses described therein, included therein, and incorporated herein by reference. Such consolidated financial statements have been incorporated herein by reference in reliance upon such reports given on the authority of such firm as experts in accounting and auditing.</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registered business address of Ernst &amp; Young AB is Box 7850, 103 99, Stockholm, Sweden.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that are applicable to foreign private issuers. Accordingly, we are required to file reports and other information with the SEC, including annual reports on Form 20-F and disclosure furnished under cover of Form 6-K. The SEC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and other information regarding issuers, such as us, that file electronically with the SEC. We also maintain a website (</w:t>
      </w:r>
      <w:r>
        <w:rPr>
          <w:rFonts w:ascii="Times New Roman" w:cs="Times New Roman" w:eastAsia="Times New Roman" w:hAnsi="Times New Roman"/>
          <w:sz w:val="18"/>
          <w:szCs w:val="18"/>
          <w:i w:val="1"/>
          <w:iCs w:val="1"/>
          <w:color w:val="auto"/>
        </w:rPr>
        <w:t>https:// www.oatly.com</w:t>
      </w:r>
      <w:r>
        <w:rPr>
          <w:rFonts w:ascii="Times New Roman" w:cs="Times New Roman" w:eastAsia="Times New Roman" w:hAnsi="Times New Roman"/>
          <w:sz w:val="18"/>
          <w:szCs w:val="18"/>
          <w:color w:val="auto"/>
        </w:rPr>
        <w:t>), from which you can access such reports and other information free of charge as soon as reasonably practicable after such material is electronically filed with, or furnished to, the SEC. The information contained on, or that can be accessed through, our website is not a part of, and shall not be incorporated by reference into, this prospectus.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financial statements with the SEC as frequently or as promptly as U.S. companies whose securities are registered under the Exchange Act.</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will send the depositary a copy of all notices of shareholders meetings and other reports, communications and information that are made generally available to shareholders. The depositary has agreed to mail to all holders of ADSs a notice containing the information (or a summary of the information) contained in any notice of a meeting of our shareholders received by the depositary and will make available to all holders of ADSs such notices and all such other reports and communications received by the depositary.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and any applicable prospectus supplement, and later information that we file with the SEC will automatically update and supersede this information. This prospectus and any applicable prospectus supplement incorporate by reference the documents set forth below that have previously been filed with the SEC (other than those documents or the portions of those documents that are “furnished” unless otherwise specified below):</w:t>
      </w:r>
    </w:p>
    <w:p>
      <w:pPr>
        <w:spacing w:after="0" w:line="8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13, 2025;</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76"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reports on Form 6-K filed with the SEC on </w:t>
      </w:r>
      <w:hyperlink r:id="rId31">
        <w:r>
          <w:rPr>
            <w:rFonts w:ascii="Times New Roman" w:cs="Times New Roman" w:eastAsia="Times New Roman" w:hAnsi="Times New Roman"/>
            <w:sz w:val="17"/>
            <w:szCs w:val="17"/>
            <w:u w:val="single" w:color="auto"/>
            <w:color w:val="0000EE"/>
          </w:rPr>
          <w:t>January 31, 2025</w:t>
        </w:r>
      </w:hyperlink>
      <w:r>
        <w:rPr>
          <w:rFonts w:ascii="Times New Roman" w:cs="Times New Roman" w:eastAsia="Times New Roman" w:hAnsi="Times New Roman"/>
          <w:sz w:val="17"/>
          <w:szCs w:val="17"/>
          <w:color w:val="auto"/>
        </w:rPr>
        <w:t xml:space="preserve">, </w:t>
      </w:r>
      <w:hyperlink r:id="rId32">
        <w:r>
          <w:rPr>
            <w:rFonts w:ascii="Times New Roman" w:cs="Times New Roman" w:eastAsia="Times New Roman" w:hAnsi="Times New Roman"/>
            <w:sz w:val="17"/>
            <w:szCs w:val="17"/>
            <w:u w:val="single" w:color="auto"/>
            <w:color w:val="0000EE"/>
          </w:rPr>
          <w:t>February 12,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(only with respect to the information contained under the heading “Amendments to Sustainable Revolving Credit Facility Agreement and Term Loan B Credit Agreement”),</w:t>
      </w:r>
    </w:p>
    <w:p>
      <w:pPr>
        <w:spacing w:after="0" w:line="1"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February 18,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4">
        <w:r>
          <w:rPr>
            <w:rFonts w:ascii="Times New Roman" w:cs="Times New Roman" w:eastAsia="Times New Roman" w:hAnsi="Times New Roman"/>
            <w:sz w:val="18"/>
            <w:szCs w:val="18"/>
            <w:u w:val="single" w:color="auto"/>
            <w:color w:val="0000EE"/>
          </w:rPr>
          <w:t>March 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5">
        <w:r>
          <w:rPr>
            <w:rFonts w:ascii="Times New Roman" w:cs="Times New Roman" w:eastAsia="Times New Roman" w:hAnsi="Times New Roman"/>
            <w:sz w:val="18"/>
            <w:szCs w:val="18"/>
            <w:u w:val="single" w:color="auto"/>
            <w:color w:val="0000EE"/>
          </w:rPr>
          <w:t>April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April 28,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7">
        <w:r>
          <w:rPr>
            <w:rFonts w:ascii="Times New Roman" w:cs="Times New Roman" w:eastAsia="Times New Roman" w:hAnsi="Times New Roman"/>
            <w:sz w:val="18"/>
            <w:szCs w:val="18"/>
            <w:u w:val="single" w:color="auto"/>
            <w:color w:val="0000EE"/>
          </w:rPr>
          <w:t>April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12"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38">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2024.</w:t>
      </w:r>
    </w:p>
    <w:p>
      <w:pPr>
        <w:spacing w:after="0" w:line="225" w:lineRule="exact"/>
        <w:rPr>
          <w:rFonts w:ascii="Times New Roman" w:cs="Times New Roman" w:eastAsia="Times New Roman" w:hAnsi="Times New Roman"/>
          <w:sz w:val="18"/>
          <w:szCs w:val="18"/>
          <w:color w:val="0000EE"/>
        </w:rPr>
      </w:pPr>
    </w:p>
    <w:p>
      <w:pPr>
        <w:jc w:val="both"/>
        <w:ind w:left="120" w:right="1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including any reports on Form 6-K that we specifically identify in such forms as being incorporated by reference, but excluding any information furnished to, rather than filed with, the SEC, will also be incorporated by reference into this prospectus and deemed to be part of this prospectus from the date of the filing of such reports and documents. The most recent information that we file with the SEC automatically updates and supersedes more dated information.</w:t>
      </w:r>
    </w:p>
    <w:p>
      <w:pPr>
        <w:spacing w:after="0" w:line="120"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You can obtain free of charge a copy of any documents that are incorporated by reference in this prospectus supplement at no cost, by writing or telephoning us at:</w:t>
      </w:r>
    </w:p>
    <w:p>
      <w:pPr>
        <w:spacing w:after="0" w:line="37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Oatly Group AB</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Tel: +46 418 475500</w:t>
      </w:r>
    </w:p>
    <w:p>
      <w:pPr>
        <w:spacing w:after="0" w:line="13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00"/>
          </w:cols>
          <w:pgMar w:left="320" w:top="455" w:right="10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217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6995160" cy="1217295"/>
                    </a:xfrm>
                    <a:prstGeom prst="rect">
                      <a:avLst/>
                    </a:prstGeom>
                    <a:noFill/>
                  </pic:spPr>
                </pic:pic>
              </a:graphicData>
            </a:graphic>
          </wp:anchor>
        </w:drawing>
      </w:r>
    </w:p>
    <w:p>
      <w:pPr>
        <w:sectPr>
          <w:pgSz w:w="11900" w:h="16838" w:orient="portrait"/>
          <w:cols w:equalWidth="0" w:num="1">
            <w:col w:w="10400"/>
          </w:cols>
          <w:pgMar w:left="320" w:top="455"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32"/>
          <w:szCs w:val="32"/>
          <w:b w:val="1"/>
          <w:bCs w:val="1"/>
          <w:color w:val="auto"/>
        </w:rPr>
        <w:t>2,757,430 American Depositary Shares representing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Offered by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Prospectus dated May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988695</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1048385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400"/>
      </w:cols>
      <w:pgMar w:left="320" w:top="455" w:right="1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30" Type="http://schemas.openxmlformats.org/officeDocument/2006/relationships/hyperlink" Target="http://www.sec.gov/ix?doc=/Archives/edgar/data/0001843586/000095017025038739/otly-20241231.htm" TargetMode="External"/><Relationship Id="rId31" Type="http://schemas.openxmlformats.org/officeDocument/2006/relationships/hyperlink" Target="http://www.sec.gov/Archives/edgar/data/1843586/000095017025011432/otly_6k_adr_ratio_change.htm" TargetMode="External"/><Relationship Id="rId32" Type="http://schemas.openxmlformats.org/officeDocument/2006/relationships/hyperlink" Target="http://www.sec.gov/Archives/edgar/data/1843586/000095017025018403/otly_6k_pr_ye24.htm" TargetMode="External"/><Relationship Id="rId33" Type="http://schemas.openxmlformats.org/officeDocument/2006/relationships/hyperlink" Target="http://www.sec.gov/Archives/edgar/data/1843586/000095017025022262/otly_6k_adr_ratio_change.htm" TargetMode="External"/><Relationship Id="rId34" Type="http://schemas.openxmlformats.org/officeDocument/2006/relationships/hyperlink" Target="http://www.sec.gov/Archives/edgar/data/1843586/000095017025033083/otly_6k_nasdaq_recomplia.htm" TargetMode="External"/><Relationship Id="rId35" Type="http://schemas.openxmlformats.org/officeDocument/2006/relationships/hyperlink" Target="http://www.sec.gov/Archives/edgar/data/1843586/000095017025053015/otly_6k_agm_notice_2025.htm" TargetMode="External"/><Relationship Id="rId36" Type="http://schemas.openxmlformats.org/officeDocument/2006/relationships/hyperlink" Target="http://www.sec.gov/Archives/edgar/data/1843586/000095017025059292/otly_6k_english_ar_ye24.htm" TargetMode="External"/><Relationship Id="rId37" Type="http://schemas.openxmlformats.org/officeDocument/2006/relationships/hyperlink" Target="http://www.sec.gov/Archives/edgar/data/1843586/000095017025061038/otly_6k_1q25.htm" TargetMode="External"/><Relationship Id="rId38" Type="http://schemas.openxmlformats.org/officeDocument/2006/relationships/hyperlink" Target="http://www.sec.gov/Archives/edgar/data/1843586/000095017025038739/otly-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2025-05-15T16:06:00Z</dcterms:created>
  <dcterms:modified xsi:type="dcterms:W3CDTF">2025-05-15T16:06:00Z</dcterms:modified>
</cp:coreProperties>
</file>