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right="40"/>
        <w:spacing w:after="0" w:line="24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-233045</wp:posOffset>
            </wp:positionV>
            <wp:extent cx="125730" cy="1257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730" cy="125730"/>
                    </a:xfrm>
                    <a:prstGeom prst="rect">
                      <a:avLst/>
                    </a:prstGeom>
                    <a:noFill/>
                  </pic:spPr>
                </pic:pic>
              </a:graphicData>
            </a:graphic>
          </wp:anchor>
        </w:drawing>
      </w:r>
    </w:p>
    <w:p>
      <w:pPr>
        <w:spacing w:after="0" w:line="22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-676910</wp:posOffset>
            </wp:positionV>
            <wp:extent cx="125730" cy="1257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5730" cy="1257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380" w:type="dxa"/>
            <w:vAlign w:val="bottom"/>
          </w:tcPr>
          <w:p>
            <w:pPr>
              <w:jc w:val="center"/>
              <w:ind w:right="7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80" w:type="dxa"/>
            <w:vAlign w:val="bottom"/>
            <w:vMerge w:val="restart"/>
          </w:tcPr>
          <w:p>
            <w:pPr>
              <w:jc w:val="center"/>
              <w:ind w:right="74"/>
              <w:spacing w:after="0" w:line="14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0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74"/>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6380" w:type="dxa"/>
            <w:vAlign w:val="bottom"/>
            <w:vMerge w:val="restart"/>
          </w:tcPr>
          <w:p>
            <w:pPr>
              <w:jc w:val="center"/>
              <w:ind w:right="7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5300980</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4032250</wp:posOffset>
            </wp:positionH>
            <wp:positionV relativeFrom="paragraph">
              <wp:posOffset>-641985</wp:posOffset>
            </wp:positionV>
            <wp:extent cx="59055" cy="655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-1595755</wp:posOffset>
            </wp:positionH>
            <wp:positionV relativeFrom="paragraph">
              <wp:posOffset>765810</wp:posOffset>
            </wp:positionV>
            <wp:extent cx="6990080" cy="5083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0080" cy="5083175"/>
                    </a:xfrm>
                    <a:prstGeom prst="rect">
                      <a:avLst/>
                    </a:prstGeom>
                    <a:noFill/>
                  </pic:spPr>
                </pic:pic>
              </a:graphicData>
            </a:graphic>
          </wp:anchor>
        </w:drawing>
      </w:r>
    </w:p>
    <w:p>
      <w:pPr>
        <w:spacing w:after="0" w:line="1273" w:lineRule="exact"/>
        <w:rPr>
          <w:sz w:val="24"/>
          <w:szCs w:val="24"/>
          <w:color w:val="auto"/>
        </w:rPr>
      </w:pPr>
    </w:p>
    <w:p>
      <w:pPr>
        <w:sectPr>
          <w:pgSz w:w="11900" w:h="16838" w:orient="portrait"/>
          <w:cols w:equalWidth="0" w:num="2">
            <w:col w:w="2340" w:space="160"/>
            <w:col w:w="8580"/>
          </w:cols>
          <w:pgMar w:left="460" w:top="218"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Broadbent Simon Kenneth James</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ANGFARJEKAJEN 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Oatly Group AB</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OTLY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06/02/2026</w:t>
      </w:r>
    </w:p>
    <w:p>
      <w:pPr>
        <w:spacing w:after="0" w:line="20" w:lineRule="exact"/>
        <w:rPr>
          <w:sz w:val="24"/>
          <w:szCs w:val="24"/>
          <w:color w:val="auto"/>
        </w:rPr>
      </w:pPr>
      <w:r>
        <w:rPr>
          <w:sz w:val="24"/>
          <w:szCs w:val="24"/>
          <w:color w:val="auto"/>
        </w:rPr>
        <w:br w:type="column"/>
      </w:r>
    </w:p>
    <w:p>
      <w:pPr>
        <w:ind w:left="7" w:right="560" w:hanging="7"/>
        <w:spacing w:after="0" w:line="26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7"/>
        <w:spacing w:after="0"/>
        <w:tabs>
          <w:tab w:leader="none" w:pos="206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9"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8" w:lineRule="exact"/>
        <w:rPr>
          <w:sz w:val="24"/>
          <w:szCs w:val="24"/>
          <w:color w:val="auto"/>
        </w:rPr>
      </w:pPr>
    </w:p>
    <w:p>
      <w:pPr>
        <w:ind w:left="527"/>
        <w:spacing w:after="0"/>
        <w:tabs>
          <w:tab w:leader="none" w:pos="206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7"/>
        <w:spacing w:after="0"/>
        <w:rPr>
          <w:sz w:val="20"/>
          <w:szCs w:val="20"/>
          <w:color w:val="auto"/>
        </w:rPr>
      </w:pPr>
      <w:r>
        <w:rPr>
          <w:rFonts w:ascii="Times New Roman" w:cs="Times New Roman" w:eastAsia="Times New Roman" w:hAnsi="Times New Roman"/>
          <w:sz w:val="17"/>
          <w:szCs w:val="17"/>
          <w:color w:val="0000FF"/>
        </w:rPr>
        <w:t>SVP Operations &amp; Sust.</w:t>
      </w:r>
    </w:p>
    <w:p>
      <w:pPr>
        <w:spacing w:after="0" w:line="329" w:lineRule="exact"/>
        <w:rPr>
          <w:sz w:val="24"/>
          <w:szCs w:val="24"/>
          <w:color w:val="auto"/>
        </w:rPr>
      </w:pPr>
    </w:p>
    <w:p>
      <w:pPr>
        <w:sectPr>
          <w:pgSz w:w="11900" w:h="16838" w:orient="portrait"/>
          <w:cols w:equalWidth="0" w:num="3">
            <w:col w:w="3180" w:space="720"/>
            <w:col w:w="3113" w:space="720"/>
            <w:col w:w="3347"/>
          </w:cols>
          <w:pgMar w:left="460" w:top="218" w:right="359" w:bottom="1440" w:gutter="0" w:footer="0" w:header="0"/>
          <w:type w:val="continuous"/>
        </w:sect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358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3"/>
                <w:szCs w:val="3"/>
                <w:color w:val="auto"/>
              </w:rPr>
            </w:pPr>
          </w:p>
        </w:tc>
        <w:tc>
          <w:tcPr>
            <w:tcW w:w="3540" w:type="dxa"/>
            <w:vAlign w:val="bottom"/>
            <w:gridSpan w:val="9"/>
            <w:vMerge w:val="restart"/>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3580" w:type="dxa"/>
            <w:vAlign w:val="bottom"/>
            <w:gridSpan w:val="7"/>
            <w:vMerge w:val="continue"/>
          </w:tcPr>
          <w:p>
            <w:pPr>
              <w:spacing w:after="0"/>
              <w:rPr>
                <w:sz w:val="8"/>
                <w:szCs w:val="8"/>
                <w:color w:val="auto"/>
              </w:rPr>
            </w:pPr>
          </w:p>
        </w:tc>
        <w:tc>
          <w:tcPr>
            <w:tcW w:w="200" w:type="dxa"/>
            <w:vAlign w:val="bottom"/>
          </w:tcPr>
          <w:p>
            <w:pPr>
              <w:spacing w:after="0"/>
              <w:rPr>
                <w:sz w:val="8"/>
                <w:szCs w:val="8"/>
                <w:color w:val="auto"/>
              </w:rPr>
            </w:pPr>
          </w:p>
        </w:tc>
        <w:tc>
          <w:tcPr>
            <w:tcW w:w="354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gridSpan w:val="2"/>
          </w:tcPr>
          <w:p>
            <w:pPr>
              <w:ind w:left="200"/>
              <w:spacing w:after="0"/>
              <w:rPr>
                <w:sz w:val="20"/>
                <w:szCs w:val="20"/>
                <w:color w:val="auto"/>
              </w:rPr>
            </w:pPr>
            <w:r>
              <w:rPr>
                <w:rFonts w:ascii="Arial" w:cs="Arial" w:eastAsia="Arial" w:hAnsi="Arial"/>
                <w:sz w:val="13"/>
                <w:szCs w:val="13"/>
                <w:color w:val="auto"/>
              </w:rPr>
              <w:t>Line)</w:t>
            </w: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7"/>
                <w:szCs w:val="17"/>
                <w:color w:val="0000FF"/>
              </w:rPr>
              <w:t>MALMO</w:t>
            </w:r>
          </w:p>
        </w:tc>
        <w:tc>
          <w:tcPr>
            <w:tcW w:w="780" w:type="dxa"/>
            <w:vAlign w:val="bottom"/>
          </w:tcPr>
          <w:p>
            <w:pPr>
              <w:ind w:left="540"/>
              <w:spacing w:after="0"/>
              <w:rPr>
                <w:sz w:val="20"/>
                <w:szCs w:val="20"/>
                <w:color w:val="auto"/>
              </w:rPr>
            </w:pPr>
            <w:r>
              <w:rPr>
                <w:rFonts w:ascii="Times New Roman" w:cs="Times New Roman" w:eastAsia="Times New Roman" w:hAnsi="Times New Roman"/>
                <w:sz w:val="17"/>
                <w:szCs w:val="17"/>
                <w:color w:val="0000FF"/>
              </w:rPr>
              <w:t>V7</w:t>
            </w:r>
          </w:p>
        </w:tc>
        <w:tc>
          <w:tcPr>
            <w:tcW w:w="8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211 19</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960" w:type="dxa"/>
            <w:vAlign w:val="bottom"/>
            <w:gridSpan w:val="7"/>
          </w:tcPr>
          <w:p>
            <w:pPr>
              <w:ind w:left="140"/>
              <w:spacing w:after="0" w:line="140"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20" w:type="dxa"/>
            <w:vAlign w:val="bottom"/>
            <w:gridSpan w:val="2"/>
            <w:vMerge w:val="restart"/>
          </w:tcPr>
          <w:p>
            <w:pPr>
              <w:ind w:left="5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3820" w:type="dxa"/>
            <w:vAlign w:val="bottom"/>
            <w:tcBorders>
              <w:bottom w:val="single" w:sz="8" w:color="2C2C2C"/>
            </w:tcBorders>
            <w:gridSpan w:val="6"/>
          </w:tcPr>
          <w:p>
            <w:pPr>
              <w:spacing w:after="0"/>
              <w:rPr>
                <w:sz w:val="10"/>
                <w:szCs w:val="10"/>
                <w:color w:val="auto"/>
              </w:rPr>
            </w:pPr>
          </w:p>
        </w:tc>
        <w:tc>
          <w:tcPr>
            <w:tcW w:w="2500" w:type="dxa"/>
            <w:vAlign w:val="bottom"/>
            <w:tcBorders>
              <w:bottom w:val="single" w:sz="8" w:color="2C2C2C"/>
            </w:tcBorders>
            <w:gridSpan w:val="5"/>
          </w:tcPr>
          <w:p>
            <w:pPr>
              <w:spacing w:after="0"/>
              <w:rPr>
                <w:sz w:val="10"/>
                <w:szCs w:val="10"/>
                <w:color w:val="auto"/>
              </w:rPr>
            </w:pPr>
          </w:p>
        </w:tc>
        <w:tc>
          <w:tcPr>
            <w:tcW w:w="1400" w:type="dxa"/>
            <w:vAlign w:val="bottom"/>
            <w:tcBorders>
              <w:bottom w:val="single" w:sz="8" w:color="2C2C2C"/>
            </w:tcBorders>
            <w:gridSpan w:val="3"/>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4"/>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92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4"/>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6"/>
              </w:rPr>
              <w:t>Transaction</w:t>
            </w:r>
          </w:p>
        </w:tc>
        <w:tc>
          <w:tcPr>
            <w:tcW w:w="1960" w:type="dxa"/>
            <w:vAlign w:val="bottom"/>
            <w:gridSpan w:val="5"/>
          </w:tcPr>
          <w:p>
            <w:pPr>
              <w:ind w:left="10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920" w:type="dxa"/>
            <w:vAlign w:val="bottom"/>
            <w:gridSpan w:val="2"/>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7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ADSs</w:t>
            </w:r>
          </w:p>
        </w:tc>
        <w:tc>
          <w:tcPr>
            <w:tcW w:w="7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2"/>
          </w:tcPr>
          <w:p>
            <w:pPr>
              <w:ind w:left="920"/>
              <w:spacing w:after="0"/>
              <w:rPr>
                <w:sz w:val="20"/>
                <w:szCs w:val="20"/>
                <w:color w:val="auto"/>
              </w:rPr>
            </w:pPr>
            <w:r>
              <w:rPr>
                <w:rFonts w:ascii="Times New Roman" w:cs="Times New Roman" w:eastAsia="Times New Roman" w:hAnsi="Times New Roman"/>
                <w:sz w:val="17"/>
                <w:szCs w:val="17"/>
                <w:color w:val="0000FF"/>
              </w:rPr>
              <w:t>06/02/2026</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6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7,820</w:t>
            </w:r>
          </w:p>
        </w:tc>
        <w:tc>
          <w:tcPr>
            <w:tcW w:w="5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8.95</w:t>
            </w:r>
          </w:p>
        </w:tc>
        <w:tc>
          <w:tcPr>
            <w:tcW w:w="1180" w:type="dxa"/>
            <w:vAlign w:val="bottom"/>
            <w:tcBorders>
              <w:bottom w:val="single" w:sz="8" w:color="2C2C2C"/>
            </w:tcBorders>
            <w:gridSpan w:val="2"/>
          </w:tcPr>
          <w:p>
            <w:pPr>
              <w:jc w:val="center"/>
              <w:ind w:right="240"/>
              <w:spacing w:after="0"/>
              <w:rPr>
                <w:sz w:val="20"/>
                <w:szCs w:val="20"/>
                <w:color w:val="auto"/>
              </w:rPr>
            </w:pPr>
            <w:r>
              <w:rPr>
                <w:rFonts w:ascii="Times New Roman" w:cs="Times New Roman" w:eastAsia="Times New Roman" w:hAnsi="Times New Roman"/>
                <w:sz w:val="17"/>
                <w:szCs w:val="17"/>
                <w:color w:val="0000FF"/>
              </w:rPr>
              <w:t>62,845</w:t>
            </w:r>
            <w:r>
              <w:rPr>
                <w:rFonts w:ascii="Times New Roman" w:cs="Times New Roman" w:eastAsia="Times New Roman" w:hAnsi="Times New Roman"/>
                <w:sz w:val="22"/>
                <w:szCs w:val="22"/>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(3)</w:t>
            </w:r>
          </w:p>
        </w:tc>
        <w:tc>
          <w:tcPr>
            <w:tcW w:w="8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381,186</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24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700" w:type="dxa"/>
            <w:vAlign w:val="bottom"/>
            <w:gridSpan w:val="11"/>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28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36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 3</w:t>
            </w:r>
          </w:p>
        </w:tc>
        <w:tc>
          <w:tcPr>
            <w:tcW w:w="540" w:type="dxa"/>
            <w:vAlign w:val="bottom"/>
          </w:tcPr>
          <w:p>
            <w:pPr>
              <w:spacing w:after="0"/>
              <w:rPr>
                <w:sz w:val="11"/>
                <w:szCs w:val="11"/>
                <w:color w:val="auto"/>
              </w:rPr>
            </w:pP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and 4)</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21.2</w:t>
            </w: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(6)</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ADSs</w:t>
            </w:r>
          </w:p>
        </w:tc>
        <w:tc>
          <w:tcPr>
            <w:tcW w:w="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11,666</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11,666</w:t>
            </w:r>
          </w:p>
        </w:tc>
        <w:tc>
          <w:tcPr>
            <w:tcW w:w="26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780" w:type="dxa"/>
            <w:vAlign w:val="bottom"/>
            <w:gridSpan w:val="2"/>
          </w:tcPr>
          <w:p>
            <w:pPr>
              <w:ind w:left="60"/>
              <w:spacing w:after="0" w:line="71" w:lineRule="exact"/>
              <w:rPr>
                <w:sz w:val="20"/>
                <w:szCs w:val="20"/>
                <w:color w:val="auto"/>
              </w:rPr>
            </w:pPr>
            <w:r>
              <w:rPr>
                <w:rFonts w:ascii="Times New Roman" w:cs="Times New Roman" w:eastAsia="Times New Roman" w:hAnsi="Times New Roman"/>
                <w:sz w:val="6"/>
                <w:szCs w:val="6"/>
                <w:color w:val="0000FF"/>
              </w:rPr>
              <w:t>Options</w:t>
            </w:r>
            <w:r>
              <w:rPr>
                <w:rFonts w:ascii="Times New Roman" w:cs="Times New Roman" w:eastAsia="Times New Roman" w:hAnsi="Times New Roman"/>
                <w:sz w:val="8"/>
                <w:szCs w:val="8"/>
                <w:color w:val="008000"/>
                <w:vertAlign w:val="superscript"/>
              </w:rPr>
              <w:t>(4)</w:t>
            </w:r>
          </w:p>
        </w:tc>
        <w:tc>
          <w:tcPr>
            <w:tcW w:w="780" w:type="dxa"/>
            <w:vAlign w:val="bottom"/>
            <w:vMerge w:val="continue"/>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50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134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-2070735</wp:posOffset>
            </wp:positionV>
            <wp:extent cx="29210" cy="2075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7518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40" w:right="300" w:firstLine="6"/>
        <w:spacing w:after="0" w:line="269" w:lineRule="auto"/>
        <w:tabs>
          <w:tab w:leader="none" w:pos="172"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ADSs were sold pursuant to a sell to cover transaction to satisfy tax withholding obligations upon the vesting of RSUs. The sale was executed automatically pursuant to a sell to cover arrangement and does not represent a discretionary trade by the Reporting Person.</w:t>
      </w:r>
    </w:p>
    <w:p>
      <w:pPr>
        <w:spacing w:after="0" w:line="8" w:lineRule="exact"/>
        <w:rPr>
          <w:rFonts w:ascii="Times New Roman" w:cs="Times New Roman" w:eastAsia="Times New Roman" w:hAnsi="Times New Roman"/>
          <w:sz w:val="13"/>
          <w:szCs w:val="13"/>
          <w:color w:val="008000"/>
        </w:rPr>
      </w:pPr>
    </w:p>
    <w:p>
      <w:pPr>
        <w:ind w:left="40" w:right="160" w:firstLine="6"/>
        <w:spacing w:after="0" w:line="269" w:lineRule="auto"/>
        <w:tabs>
          <w:tab w:leader="none" w:pos="172"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RSUs, each RSU represents a right to receive one ADS in the Issuer. 667 RSUs vest on 5/30/2027, 20,336 RSUs will vest in two equal annual increments beginning 5/30/2027, and 34,825 RSUs will vest in three equal annual increments beginning 5/30/2027. There are no voting or dividend rights prior to vesting.</w:t>
      </w:r>
    </w:p>
    <w:p>
      <w:pPr>
        <w:spacing w:after="0" w:line="8" w:lineRule="exact"/>
        <w:rPr>
          <w:rFonts w:ascii="Times New Roman" w:cs="Times New Roman" w:eastAsia="Times New Roman" w:hAnsi="Times New Roman"/>
          <w:sz w:val="13"/>
          <w:szCs w:val="13"/>
          <w:color w:val="008000"/>
        </w:rPr>
      </w:pPr>
    </w:p>
    <w:p>
      <w:pPr>
        <w:ind w:left="180" w:hanging="134"/>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Ordinary Shares may be converted into ADSs at a conversion ratio of 20-to-1, at the election of the Reporting Person.</w:t>
      </w:r>
    </w:p>
    <w:p>
      <w:pPr>
        <w:spacing w:after="0" w:line="48" w:lineRule="exact"/>
        <w:rPr>
          <w:rFonts w:ascii="Times New Roman" w:cs="Times New Roman" w:eastAsia="Times New Roman" w:hAnsi="Times New Roman"/>
          <w:sz w:val="13"/>
          <w:szCs w:val="13"/>
          <w:color w:val="008000"/>
        </w:rPr>
      </w:pPr>
    </w:p>
    <w:p>
      <w:pPr>
        <w:ind w:left="180" w:hanging="134"/>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stock option represents a right to receive one ADS in the Issuer.</w:t>
      </w:r>
    </w:p>
    <w:p>
      <w:pPr>
        <w:spacing w:after="0" w:line="48" w:lineRule="exact"/>
        <w:rPr>
          <w:rFonts w:ascii="Times New Roman" w:cs="Times New Roman" w:eastAsia="Times New Roman" w:hAnsi="Times New Roman"/>
          <w:sz w:val="13"/>
          <w:szCs w:val="13"/>
          <w:color w:val="008000"/>
        </w:rPr>
      </w:pPr>
    </w:p>
    <w:p>
      <w:pPr>
        <w:ind w:left="180" w:hanging="134"/>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options vest in three equal annual increments beginning 5/30/2025.</w:t>
      </w:r>
    </w:p>
    <w:p>
      <w:pPr>
        <w:spacing w:after="0" w:line="48" w:lineRule="exact"/>
        <w:rPr>
          <w:rFonts w:ascii="Times New Roman" w:cs="Times New Roman" w:eastAsia="Times New Roman" w:hAnsi="Times New Roman"/>
          <w:sz w:val="13"/>
          <w:szCs w:val="13"/>
          <w:color w:val="008000"/>
        </w:rPr>
      </w:pPr>
    </w:p>
    <w:p>
      <w:pPr>
        <w:ind w:left="180" w:hanging="134"/>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options expire five years after the relevant vesting date.</w:t>
      </w:r>
    </w:p>
    <w:p>
      <w:pPr>
        <w:spacing w:after="0" w:line="6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Timothy Sjovall, pursuant to</w:t>
            </w: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8"/>
              </w:rPr>
              <w:t>06/03/2026</w:t>
            </w:r>
          </w:p>
        </w:tc>
        <w:tc>
          <w:tcPr>
            <w:tcW w:w="0" w:type="dxa"/>
            <w:vAlign w:val="bottom"/>
          </w:tcPr>
          <w:p>
            <w:pPr>
              <w:spacing w:after="0"/>
              <w:rPr>
                <w:sz w:val="1"/>
                <w:szCs w:val="1"/>
                <w:color w:val="auto"/>
              </w:rPr>
            </w:pPr>
          </w:p>
        </w:tc>
      </w:tr>
      <w:tr>
        <w:trPr>
          <w:trHeight w:val="86"/>
        </w:trPr>
        <w:tc>
          <w:tcPr>
            <w:tcW w:w="1220" w:type="dxa"/>
            <w:vAlign w:val="bottom"/>
            <w:tcBorders>
              <w:top w:val="single" w:sz="8" w:color="auto"/>
            </w:tcBorders>
            <w:vMerge w:val="restart"/>
          </w:tcPr>
          <w:p>
            <w:pPr>
              <w:spacing w:after="0" w:line="192" w:lineRule="exact"/>
              <w:rPr>
                <w:sz w:val="20"/>
                <w:szCs w:val="20"/>
                <w:color w:val="auto"/>
              </w:rPr>
            </w:pPr>
            <w:r>
              <w:rPr>
                <w:rFonts w:ascii="Times New Roman" w:cs="Times New Roman" w:eastAsia="Times New Roman" w:hAnsi="Times New Roman"/>
                <w:sz w:val="17"/>
                <w:szCs w:val="17"/>
                <w:color w:val="0000FF"/>
                <w:w w:val="99"/>
              </w:rPr>
              <w:t>power of attorney</w:t>
            </w:r>
          </w:p>
        </w:tc>
        <w:tc>
          <w:tcPr>
            <w:tcW w:w="74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220" w:type="dxa"/>
            <w:vAlign w:val="bottom"/>
            <w:tcBorders>
              <w:top w:val="single" w:sz="8" w:color="auto"/>
              <w:bottom w:val="single" w:sz="8" w:color="auto"/>
            </w:tcBorders>
            <w:vMerge w:val="continue"/>
          </w:tcPr>
          <w:p>
            <w:pPr>
              <w:spacing w:after="0"/>
              <w:rPr>
                <w:sz w:val="7"/>
                <w:szCs w:val="7"/>
                <w:color w:val="auto"/>
              </w:rPr>
            </w:pPr>
          </w:p>
        </w:tc>
        <w:tc>
          <w:tcPr>
            <w:tcW w:w="74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40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8"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9"/>
          <w:szCs w:val="19"/>
          <w:b w:val="1"/>
          <w:bCs w:val="1"/>
          <w:color w:val="auto"/>
        </w:rPr>
        <w:t>SECTION 16</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302" w:lineRule="exact"/>
        <w:rPr>
          <w:sz w:val="20"/>
          <w:szCs w:val="20"/>
          <w:color w:val="auto"/>
        </w:rPr>
      </w:pPr>
    </w:p>
    <w:p>
      <w:pPr>
        <w:jc w:val="both"/>
        <w:ind w:left="380" w:right="399" w:firstLine="401"/>
        <w:spacing w:after="0" w:line="265" w:lineRule="auto"/>
        <w:rPr>
          <w:sz w:val="20"/>
          <w:szCs w:val="20"/>
          <w:color w:val="auto"/>
        </w:rPr>
      </w:pPr>
      <w:r>
        <w:rPr>
          <w:rFonts w:ascii="Times New Roman" w:cs="Times New Roman" w:eastAsia="Times New Roman" w:hAnsi="Times New Roman"/>
          <w:sz w:val="19"/>
          <w:szCs w:val="19"/>
          <w:color w:val="auto"/>
        </w:rPr>
        <w:t>Know all by these presents, that the undersigned hereby constitutes and appoints Pontus Mattsson, Timothy Sjövall, Brian Kearney, Martin Lind, Suzanne Lindstén and Johanna Ståhl, or any of them, the undersigned’s true and lawful attorney-in-fact to:</w:t>
      </w:r>
    </w:p>
    <w:p>
      <w:pPr>
        <w:spacing w:after="0" w:line="163" w:lineRule="exact"/>
        <w:rPr>
          <w:sz w:val="20"/>
          <w:szCs w:val="20"/>
          <w:color w:val="auto"/>
        </w:rPr>
      </w:pPr>
    </w:p>
    <w:p>
      <w:pPr>
        <w:jc w:val="both"/>
        <w:ind w:left="380" w:right="399" w:firstLine="637"/>
        <w:spacing w:after="0" w:line="265" w:lineRule="auto"/>
        <w:tabs>
          <w:tab w:leader="none" w:pos="1403" w:val="left"/>
        </w:tabs>
        <w:numPr>
          <w:ilvl w:val="1"/>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 for and on behalf of the undersigned, in the undersigned’s capacity as an officer and/or director of Oatly Group AB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Forms 3, 4, and 5 in accordance with Section 16(a) of the Securities Exchange Act of 1934 (the “</w:t>
      </w:r>
      <w:r>
        <w:rPr>
          <w:rFonts w:ascii="Times New Roman" w:cs="Times New Roman" w:eastAsia="Times New Roman" w:hAnsi="Times New Roman"/>
          <w:sz w:val="19"/>
          <w:szCs w:val="19"/>
          <w:u w:val="single" w:color="auto"/>
          <w:color w:val="auto"/>
        </w:rPr>
        <w:t>Exchange Act</w:t>
      </w:r>
      <w:r>
        <w:rPr>
          <w:rFonts w:ascii="Times New Roman" w:cs="Times New Roman" w:eastAsia="Times New Roman" w:hAnsi="Times New Roman"/>
          <w:sz w:val="19"/>
          <w:szCs w:val="19"/>
          <w:color w:val="auto"/>
        </w:rPr>
        <w:t>”) and the rules thereunder;</w:t>
      </w:r>
    </w:p>
    <w:p>
      <w:pPr>
        <w:spacing w:after="0" w:line="162" w:lineRule="exact"/>
        <w:rPr>
          <w:rFonts w:ascii="Times New Roman" w:cs="Times New Roman" w:eastAsia="Times New Roman" w:hAnsi="Times New Roman"/>
          <w:sz w:val="19"/>
          <w:szCs w:val="19"/>
          <w:color w:val="auto"/>
        </w:rPr>
      </w:pPr>
    </w:p>
    <w:p>
      <w:pPr>
        <w:jc w:val="both"/>
        <w:ind w:left="380" w:right="379" w:firstLine="390"/>
        <w:spacing w:after="0" w:line="265" w:lineRule="auto"/>
        <w:tabs>
          <w:tab w:leader="none" w:pos="1156"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and perform any and all acts for and on behalf of the undersigned which may be necessary or desirable to complete and execute any such Form 3, 4, or 5 and timely file such form with the U.S. Securities and Exchange Commission and any stock exchange or similar authority; and</w:t>
      </w:r>
    </w:p>
    <w:p>
      <w:pPr>
        <w:spacing w:after="0" w:line="162" w:lineRule="exact"/>
        <w:rPr>
          <w:rFonts w:ascii="Times New Roman" w:cs="Times New Roman" w:eastAsia="Times New Roman" w:hAnsi="Times New Roman"/>
          <w:sz w:val="19"/>
          <w:szCs w:val="19"/>
          <w:color w:val="auto"/>
        </w:rPr>
      </w:pPr>
    </w:p>
    <w:p>
      <w:pPr>
        <w:jc w:val="both"/>
        <w:ind w:left="380" w:right="379" w:firstLine="390"/>
        <w:spacing w:after="0" w:line="256" w:lineRule="auto"/>
        <w:tabs>
          <w:tab w:leader="none" w:pos="1156"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1" w:lineRule="exact"/>
        <w:rPr>
          <w:sz w:val="20"/>
          <w:szCs w:val="20"/>
          <w:color w:val="auto"/>
        </w:rPr>
      </w:pPr>
    </w:p>
    <w:p>
      <w:pPr>
        <w:jc w:val="both"/>
        <w:ind w:left="380" w:right="379" w:firstLine="388"/>
        <w:spacing w:after="0" w:line="251" w:lineRule="auto"/>
        <w:rPr>
          <w:sz w:val="20"/>
          <w:szCs w:val="20"/>
          <w:color w:val="auto"/>
        </w:rPr>
      </w:pPr>
      <w:r>
        <w:rPr>
          <w:rFonts w:ascii="Times New Roman" w:cs="Times New Roman" w:eastAsia="Times New Roman" w:hAnsi="Times New Roman"/>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80" w:lineRule="exact"/>
        <w:rPr>
          <w:sz w:val="20"/>
          <w:szCs w:val="20"/>
          <w:color w:val="auto"/>
        </w:rPr>
      </w:pPr>
    </w:p>
    <w:p>
      <w:pPr>
        <w:jc w:val="both"/>
        <w:ind w:left="380" w:right="379" w:firstLine="388"/>
        <w:spacing w:after="0" w:line="259"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68" w:lineRule="exact"/>
        <w:rPr>
          <w:sz w:val="20"/>
          <w:szCs w:val="20"/>
          <w:color w:val="auto"/>
        </w:rPr>
      </w:pPr>
    </w:p>
    <w:p>
      <w:pPr>
        <w:jc w:val="both"/>
        <w:ind w:left="380" w:right="379"/>
        <w:spacing w:after="0" w:line="284" w:lineRule="auto"/>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this 16 day of February, 2026.</w:t>
      </w:r>
    </w:p>
    <w:p>
      <w:pPr>
        <w:spacing w:after="0" w:line="356" w:lineRule="exact"/>
        <w:rPr>
          <w:sz w:val="20"/>
          <w:szCs w:val="20"/>
          <w:color w:val="auto"/>
        </w:rPr>
      </w:pPr>
    </w:p>
    <w:tbl>
      <w:tblPr>
        <w:tblLayout w:type="fixed"/>
        <w:tblInd w:w="480" w:type="dxa"/>
        <w:tblCellMar>
          <w:top w:w="0" w:type="dxa"/>
          <w:left w:w="0" w:type="dxa"/>
          <w:bottom w:w="0" w:type="dxa"/>
          <w:right w:w="0" w:type="dxa"/>
        </w:tblCellMar>
      </w:tblPr>
      <w:tr>
        <w:trPr>
          <w:trHeight w:val="248"/>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23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9"/>
                <w:szCs w:val="19"/>
                <w:color w:val="auto"/>
              </w:rPr>
              <w:t>/s/ Simon Broadbent</w:t>
            </w:r>
          </w:p>
        </w:tc>
      </w:tr>
      <w:tr>
        <w:trPr>
          <w:trHeight w:val="246"/>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Name:</w:t>
            </w:r>
          </w:p>
        </w:tc>
        <w:tc>
          <w:tcPr>
            <w:tcW w:w="238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Simon Broadbent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2103755</wp:posOffset>
            </wp:positionV>
            <wp:extent cx="689800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898005" cy="41910"/>
                    </a:xfrm>
                    <a:prstGeom prst="rect">
                      <a:avLst/>
                    </a:prstGeom>
                    <a:noFill/>
                  </pic:spPr>
                </pic:pic>
              </a:graphicData>
            </a:graphic>
          </wp:anchor>
        </w:drawing>
      </w:r>
    </w:p>
    <w:p>
      <w:pPr>
        <w:sectPr>
          <w:pgSz w:w="11900" w:h="16838" w:orient="portrait"/>
          <w:cols w:equalWidth="0" w:num="1">
            <w:col w:w="9019"/>
          </w:cols>
          <w:pgMar w:left="1440" w:top="1383" w:right="1440" w:bottom="144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lvl w:ilvl="1">
      <w:lvlJc w:val="left"/>
      <w:lvlText w:val="(%2)"/>
      <w:numFmt w:val="decimal"/>
      <w:start w:val="1"/>
    </w:lvl>
  </w:abstractNum>
  <w:abstractNum w:abstractNumId="4">
    <w:nsid w:val="46E87CCD"/>
    <w:multiLevelType w:val="hybridMultilevel"/>
    <w:lvl w:ilvl="0">
      <w:lvlJc w:val="left"/>
      <w:lvlText w:val="(%1)"/>
      <w:numFmt w:val="decimal"/>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2118257" TargetMode="External"/><Relationship Id="rId14" Type="http://schemas.openxmlformats.org/officeDocument/2006/relationships/hyperlink" Target="http://www.sec.gov/cgi-bin/browse-edgar?action=getcompany&amp;CIK=00018435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2026-06-03T17:52:08Z</dcterms:created>
  <dcterms:modified xsi:type="dcterms:W3CDTF">2026-06-03T17:52:08Z</dcterms:modified>
</cp:coreProperties>
</file>