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170815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 the month of February 2026</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Oatly Group AB</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174625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Ångfärjekajen 8</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211 19 Malmö</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Sweden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183515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27"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of Foreign Private Issuer on Form 6-K is hereby incorporated by reference into the registration statements on Form S-8, as amended (File Number 333-256316) and Form F-3, as amended (File Number 333-286101) of the Company (including any prospectuses forming a part of such registration statements), hereby amending them,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2942590</wp:posOffset>
            </wp:positionH>
            <wp:positionV relativeFrom="page">
              <wp:posOffset>2428875</wp:posOffset>
            </wp:positionV>
            <wp:extent cx="1671320" cy="1620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610235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2976880</wp:posOffset>
            </wp:positionH>
            <wp:positionV relativeFrom="page">
              <wp:posOffset>645795</wp:posOffset>
            </wp:positionV>
            <wp:extent cx="160274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02740" cy="5314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Reports Fourth Quarter and Full Year 2025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MALMÖ, Sweden, February 11, 2026 – Oatly Group AB (Nasdaq: OTLY) (“Oatly”, the “Company” or the “Group”), the world’s original and largest oat drink company, today announced financial results for the fourth quarter and twelve months ended December 31, 2025.</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Jean-Christophe Flatin, Oatly’s CEO, commented, “I am proud to report that we drove profitable growth in both the fourth quarter and the full year. Achieving this milestone reflects the disciplined, strategic actions we have taken over the past three years to strengthen the foundation of our entire business. We have right-sized our supply chain and overhead structure while simultaneously reinvesting behind our refreshed growth strategy. We are seeing clear evidence that our strategy is working and driving impact, as we are driving growth in every market where it is fully deployed and seeing good early results in the markets where we are still rolling out our playbook. We are also seeing improved profitability and cash flow across the business.”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 continued, “We know that achieving our first full year of profitability is a milestone, not our destination. As we look forward, we expect to accelerate our impact as we continue to execute our growth strategy, drive incremental demand, and deliver even stronger profitable growth. We continue to see significant potential ahead of us, and we are confident that we are taking the right steps to drive durable, scalable, and profitable growth as we execute on our mission.”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reconcile revenue as reported to revenue on a constant currency basis by segment for the three and twelve months ended December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1900" w:type="dxa"/>
            <w:vAlign w:val="bottom"/>
            <w:tcBorders>
              <w:bottom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133,73</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123,88</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133,736</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108,462</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35,210</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7"/>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233,77</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223,48</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233,779</w:t>
            </w:r>
          </w:p>
        </w:tc>
        <w:tc>
          <w:tcPr>
            <w:tcW w:w="22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214,316</w:t>
            </w:r>
          </w:p>
        </w:tc>
        <w:tc>
          <w:tcPr>
            <w:tcW w:w="2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10,296</w:t>
            </w:r>
          </w:p>
        </w:tc>
        <w:tc>
          <w:tcPr>
            <w:tcW w:w="220" w:type="dxa"/>
            <w:vAlign w:val="bottom"/>
            <w:vMerge w:val="restart"/>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900" w:type="dxa"/>
            <w:vAlign w:val="bottom"/>
            <w:tcBorders>
              <w:bottom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482,86</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462,11</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482,861</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434,263</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20,746</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249,55</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249,55</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26"/>
        </w:trPr>
        <w:tc>
          <w:tcPr>
            <w:tcW w:w="2520" w:type="dxa"/>
            <w:vAlign w:val="bottom"/>
            <w:vMerge w:val="continue"/>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249,559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130,03</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129,80</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130,039</w:t>
            </w:r>
          </w:p>
        </w:tc>
        <w:tc>
          <w:tcPr>
            <w:tcW w:w="220" w:type="dxa"/>
            <w:vAlign w:val="bottom"/>
            <w:vMerge w:val="restart"/>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114,948</w:t>
            </w:r>
          </w:p>
        </w:tc>
        <w:tc>
          <w:tcPr>
            <w:tcW w:w="220" w:type="dxa"/>
            <w:vAlign w:val="bottom"/>
            <w:vMerge w:val="restart"/>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vMerge w:val="restart"/>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vMerge w:val="restart"/>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spacing w:after="0"/>
              <w:rPr>
                <w:sz w:val="9"/>
                <w:szCs w:val="9"/>
                <w:color w:val="auto"/>
              </w:rPr>
            </w:pPr>
          </w:p>
        </w:tc>
        <w:tc>
          <w:tcPr>
            <w:tcW w:w="96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vMerge w:val="continue"/>
            <w:shd w:val="clear" w:color="auto" w:fill="CFF0FC"/>
          </w:tcPr>
          <w:p>
            <w:pPr>
              <w:spacing w:after="0"/>
              <w:rPr>
                <w:sz w:val="9"/>
                <w:szCs w:val="9"/>
                <w:color w:val="auto"/>
              </w:rPr>
            </w:pPr>
          </w:p>
        </w:tc>
        <w:tc>
          <w:tcPr>
            <w:tcW w:w="72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vMerge w:val="continue"/>
            <w:shd w:val="clear" w:color="auto" w:fill="CFF0FC"/>
          </w:tcPr>
          <w:p>
            <w:pPr>
              <w:spacing w:after="0"/>
              <w:rPr>
                <w:sz w:val="9"/>
                <w:szCs w:val="9"/>
                <w:color w:val="auto"/>
              </w:rPr>
            </w:pPr>
          </w:p>
        </w:tc>
        <w:tc>
          <w:tcPr>
            <w:tcW w:w="680" w:type="dxa"/>
            <w:vAlign w:val="bottom"/>
            <w:tcBorders>
              <w:bottom w:val="single" w:sz="8" w:color="auto"/>
            </w:tcBorders>
            <w:vMerge w:val="continue"/>
            <w:shd w:val="clear" w:color="auto" w:fill="CFF0FC"/>
          </w:tcPr>
          <w:p>
            <w:pPr>
              <w:spacing w:after="0"/>
              <w:rPr>
                <w:sz w:val="9"/>
                <w:szCs w:val="9"/>
                <w:color w:val="auto"/>
              </w:rPr>
            </w:pPr>
          </w:p>
        </w:tc>
        <w:tc>
          <w:tcPr>
            <w:tcW w:w="200" w:type="dxa"/>
            <w:vAlign w:val="bottom"/>
            <w:tcBorders>
              <w:bottom w:val="single" w:sz="8" w:color="CFF0FC"/>
            </w:tcBorders>
            <w:vMerge w:val="continue"/>
            <w:shd w:val="clear" w:color="auto" w:fill="CFF0FC"/>
          </w:tcPr>
          <w:p>
            <w:pPr>
              <w:spacing w:after="0"/>
              <w:rPr>
                <w:sz w:val="9"/>
                <w:szCs w:val="9"/>
                <w:color w:val="auto"/>
              </w:rPr>
            </w:pPr>
          </w:p>
        </w:tc>
        <w:tc>
          <w:tcPr>
            <w:tcW w:w="70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vMerge w:val="continue"/>
            <w:shd w:val="clear" w:color="auto" w:fill="CFF0FC"/>
          </w:tcPr>
          <w:p>
            <w:pPr>
              <w:spacing w:after="0"/>
              <w:rPr>
                <w:sz w:val="9"/>
                <w:szCs w:val="9"/>
                <w:color w:val="auto"/>
              </w:rPr>
            </w:pPr>
          </w:p>
        </w:tc>
        <w:tc>
          <w:tcPr>
            <w:tcW w:w="66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60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862,45</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841,48</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20,978</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-2202180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-2202180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-2202180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-2202180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-2202180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-307975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-307975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Highlights</w:t>
      </w:r>
    </w:p>
    <w:p>
      <w:pPr>
        <w:spacing w:after="0" w:line="189" w:lineRule="exact"/>
        <w:rPr>
          <w:sz w:val="20"/>
          <w:szCs w:val="20"/>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 of $233.8 million, a 9.1% increase compared to the prior year period, with a constant currency revenue increase of 4.3% compared to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 the fourth quarter was 34.5%, which is a 5.8 percentage points increase compared to the prior year period.</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net loss attributable to shareholders of the parent was $19.1 million, which is an improvement of $72.1 million compared to a net loss attributable to shareholders of the parent of $91.2 million in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Adjusted EBITDA was $11.0 million, which is an improvement of $17.1 million compared to the prior 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providing its 2026 outlook as follows:</w:t>
      </w:r>
    </w:p>
    <w:p>
      <w:pPr>
        <w:spacing w:after="0" w:line="198" w:lineRule="exact"/>
        <w:rPr>
          <w:sz w:val="20"/>
          <w:szCs w:val="20"/>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expected to be in the range of +3% to +5%;</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expected to be in the range of $25 million to $35 million; and</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be in the range of $20 million to $30 million.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Results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$19.5 million, or 9.1% to $233.8 million for the fourth quarter ended December 31, 2025, compared to $214.3 million for the prior year period. Excluding a foreign currency exchange tailwind of $10.3 million, revenue for the fourth quarter was $223.5 million, or an increase of 4.3% compared to the prior year period. The growth in constant currency revenue was driven by another quarter of consistent performance in Europe &amp; International, partially offset by decline in North America, explained mainly by a reduction in revenue to a large foodservice customer, as well as a slight decline in Greater China. Sold volume for the fourth quarter of 2025 increased 2.9% to 157.6 million liters compared to 153.2 million liters in the fourth quarter of 2024. Produced finished goods volume for the fourth quarter of 2025 was 161.5 million liters compared to 145.3 million liters for the fourth quarter of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$80.8 million for the fourth quarter of 2025 compared to $61.6 million for the fourth quarter of 2024. Gross profit margin was 34.5% in the fourth quarter of 2025, an increase of 579 basis points compared to the prior period. The margin expansion compared to the fourth quarter of 2024 was explained by improvements in supply chain efficiency in Europe &amp; International, product and channel mix in North America and Greater China.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 the fourth quarter of 2025 increased $1.3 million to $5.1 million compared to $3.7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mainly explained by expenses related to new product launches and foreign currency exchange headwinds.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the fourth quarter of 2025 increased $1.9 million to $83.9 million compared to $82.0 million in the prior year period. The increase was driven by foreign currency exchange headwinds and customer distribution costs linked to growth in sold volumes, partially offset by continued actions to reduce overhead expenses.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operating income and (expenses), net for the fourth quarter of 2025 was an expense of $1.9 million comprised primarily of $2.6 million in costs for the Company’s strategic review of the Greater China segment, offset by a net foreign exchange gain. Other operating income and (expenses), net for the prior year period was an expense of $65.6 million comprised primarily of non-cash impairment charges of $41.7 million related to the discontinued construction of the second production facility in China (Asia III) and the closure of the production facility in Singapore, and other exit costs of $23.0 million related to the closure of the production facility in Singapore.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income and (expenses), net for the fourth quarter of 2025 was an expense of $7.1 million comprised primarily of fair value gain on Convertible Notes of $24.0 million, offset by $18.9 million in expenses related to the Company’s recent financing activities, and net interest expenses of $13.5 million. The finance income and (expenses), net for the prior year period was an expense of $1.1 million comprised primarily of net interest expenses of $13.6 million, offset by fair value gains on Convertible Notes of $4.6 million and net foreign exchange gains of $8.2 million.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shareholders of the parent was $19.1 million for the fourth quarter of 2025 compared to a loss of $91.2 million in the prior year period. The improvement was primarily a result of higher gross profit and decreased other operating income and (expenses), net.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for the fourth quarter of 2025 was $11.0 million, compared to a loss of $6.1 million in the prior year period. The improvement in Adjusted EBITDA was primarily a result of higher gross profit.</w:t>
      </w:r>
    </w:p>
    <w:p>
      <w:pPr>
        <w:spacing w:after="0" w:line="11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EBITDA, Adjusted EBITDA, and Constant Currency Revenue are non-IFRS financial measures defined under “Non-IFRS financial measures”. Please see above revenue at constant currency table and “Reconciliation of IFRS to Non-IFRS Financial measures” at the end of this report.</w:t>
      </w:r>
    </w:p>
    <w:p>
      <w:pPr>
        <w:spacing w:after="0" w:line="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 Adjusted EBITDA, EBITDA and loss before tax for the Company’s three reportable segments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133,736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134,084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64,392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35,651</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26,496</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4,381</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(20,951)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(463)</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(244)</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25,789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3,707</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(2,163)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(23,857)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(13,575)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(17,225)</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108,462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(1,326)</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109,788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35,258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16,580</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1,249</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(24,497)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(6,079)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(356)</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178"/>
        </w:trPr>
        <w:tc>
          <w:tcPr>
            <w:tcW w:w="3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9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(42,110)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(42,110)</w:t>
            </w:r>
          </w:p>
        </w:tc>
        <w:tc>
          <w:tcPr>
            <w:tcW w:w="0" w:type="dxa"/>
            <w:vAlign w:val="bottom"/>
          </w:tcPr>
          <w:p>
            <w:pPr>
              <w:spacing w:after="0"/>
              <w:rPr>
                <w:sz w:val="1"/>
                <w:szCs w:val="1"/>
                <w:color w:val="auto"/>
              </w:rPr>
            </w:pPr>
          </w:p>
        </w:tc>
      </w:tr>
      <w:tr>
        <w:trPr>
          <w:trHeight w:val="178"/>
        </w:trPr>
        <w:tc>
          <w:tcPr>
            <w:tcW w:w="39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90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(25,068)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(22,898)</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(27,308)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3,352</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(25,141)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(28,674)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(77,771)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(90,852)</w:t>
            </w:r>
          </w:p>
        </w:tc>
        <w:tc>
          <w:tcPr>
            <w:tcW w:w="0" w:type="dxa"/>
            <w:vAlign w:val="bottom"/>
          </w:tcPr>
          <w:p>
            <w:pPr>
              <w:spacing w:after="0"/>
              <w:rPr>
                <w:sz w:val="1"/>
                <w:szCs w:val="1"/>
                <w:color w:val="auto"/>
              </w:rPr>
            </w:pPr>
          </w:p>
        </w:tc>
      </w:tr>
      <w:tr>
        <w:trPr>
          <w:trHeight w:val="1195"/>
        </w:trPr>
        <w:tc>
          <w:tcPr>
            <w:tcW w:w="3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 2025</w:t>
            </w:r>
          </w:p>
        </w:tc>
        <w:tc>
          <w:tcPr>
            <w:tcW w:w="1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482,861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249,559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130,039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(1,622)</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484,483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249,559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130,039</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88,169</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3,641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(86,860)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(1,950)</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(1,726)</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(954)</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(1,896)</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(2,043)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(7,547)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(7,547)</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86,111</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(1,358)</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(6,018)</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(97,155)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(18,420)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(77,188)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(49,310)</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(144,918)</w:t>
            </w:r>
          </w:p>
        </w:tc>
        <w:tc>
          <w:tcPr>
            <w:tcW w:w="0" w:type="dxa"/>
            <w:vAlign w:val="bottom"/>
          </w:tcPr>
          <w:p>
            <w:pPr>
              <w:spacing w:after="0"/>
              <w:rPr>
                <w:sz w:val="1"/>
                <w:szCs w:val="1"/>
                <w:color w:val="auto"/>
              </w:rPr>
            </w:pPr>
          </w:p>
        </w:tc>
      </w:tr>
      <w:tr>
        <w:trPr>
          <w:trHeight w:val="31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12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434,263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(6,429)</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440,692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274,455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114,948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(6,429)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56,128</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(1,645)</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(95,106)</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(35,325)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(1,985)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(1,222)</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(2,600)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178"/>
        </w:trPr>
        <w:tc>
          <w:tcPr>
            <w:tcW w:w="3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9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(42,110)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(42,110)</w:t>
            </w:r>
          </w:p>
        </w:tc>
        <w:tc>
          <w:tcPr>
            <w:tcW w:w="0" w:type="dxa"/>
            <w:vAlign w:val="bottom"/>
          </w:tcPr>
          <w:p>
            <w:pPr>
              <w:spacing w:after="0"/>
              <w:rPr>
                <w:sz w:val="1"/>
                <w:szCs w:val="1"/>
                <w:color w:val="auto"/>
              </w:rPr>
            </w:pPr>
          </w:p>
        </w:tc>
      </w:tr>
      <w:tr>
        <w:trPr>
          <w:trHeight w:val="178"/>
        </w:trPr>
        <w:tc>
          <w:tcPr>
            <w:tcW w:w="39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90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(2,875)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(25,068)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(24,660)</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(11,998)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6,748</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(3,983)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(31,077)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(107,874)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(136,186)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(12,421)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(49,966)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(198,573)</w:t>
            </w: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13"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2025 and 2024 refer to intersegment revenue for sales of products from Europe &amp; International to Greater China.</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(2)Relates to costs for the strategic review of the Greater China segment, mainly consisting of cost for external consultants.</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(3)Relates to costs for the closure of the Group’s production facility in Singapore.</w:t>
      </w:r>
    </w:p>
    <w:p>
      <w:pPr>
        <w:spacing w:after="0" w:line="18" w:lineRule="exact"/>
        <w:rPr>
          <w:rFonts w:ascii="Times New Roman" w:cs="Times New Roman" w:eastAsia="Times New Roman" w:hAnsi="Times New Roman"/>
          <w:sz w:val="16"/>
          <w:szCs w:val="16"/>
          <w:color w:val="auto"/>
        </w:rPr>
      </w:pPr>
    </w:p>
    <w:p>
      <w:pPr>
        <w:jc w:val="both"/>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(4)Relates primarily to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Peterborough, UK, reversal of previously recognized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Dallas-Fort Worth, Texas, and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second production facility in China (Asia III).</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(5)Expenses related to a new product launch issue.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International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Europe &amp; International revenue increased $25.3 million, or 23.3%, to $133.7 million for the fourth quarter of 2025, compared to $108.5 million in the prior year period. Excluding a foreign currency exchange tailwind of $9.9 million, Europe &amp; International revenue for the fourth quarter was $123.9 million, or an increase of 14.2%. For the fourth quarter of 2025, the increase in revenue was primarily due to volume growth of 13.9%, mainly driven by growth in the Barista products. Approximately 79% of Europe &amp; International revenue was from the retail channel for the fourth quarter of 2025 compared to 81% in the prior year period. The sold finished goods volume for the three months ended December 31, 2025 and 2024 amounted to 89.3 and 78.3 million liters,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Europe &amp; International Adjusted EBITDA increased $9.9 million to $26.5 million for the fourth quarter of 2025 compared to $16.6 million in the prior year period. The improvement in Adjusted EBITDA was primarily driven by higher gross profit driven by higher revenue and continued supply chain productivity.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 America revenue decreased $6.2 million, or 8.8%, to $64.4 million for the fourth quarter of 2025, compared to $70.6 million in the prior year period. The sold finished goods volume for the three months ended December 31, 2025 and 2024 amounted to 35.8 million and 41.1 million liters, respectively. The 12.6% volume decrease was primarily due to reduction in sales to the segment’s largest foodservice customer. Approximately 61% of North America revenue was from the retail channel in the fourth quarter of compared to 48% in the prior year period.</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North America Adjusted EBITDA increased $3.1 million to $4.4 million for the fourth quarter of 2025, compared to $1.2 million in the prior year period. The increase in Adjusted EBITDA was primarily due to higher gross profit, largely driven by channel and product mix as well as supply chain performance offsetting lower fixed cost absorption driven by lower volumes.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China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Greater China revenue increased $0.4 million, or 1.1%, to $35.7 million for the fourth quarter of 2025, compared to $35.3 million in the prior year period. Excluding a foreign currency exchange tailwind of $0.4 million in the quarter, Greater China revenue for the quarter was $35.2 million or a decrease of 0.1%. The Greater China segment slight decline was primarily driven by reduced sales in Foodservice, partially offset by growth in the retail channel. Approximately 66% of Greater China revenue was from the foodservice channel for the fourth quarter of 2025 compared to 76% in the prior year period. The sold finished goods volume for the three months ended December 31, 2025 and 2024 amounted to 32.5 million and 33.8 million liters,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China Adjusted EBITDA increased $0.5 million to $1.1 million for the fourth quarter of 2025, compared to $0.6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EBITDA is explained by higher gross profit, driven by channel and product mix.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Oatly’s corporate expense, which consists of general costs not allocated to the segments, in the fourth quarter of 2025 was $23.9 million, a decrease of $4.8 million compared to the prior year period, driven by continuous efforts for reduction of expenses, partially offset by foreign currency exchange headwinds. Adjusted EBITDA in the fourth quarter of 2025 was a loss of $21.0 million compared to a loss of $24.5 million in the prior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$64.3 million and total outstanding debt of $523.0 million consisting of Nordic Bonds, Convertible Notes and liabilities to credit institutions. Net cash used in operating activities was $23.7 million for the twelve months ended December 31, 2025, compared to $114.4 million during the prior year period, which was primarily driven by improved operating results and improvements in net working capital.</w:t>
      </w:r>
    </w:p>
    <w:p>
      <w:pPr>
        <w:spacing w:after="0" w:line="2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September 30, 2025, the Company issued Nordic Bonds with an initial issue amount of SEK 1,700 million and entered into a SEK 750 million super senior revolving credit facility. Following the satisfaction of certain conditions, the proceeds from the Nordic Bonds were released to the Company from escrow on October 3, 2025, and used to prepay the Term Loan B Credit Agreement in full, repurchase and cancel an aggregate amount of $42.9 million of its U.S. Convertible Notes and pay related transaction costs. Further, on October 3, 2025, the Company cancelled, terminated, and replaced its existing revolving credit facility with the new super senior revolving credit facility.</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Capital expenditures were $15.3 million for the twelve months ended December 31, 2025, compared to $41.2 million in the prior year period, driven by the Company’s continued discipline in how it invests as well as certain projects that were originally planned to be completed in 2025 are now expected to be completed in 2026.</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$39.0 million for the twelve months ended December 31, 2025 compared to an outflow of $155.6 million during the prior year period. The improvement in free cash flow was driven by decreased net cash flows used in operating activities and lower capital expenditures.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Free Cash Flow is a non-IFRS liquidity measure defined under “Non-IFRS financial measures.” Please see “Reconciliation of IFRS to Non-IFRS Financial measures” at the end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Strategic Review of Greater China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its strategic review of the Company’s Greater China business.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there is no definitive timetable for completing the strategic review, the Company expects to complete the strategic review within 2026. The Company does not intend to provide further updates unless and until the Board of Directors has approved a specific course of action or determines that additional disclosure is appropriate or required. The Company cautions that there can be no assurances that the process will result in any transaction or strategic change.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outlook continues to include the expected results of the Greater China segment. Based on the Company’s assessment of the current operating environment and the actions it is taking, the Company is providing its 2026 outlook.</w:t>
      </w:r>
    </w:p>
    <w:p>
      <w:pPr>
        <w:spacing w:after="0" w:line="73" w:lineRule="exact"/>
        <w:rPr>
          <w:sz w:val="20"/>
          <w:szCs w:val="20"/>
          <w:color w:val="auto"/>
        </w:rPr>
      </w:pPr>
    </w:p>
    <w:p>
      <w:pPr>
        <w:jc w:val="both"/>
        <w:ind w:left="1500" w:hanging="369"/>
        <w:spacing w:after="0" w:line="261"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expected to be in the range of +3% to +5%. This includes an expected headwind of approximately 200 basis points from a large foodservice customer in the North America segment. Based on recent foreign exchange rates, the full-year impact of foreign exchange is expected to be a tailwind to revenue growth by approximately 100 to 200 basis points.</w:t>
      </w:r>
    </w:p>
    <w:p>
      <w:pPr>
        <w:spacing w:after="0" w:line="7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expected to be in the range of $25 million to $35 million.</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be in the range of $20 million to $30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outlook is provided in the context of significant macroeconomic uncertainty and other geopolitical uncertainties.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Oatly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50 countries globally.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www.oatly.com.</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2026, profitability improvement, profitable growth in 2026,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our history of losses and how we may be unable to achieve or sustain profitability, including due to elevated inflation and increased costs for transportation, energy and materials; how our future business, financial condition and results of operations may be adversely affected by reduced or limited availability of oats and other raw materials and ingredients, which meet our quality standards, that our limited number of suppliers are able to sell us; how a failure to obtain necessary capital when needed on acceptable terms, or at all, may force us to delay, limit, reduce or terminate our product manufacturing and development and other operations; those concerning our cash and cash equivalents maintained at financial institutions, often in balances that exceed federally insured limits;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18"/>
          <w:szCs w:val="18"/>
          <w:color w:val="auto"/>
        </w:rPr>
        <w:t>enforcement actions, increasing our operating costs and reducing demand for our product offerings; how a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 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 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 sustainability risks (including environmental, climate change, uncertainty about future related mandatory disclosure requirements,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 risks associated with how our customers generally are not obligated to continue purchasing products from us; difficulties as we expand our operations into countries in which we have no prior operating experience; risks associated with the international nature of our business; the successful execution of the strategic review of the Company’s Greater China operations, the outcome of the strategic review and the market reaction thereto; how our operations in China could expose us to substantial business, regulatory, political, financial and economic risks; our strategic reset in Asia may not be successful; if we fail to comply with trade compliance and economic sanctions laws and regulations of the United States, the EU and other applicable international jurisdictions, it could materially adversely affect our reputation and results of operations;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global conflicts, other effects of ongoing wars and conflicts, and increasing geopolitical tensions and changes to international trade policies, treaties and tariffs, including as a result of the emergence of a trade war; the risk that legal claims, government investigations or other regulatory enforcement actions could subject us to civil and criminal penalties; how our operations are subject to U.S., EU, China and other laws and regulations, and there is no assurance that we will be in compliance with all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 failure to protect our intellectual property, enforce or defend our intellectual property and other proprietary rights adequately, which may impact our commercial success; if we are unable to remediate material weaknesses, or if other material weaknesses are identified, we may not be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and the other important factors discussed under the caption “Risk Factors” in our Annual Report on Form 20-F for the year ended December 31, 2024 filed with the U.S. Securities and Exchange Commission (“SEC”) on March 13, 2025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Kearney, 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0000FF"/>
        </w:rPr>
        <w:t>investors@oatly.com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press.us@oatly.com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40" w:type="dxa"/>
            <w:vAlign w:val="bottom"/>
          </w:tcPr>
          <w:p>
            <w:pPr>
              <w:spacing w:after="0"/>
              <w:rPr>
                <w:sz w:val="20"/>
                <w:szCs w:val="20"/>
                <w:color w:val="auto"/>
              </w:rPr>
            </w:pPr>
          </w:p>
        </w:tc>
      </w:tr>
      <w:tr>
        <w:trPr>
          <w:trHeight w:val="414"/>
        </w:trPr>
        <w:tc>
          <w:tcPr>
            <w:tcW w:w="7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40" w:type="dxa"/>
            <w:vAlign w:val="bottom"/>
          </w:tcPr>
          <w:p>
            <w:pPr>
              <w:spacing w:after="0"/>
              <w:rPr>
                <w:sz w:val="24"/>
                <w:szCs w:val="24"/>
                <w:color w:val="auto"/>
              </w:rPr>
            </w:pPr>
          </w:p>
        </w:tc>
      </w:tr>
      <w:tr>
        <w:trPr>
          <w:trHeight w:val="194"/>
        </w:trPr>
        <w:tc>
          <w:tcPr>
            <w:tcW w:w="15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6080" w:type="dxa"/>
            <w:vAlign w:val="bottom"/>
            <w:gridSpan w:val="7"/>
          </w:tcPr>
          <w:p>
            <w:pPr>
              <w:spacing w:after="0"/>
              <w:rPr>
                <w:sz w:val="16"/>
                <w:szCs w:val="16"/>
                <w:color w:val="auto"/>
              </w:rPr>
            </w:pPr>
          </w:p>
        </w:tc>
        <w:tc>
          <w:tcPr>
            <w:tcW w:w="3640" w:type="dxa"/>
            <w:vAlign w:val="bottom"/>
          </w:tcPr>
          <w:p>
            <w:pPr>
              <w:spacing w:after="0"/>
              <w:rPr>
                <w:sz w:val="16"/>
                <w:szCs w:val="16"/>
                <w:color w:val="auto"/>
              </w:rPr>
            </w:pPr>
          </w:p>
        </w:tc>
      </w:tr>
      <w:tr>
        <w:trPr>
          <w:trHeight w:val="196"/>
        </w:trPr>
        <w:tc>
          <w:tcPr>
            <w:tcW w:w="76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operations</w:t>
            </w: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96"/>
        </w:trPr>
        <w:tc>
          <w:tcPr>
            <w:tcW w:w="41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 of comprehensive loss</w:t>
            </w:r>
          </w:p>
        </w:tc>
        <w:tc>
          <w:tcPr>
            <w:tcW w:w="3440" w:type="dxa"/>
            <w:vAlign w:val="bottom"/>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 of financial position</w:t>
            </w:r>
          </w:p>
        </w:tc>
        <w:tc>
          <w:tcPr>
            <w:tcW w:w="3600" w:type="dxa"/>
            <w:vAlign w:val="bottom"/>
            <w:gridSpan w:val="3"/>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 of changes in equity</w:t>
            </w:r>
          </w:p>
        </w:tc>
        <w:tc>
          <w:tcPr>
            <w:tcW w:w="3600" w:type="dxa"/>
            <w:vAlign w:val="bottom"/>
            <w:gridSpan w:val="3"/>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6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cash flows</w:t>
            </w: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96"/>
        </w:trPr>
        <w:tc>
          <w:tcPr>
            <w:tcW w:w="41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3480" w:type="dxa"/>
            <w:vAlign w:val="bottom"/>
            <w:gridSpan w:val="2"/>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76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Non-IFRS Financial Measures</w:t>
            </w: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412"/>
        </w:trPr>
        <w:tc>
          <w:tcPr>
            <w:tcW w:w="22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400" w:type="dxa"/>
            <w:vAlign w:val="bottom"/>
            <w:gridSpan w:val="6"/>
          </w:tcPr>
          <w:p>
            <w:pPr>
              <w:spacing w:after="0"/>
              <w:rPr>
                <w:sz w:val="24"/>
                <w:szCs w:val="24"/>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432"/>
        </w:trPr>
        <w:tc>
          <w:tcPr>
            <w:tcW w:w="760" w:type="dxa"/>
            <w:vAlign w:val="bottom"/>
            <w:tcBorders>
              <w:top w:val="single" w:sz="8" w:color="0000FF"/>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5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0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233,779</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214,316</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862,459</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823,666</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(153,024)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(152,699)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(585,402)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(587,174)</w:t>
            </w: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80,755</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61,617</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277,057</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236,492</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(18,573)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(30,135)</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(83,888)</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(81,973)</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(320,643)</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(324,719)</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(65,619)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(67,790)</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(10,099)</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(89,703)</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(67,730)</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(186,152)</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(7,126)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(77,188)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(12,421)</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(17,225)</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(90,852)</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(144,918)</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(198,573)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(3,699)</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(19,234)</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(91,357)</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(153,115)</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(202,272)</w:t>
            </w:r>
          </w:p>
        </w:tc>
      </w:tr>
      <w:tr>
        <w:trPr>
          <w:trHeight w:val="197"/>
        </w:trPr>
        <w:tc>
          <w:tcPr>
            <w:tcW w:w="5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5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(19,143)</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(91,206)</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(152,771)</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(201,949)</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548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w:t>
            </w: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8"/>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623,752,493</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598,226,750</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607,525,897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596,886,163</w:t>
            </w:r>
          </w:p>
        </w:tc>
        <w:tc>
          <w:tcPr>
            <w:tcW w:w="1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-1473835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-1456690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-1473835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-1456690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-1473835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-1456690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Not</w:t>
            </w:r>
          </w:p>
        </w:tc>
        <w:tc>
          <w:tcPr>
            <w:tcW w:w="240" w:type="dxa"/>
            <w:vAlign w:val="bottom"/>
          </w:tcPr>
          <w:p>
            <w:pPr>
              <w:spacing w:after="0"/>
              <w:rPr>
                <w:sz w:val="13"/>
                <w:szCs w:val="13"/>
                <w:color w:val="auto"/>
              </w:rPr>
            </w:pPr>
          </w:p>
        </w:tc>
        <w:tc>
          <w:tcPr>
            <w:tcW w:w="27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w:t>
            </w:r>
          </w:p>
        </w:tc>
        <w:tc>
          <w:tcPr>
            <w:tcW w:w="240" w:type="dxa"/>
            <w:vAlign w:val="bottom"/>
          </w:tcPr>
          <w:p>
            <w:pPr>
              <w:spacing w:after="0"/>
              <w:rPr>
                <w:sz w:val="15"/>
                <w:szCs w:val="15"/>
                <w:color w:val="auto"/>
              </w:rPr>
            </w:pPr>
          </w:p>
        </w:tc>
        <w:tc>
          <w:tcPr>
            <w:tcW w:w="2700" w:type="dxa"/>
            <w:vAlign w:val="bottom"/>
            <w:gridSpan w:val="4"/>
            <w:vMerge w:val="continue"/>
          </w:tcPr>
          <w:p>
            <w:pPr>
              <w:spacing w:after="0"/>
              <w:rPr>
                <w:sz w:val="15"/>
                <w:szCs w:val="15"/>
                <w:color w:val="auto"/>
              </w:rPr>
            </w:pPr>
          </w:p>
        </w:tc>
        <w:tc>
          <w:tcPr>
            <w:tcW w:w="26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(19,234)</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(91,357)</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(153,115)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(202,272)</w:t>
            </w:r>
          </w:p>
        </w:tc>
        <w:tc>
          <w:tcPr>
            <w:tcW w:w="0" w:type="dxa"/>
            <w:vAlign w:val="bottom"/>
          </w:tcPr>
          <w:p>
            <w:pPr>
              <w:spacing w:after="0"/>
              <w:rPr>
                <w:sz w:val="1"/>
                <w:szCs w:val="1"/>
                <w:color w:val="auto"/>
              </w:rPr>
            </w:pPr>
          </w:p>
        </w:tc>
      </w:tr>
      <w:tr>
        <w:trPr>
          <w:trHeight w:val="209"/>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operations (net of tax):</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56,197</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(40,985)</w:t>
            </w:r>
          </w:p>
        </w:tc>
        <w:tc>
          <w:tcPr>
            <w:tcW w:w="0" w:type="dxa"/>
            <w:vAlign w:val="bottom"/>
          </w:tcPr>
          <w:p>
            <w:pPr>
              <w:spacing w:after="0"/>
              <w:rPr>
                <w:sz w:val="1"/>
                <w:szCs w:val="1"/>
                <w:color w:val="auto"/>
              </w:rPr>
            </w:pPr>
          </w:p>
        </w:tc>
      </w:tr>
      <w:tr>
        <w:trPr>
          <w:trHeight w:val="198"/>
        </w:trPr>
        <w:tc>
          <w:tcPr>
            <w:tcW w:w="5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Items that will not be subsequently reclassified to the consolidated</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statement of operations (net of tax):</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on Convertible Notes attributable to changes in credit</w:t>
            </w:r>
          </w:p>
        </w:tc>
        <w:tc>
          <w:tcPr>
            <w:tcW w:w="3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7"/>
                <w:szCs w:val="17"/>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(16,355)</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risk</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 for the period</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2,437</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(37,231)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39,842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(40,985)</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(16,797)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(128,588)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(113,273)</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(243,257)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(16,718)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(128,394)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(112,954)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(242,905)</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-1824990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-1824990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-1824990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-582295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-582295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-582295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financial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5"/>
                <w:szCs w:val="15"/>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137,747</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116,208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294,688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294,199</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45,555</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44,331</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522,010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504,854</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68,537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65,602</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103,522</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103,366</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265,187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299,126</w:t>
            </w:r>
          </w:p>
        </w:tc>
        <w:tc>
          <w:tcPr>
            <w:tcW w:w="100" w:type="dxa"/>
            <w:vAlign w:val="bottom"/>
          </w:tcPr>
          <w:p>
            <w:pPr>
              <w:spacing w:after="0"/>
              <w:rPr>
                <w:sz w:val="18"/>
                <w:szCs w:val="18"/>
                <w:color w:val="auto"/>
              </w:rPr>
            </w:pPr>
          </w:p>
        </w:tc>
      </w:tr>
      <w:tr>
        <w:trPr>
          <w:trHeight w:val="25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803,980</w:t>
            </w:r>
          </w:p>
        </w:tc>
        <w:tc>
          <w:tcPr>
            <w:tcW w:w="100" w:type="dxa"/>
            <w:vAlign w:val="bottom"/>
            <w:shd w:val="clear" w:color="auto" w:fill="CFF0FC"/>
          </w:tcPr>
          <w:p>
            <w:pPr>
              <w:spacing w:after="0"/>
              <w:rPr>
                <w:sz w:val="21"/>
                <w:szCs w:val="21"/>
                <w:color w:val="auto"/>
              </w:rPr>
            </w:pPr>
          </w:p>
        </w:tc>
      </w:tr>
      <w:tr>
        <w:trPr>
          <w:trHeight w:val="196"/>
        </w:trPr>
        <w:tc>
          <w:tcPr>
            <w:tcW w:w="7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1,628,045</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7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(225,351)</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(274,160)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(1,397,805)</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(1,249,303)</w:t>
            </w: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18,555</w:t>
            </w:r>
          </w:p>
        </w:tc>
        <w:tc>
          <w:tcPr>
            <w:tcW w:w="2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19,671</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100" w:type="dxa"/>
            <w:vAlign w:val="bottom"/>
            <w:shd w:val="clear" w:color="auto" w:fill="CFF0FC"/>
          </w:tcPr>
          <w:p>
            <w:pPr>
              <w:spacing w:after="0"/>
              <w:rPr>
                <w:sz w:val="18"/>
                <w:szCs w:val="18"/>
                <w:color w:val="auto"/>
              </w:rPr>
            </w:pP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31,724</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182,783</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116,216</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210,209</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162,797</w:t>
            </w:r>
          </w:p>
        </w:tc>
        <w:tc>
          <w:tcPr>
            <w:tcW w:w="100" w:type="dxa"/>
            <w:vAlign w:val="bottom"/>
            <w:shd w:val="clear" w:color="auto" w:fill="CFF0FC"/>
          </w:tcPr>
          <w:p>
            <w:pPr>
              <w:spacing w:after="0"/>
              <w:rPr>
                <w:sz w:val="18"/>
                <w:szCs w:val="18"/>
                <w:color w:val="auto"/>
              </w:rPr>
            </w:pP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340,266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330,152</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107,932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103,719</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557,317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535,060</w:t>
            </w:r>
          </w:p>
        </w:tc>
        <w:tc>
          <w:tcPr>
            <w:tcW w:w="100" w:type="dxa"/>
            <w:vAlign w:val="bottom"/>
          </w:tcPr>
          <w:p>
            <w:pPr>
              <w:spacing w:after="0"/>
              <w:rPr>
                <w:sz w:val="18"/>
                <w:szCs w:val="18"/>
                <w:color w:val="auto"/>
              </w:rPr>
            </w:pPr>
          </w:p>
        </w:tc>
      </w:tr>
      <w:tr>
        <w:trPr>
          <w:trHeight w:val="209"/>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767,526</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697,857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7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787,197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803,980</w:t>
            </w:r>
          </w:p>
        </w:tc>
        <w:tc>
          <w:tcPr>
            <w:tcW w:w="10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-5228590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-5228590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-4114165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-3822700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-3805555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-2407920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-1567815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-462280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3"/>
                <w:szCs w:val="13"/>
                <w:color w:val="auto"/>
              </w:rPr>
            </w:pPr>
          </w:p>
        </w:tc>
        <w:tc>
          <w:tcPr>
            <w:tcW w:w="84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13"/>
                <w:szCs w:val="13"/>
                <w:color w:val="auto"/>
              </w:rPr>
            </w:pPr>
          </w:p>
        </w:tc>
        <w:tc>
          <w:tcPr>
            <w:tcW w:w="840" w:type="dxa"/>
            <w:vAlign w:val="bottom"/>
          </w:tcPr>
          <w:p>
            <w:pPr>
              <w:jc w:val="right"/>
              <w:ind w:right="172"/>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(274,160)</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(1,249,303)</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(12,430)</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0" w:type="dxa"/>
            <w:vAlign w:val="bottom"/>
          </w:tcPr>
          <w:p>
            <w:pPr>
              <w:spacing w:after="0"/>
              <w:rPr>
                <w:sz w:val="1"/>
                <w:szCs w:val="1"/>
                <w:color w:val="auto"/>
              </w:rPr>
            </w:pPr>
          </w:p>
        </w:tc>
      </w:tr>
      <w:tr>
        <w:trPr>
          <w:trHeight w:val="187"/>
        </w:trPr>
        <w:tc>
          <w:tcPr>
            <w:tcW w:w="3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24,695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(12,430)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12,265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0" w:type="dxa"/>
            <w:vAlign w:val="bottom"/>
          </w:tcPr>
          <w:p>
            <w:pPr>
              <w:spacing w:after="0"/>
              <w:rPr>
                <w:sz w:val="1"/>
                <w:szCs w:val="1"/>
                <w:color w:val="auto"/>
              </w:rPr>
            </w:pPr>
          </w:p>
        </w:tc>
      </w:tr>
      <w:tr>
        <w:trPr>
          <w:trHeight w:val="103"/>
        </w:trPr>
        <w:tc>
          <w:tcPr>
            <w:tcW w:w="30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(249,465)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(1,258,141)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120,545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121,881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(55,911)</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(55,946)</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27,328</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(55,911)</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(28,583)</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(28,616)</w:t>
            </w:r>
          </w:p>
        </w:tc>
        <w:tc>
          <w:tcPr>
            <w:tcW w:w="0" w:type="dxa"/>
            <w:vAlign w:val="bottom"/>
          </w:tcPr>
          <w:p>
            <w:pPr>
              <w:spacing w:after="0"/>
              <w:rPr>
                <w:sz w:val="1"/>
                <w:szCs w:val="1"/>
                <w:color w:val="auto"/>
              </w:rPr>
            </w:pPr>
          </w:p>
        </w:tc>
      </w:tr>
      <w:tr>
        <w:trPr>
          <w:trHeight w:val="103"/>
        </w:trPr>
        <w:tc>
          <w:tcPr>
            <w:tcW w:w="308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80" w:type="dxa"/>
            <w:vAlign w:val="bottom"/>
            <w:tcBorders>
              <w:bottom w:val="single" w:sz="8" w:color="CFF0FC"/>
            </w:tcBorders>
            <w:vMerge w:val="continue"/>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42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(222,137)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(1,310,599)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95,416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96,719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(65,287)</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(65,287)</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(65,404)</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(14,631)</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(65,287)</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(79,918)</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(80,026)</w:t>
            </w:r>
          </w:p>
        </w:tc>
        <w:tc>
          <w:tcPr>
            <w:tcW w:w="0" w:type="dxa"/>
            <w:vAlign w:val="bottom"/>
          </w:tcPr>
          <w:p>
            <w:pPr>
              <w:spacing w:after="0"/>
              <w:rPr>
                <w:sz w:val="1"/>
                <w:szCs w:val="1"/>
                <w:color w:val="auto"/>
              </w:rPr>
            </w:pPr>
          </w:p>
        </w:tc>
      </w:tr>
      <w:tr>
        <w:trPr>
          <w:trHeight w:val="103"/>
        </w:trPr>
        <w:tc>
          <w:tcPr>
            <w:tcW w:w="308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CFF0FC"/>
            </w:tcBorders>
            <w:vMerge w:val="continue"/>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3,080</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1,628,156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(236,768)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(1,372,806)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18,689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19,884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(19,143)</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(19,143)</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(19,234)</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2,425</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(19,143)</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(16,718)</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(16,797)</w:t>
            </w:r>
          </w:p>
        </w:tc>
        <w:tc>
          <w:tcPr>
            <w:tcW w:w="0" w:type="dxa"/>
            <w:vAlign w:val="bottom"/>
          </w:tcPr>
          <w:p>
            <w:pPr>
              <w:spacing w:after="0"/>
              <w:rPr>
                <w:sz w:val="1"/>
                <w:szCs w:val="1"/>
                <w:color w:val="auto"/>
              </w:rPr>
            </w:pPr>
          </w:p>
        </w:tc>
      </w:tr>
      <w:tr>
        <w:trPr>
          <w:trHeight w:val="103"/>
        </w:trPr>
        <w:tc>
          <w:tcPr>
            <w:tcW w:w="308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80" w:type="dxa"/>
            <w:vAlign w:val="bottom"/>
            <w:tcBorders>
              <w:bottom w:val="single" w:sz="8" w:color="CFF0FC"/>
            </w:tcBorders>
            <w:vMerge w:val="continue"/>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3,136</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3,136</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 of shares</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U.S. Notes</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1,641,601</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(225,351)</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(1,397,805)</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18,555</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-4053840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-4036695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-4053840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-4036695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-4053840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-4036695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-4053840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-4036695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-4053840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-4036695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-4053840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-4036695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-4053840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-4036695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-3754120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-3754120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-3754120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-3754120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-3754120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-3754120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-3754120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-3333750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-3333750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-3333750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-3333750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-3333750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-3333750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-3333750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-2630805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-2614295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-2630805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-2614295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-2614295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-2630805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-2614295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-2630805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-2614295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-2630805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-2614295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-2630805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-2614295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-2331085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-2331085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-2331085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-2331085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-2331085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-2331085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-2331085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-2022475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-2022475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-2022475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-2022475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-2022475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-2022475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-2022475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-1619250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-1602105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-1619250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-1602105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-1619250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-1602105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-1619250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-1602105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-1619250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-1602105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-1619250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-1602105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-1619250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-1602105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-1319530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-1319530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-1319530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-1319530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-1319530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-1319530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-1319530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-1010920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-1010920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-1010920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-1010920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-1010920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-1010920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-1010920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-607695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-590550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-607695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-590550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-607695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-590550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-607695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-590550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-607695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-590550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-607695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-590550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-607695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-590550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3"/>
                <w:szCs w:val="13"/>
                <w:color w:val="auto"/>
              </w:rPr>
            </w:pPr>
          </w:p>
        </w:tc>
        <w:tc>
          <w:tcPr>
            <w:tcW w:w="84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120" w:type="dxa"/>
            <w:vAlign w:val="bottom"/>
          </w:tcPr>
          <w:p>
            <w:pPr>
              <w:spacing w:after="0"/>
              <w:rPr>
                <w:sz w:val="13"/>
                <w:szCs w:val="13"/>
                <w:color w:val="auto"/>
              </w:rPr>
            </w:pPr>
          </w:p>
        </w:tc>
        <w:tc>
          <w:tcPr>
            <w:tcW w:w="840" w:type="dxa"/>
            <w:vAlign w:val="bottom"/>
          </w:tcPr>
          <w:p>
            <w:pPr>
              <w:jc w:val="right"/>
              <w:ind w:right="172"/>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parent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(233,204)</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(1,060,952)</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333,994</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335,781</w:t>
            </w: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(45,799)</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(45,799)</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(45,844)</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187"/>
        </w:trPr>
        <w:tc>
          <w:tcPr>
            <w:tcW w:w="3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(19,223)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(45,799)</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(65,022)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(65,076)</w:t>
            </w:r>
          </w:p>
        </w:tc>
        <w:tc>
          <w:tcPr>
            <w:tcW w:w="0" w:type="dxa"/>
            <w:vAlign w:val="bottom"/>
          </w:tcPr>
          <w:p>
            <w:pPr>
              <w:spacing w:after="0"/>
              <w:rPr>
                <w:sz w:val="1"/>
                <w:szCs w:val="1"/>
                <w:color w:val="auto"/>
              </w:rPr>
            </w:pPr>
          </w:p>
        </w:tc>
      </w:tr>
      <w:tr>
        <w:trPr>
          <w:trHeight w:val="103"/>
        </w:trPr>
        <w:tc>
          <w:tcPr>
            <w:tcW w:w="30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0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(252,427)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(1,104,136)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271,587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273,320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(30,384)</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(30,384)</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(30,441)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(30,384)</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(31,605)</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(31,669)</w:t>
            </w:r>
          </w:p>
        </w:tc>
        <w:tc>
          <w:tcPr>
            <w:tcW w:w="0" w:type="dxa"/>
            <w:vAlign w:val="bottom"/>
          </w:tcPr>
          <w:p>
            <w:pPr>
              <w:spacing w:after="0"/>
              <w:rPr>
                <w:sz w:val="1"/>
                <w:szCs w:val="1"/>
                <w:color w:val="auto"/>
              </w:rPr>
            </w:pPr>
          </w:p>
        </w:tc>
      </w:tr>
      <w:tr>
        <w:trPr>
          <w:trHeight w:val="103"/>
        </w:trPr>
        <w:tc>
          <w:tcPr>
            <w:tcW w:w="308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80" w:type="dxa"/>
            <w:vAlign w:val="bottom"/>
            <w:tcBorders>
              <w:bottom w:val="single" w:sz="8" w:color="CFF0FC"/>
            </w:tcBorders>
            <w:vMerge w:val="continue"/>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Issue of shares</w:t>
            </w:r>
          </w:p>
        </w:tc>
        <w:tc>
          <w:tcPr>
            <w:tcW w:w="42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(253,648)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(1,130,341)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244,162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245,831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(34,560)</w:t>
            </w:r>
          </w:p>
        </w:tc>
        <w:tc>
          <w:tcPr>
            <w:tcW w:w="9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(34,560)</w:t>
            </w:r>
          </w:p>
        </w:tc>
        <w:tc>
          <w:tcPr>
            <w:tcW w:w="9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10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(34,630)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16,676</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(34,560)</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(17,884)</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(17,924)</w:t>
            </w:r>
          </w:p>
        </w:tc>
        <w:tc>
          <w:tcPr>
            <w:tcW w:w="0" w:type="dxa"/>
            <w:vAlign w:val="bottom"/>
          </w:tcPr>
          <w:p>
            <w:pPr>
              <w:spacing w:after="0"/>
              <w:rPr>
                <w:sz w:val="1"/>
                <w:szCs w:val="1"/>
                <w:color w:val="auto"/>
              </w:rPr>
            </w:pPr>
          </w:p>
        </w:tc>
      </w:tr>
      <w:tr>
        <w:trPr>
          <w:trHeight w:val="103"/>
        </w:trPr>
        <w:tc>
          <w:tcPr>
            <w:tcW w:w="3080" w:type="dxa"/>
            <w:vAlign w:val="bottom"/>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98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80" w:type="dxa"/>
            <w:vAlign w:val="bottom"/>
            <w:tcBorders>
              <w:bottom w:val="single" w:sz="8" w:color="CFF0FC"/>
            </w:tcBorders>
            <w:vMerge w:val="continue"/>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3,301</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49"/>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(236,972)</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(1,161,600)</w:t>
            </w: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229,579</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231,208</w:t>
            </w:r>
          </w:p>
        </w:tc>
        <w:tc>
          <w:tcPr>
            <w:tcW w:w="0" w:type="dxa"/>
            <w:vAlign w:val="bottom"/>
          </w:tcPr>
          <w:p>
            <w:pPr>
              <w:spacing w:after="0"/>
              <w:rPr>
                <w:sz w:val="1"/>
                <w:szCs w:val="1"/>
                <w:color w:val="auto"/>
              </w:rPr>
            </w:pPr>
          </w:p>
        </w:tc>
      </w:tr>
      <w:tr>
        <w:trPr>
          <w:trHeight w:val="197"/>
        </w:trPr>
        <w:tc>
          <w:tcPr>
            <w:tcW w:w="3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(91,206)</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(91,206)</w:t>
            </w:r>
          </w:p>
        </w:tc>
        <w:tc>
          <w:tcPr>
            <w:tcW w:w="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(91,357)</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(37,188)</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(37,188)</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(37,231)</w:t>
            </w:r>
          </w:p>
        </w:tc>
        <w:tc>
          <w:tcPr>
            <w:tcW w:w="0" w:type="dxa"/>
            <w:vAlign w:val="bottom"/>
          </w:tcPr>
          <w:p>
            <w:pPr>
              <w:spacing w:after="0"/>
              <w:rPr>
                <w:sz w:val="1"/>
                <w:szCs w:val="1"/>
                <w:color w:val="auto"/>
              </w:rPr>
            </w:pPr>
          </w:p>
        </w:tc>
      </w:tr>
      <w:tr>
        <w:trPr>
          <w:trHeight w:val="187"/>
        </w:trPr>
        <w:tc>
          <w:tcPr>
            <w:tcW w:w="3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(37,188)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(91,206)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(128,394)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(128,588)</w:t>
            </w:r>
          </w:p>
        </w:tc>
        <w:tc>
          <w:tcPr>
            <w:tcW w:w="0" w:type="dxa"/>
            <w:vAlign w:val="bottom"/>
          </w:tcPr>
          <w:p>
            <w:pPr>
              <w:spacing w:after="0"/>
              <w:rPr>
                <w:sz w:val="1"/>
                <w:szCs w:val="1"/>
                <w:color w:val="auto"/>
              </w:rPr>
            </w:pPr>
          </w:p>
        </w:tc>
      </w:tr>
      <w:tr>
        <w:trPr>
          <w:trHeight w:val="103"/>
        </w:trPr>
        <w:tc>
          <w:tcPr>
            <w:tcW w:w="30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3,503</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3,503</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(274,160)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(1,249,303)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104,688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106,123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-3625215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-3608070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-3625215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-3608070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-3625215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-3608070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-3625215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-3608070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-3625215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-3608070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-3625215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-3608070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-3625215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-3608070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-3325495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-3325495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-3325495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-3325495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-3325495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-3325495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-3325495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-2905760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-2905760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-2905760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-2905760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-2905760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-2905760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-2905760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-2202180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-2185670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-2202180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-2185670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-2202180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-2185670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-2202180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-2185670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-2202180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-2185670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-2202180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-2185670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-2202180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-2185670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-1902460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-1902460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-1902460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-1902460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-1902460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-1902460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-1902460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-1199515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-1182370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-1199515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-1182370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-1199515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-1182370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-1199515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-1182370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-1199515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-1182370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-1199515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-1182370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-1199515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-1182370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-890905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-873760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-890905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-873760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-890905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-873760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-890905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-873760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-890905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-873760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-890905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-873760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-890905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-873760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-591185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-591185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-591185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-591185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-591185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-591185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-591185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-170815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3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80" w:type="dxa"/>
            <w:vAlign w:val="bottom"/>
            <w:gridSpan w:val="2"/>
            <w:vMerge w:val="continue"/>
          </w:tcPr>
          <w:p>
            <w:pPr>
              <w:spacing w:after="0"/>
              <w:rPr>
                <w:sz w:val="12"/>
                <w:szCs w:val="12"/>
                <w:color w:val="auto"/>
              </w:rPr>
            </w:pPr>
          </w:p>
        </w:tc>
        <w:tc>
          <w:tcPr>
            <w:tcW w:w="1500" w:type="dxa"/>
            <w:vAlign w:val="bottom"/>
            <w:tcBorders>
              <w:top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(153,115)</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(202,272)</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 amortization of</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10,11,12</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1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48,570</w:t>
            </w:r>
          </w:p>
        </w:tc>
        <w:tc>
          <w:tcPr>
            <w:tcW w:w="22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property, plant and equipment and right-of-use assets and intangible assets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loss/(gain) on trade receivables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—Movements in provisions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(14,896)</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(14,414)</w:t>
            </w: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plant and equipment and intangible assets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related to discontinued construction of production facilities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related to closure of production facility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(23,984)</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inventories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16,17</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—Increase/(decrease) in trade payables, other current liabilities, accrued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2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(16,362)</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(23,723)</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(114,428)</w:t>
            </w:r>
          </w:p>
        </w:tc>
        <w:tc>
          <w:tcPr>
            <w:tcW w:w="0" w:type="dxa"/>
            <w:vAlign w:val="bottom"/>
          </w:tcPr>
          <w:p>
            <w:pPr>
              <w:spacing w:after="0"/>
              <w:rPr>
                <w:sz w:val="1"/>
                <w:szCs w:val="1"/>
                <w:color w:val="auto"/>
              </w:rPr>
            </w:pPr>
          </w:p>
        </w:tc>
      </w:tr>
      <w:tr>
        <w:trPr>
          <w:trHeight w:val="210"/>
        </w:trPr>
        <w:tc>
          <w:tcPr>
            <w:tcW w:w="7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(2,858)</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(12,396)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(39,140)</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financial assets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(1,314)</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(15,544)</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(9,251)</w:t>
            </w: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bonds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180,897</w:t>
            </w: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(133,343)</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liabilities to credit institutions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U.S. Notes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(24,629)</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(12,729)</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(11,945)</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(19,645)</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from/(used in) financing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(27,288)</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(38,083)</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(150,967)</w:t>
            </w: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6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64,345</w:t>
            </w:r>
          </w:p>
        </w:tc>
        <w:tc>
          <w:tcPr>
            <w:tcW w:w="2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-2828290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-1996440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Corporate information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Oatly Group AB (the “Company” or the “parent”) is a public limited company incorporated and domiciled in Sweden. The Company’s registered office is located at Ångfärjekajen 8, Malmö, Sweden.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and its subsidiaries (together, the “Group”) manufacture, distribute and sell oat-based products.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accounting policies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condensed consolidated financial statements of Oatly Group AB for the three and twelve months ended December 31, 2025 and 2024 have been prepared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 Group has prepared the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 and corresponding interim reporting period.</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interim financial information reflects all normal recurring adjustments that are, in the opinion of management, necessary to fairly present the information set forth herein. The condensed consolidated financial statements should be read in conjunction with the Group’s consolidated financial statements for the year ended December 31, 2024, as they do not include all the information and disclosures required in the annual consolidated financial statements. Interim results are not necessarily indicative of the results for a full year. The condensed consolidated financial statements are presented in thousands of U.S. dollars, unless otherwise stated.</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American Depositary Shares (“ADSs”) to ordinary shares was changed from one ADS representing one ordinary share to one ADS representing twenty ordinary shares (the “ADS Ratio Change”). All numbers in these condensed consolidated financial statements, including references to price per ADS and a specific number of ADSs, restricted stock units (“RSUs”) or stock options, reflect an ADS to ordinary share ratio of 1:20 (unless the context clearly indicates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liability – Nordic Bonds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has identified an embedded derivative in relation to voluntary redemption options in the Nordic bonds. The embedded derivative is not closely related to the financial liability host contract and is separately accounted for at fair value through profit or loss. At initial recognition, the host contract, after separation of the embedded derivative, is measured at its fair value plus transaction costs that are directly attributable to the host contract. After initial recognition, the host contract is accounted for as a financial liability at amortized cost applying the effective interest method.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standards and interpretations issued but not yet adopted</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are no IFRS® Accounting Standards as issued by the International Accounting Standards Board (“IFRS Accounting standards”) that are expected to have a material impact on the Group in the current or future reporting periods or on foreseeable future transactions, other than those included in the 2024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judgments, estimates and assessments</w:t>
      </w:r>
    </w:p>
    <w:p>
      <w:pPr>
        <w:spacing w:after="0" w:line="12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preparing these condensed consolidated financial statements, the significant judgments made by management in applying the Group’s accounting policies and the key sources of estimation and uncertainty were the same as those applied to the consolidated financial statements for the year ended December 31, 2024.</w:t>
      </w:r>
    </w:p>
    <w:p>
      <w:pPr>
        <w:spacing w:after="0" w:line="176" w:lineRule="exact"/>
        <w:rPr>
          <w:sz w:val="20"/>
          <w:szCs w:val="20"/>
          <w:color w:val="auto"/>
        </w:rPr>
      </w:pPr>
    </w:p>
    <w:p>
      <w:pPr>
        <w:jc w:val="center"/>
        <w:ind w:left="560" w:right="220"/>
        <w:spacing w:after="0" w:line="282" w:lineRule="auto"/>
        <w:rPr>
          <w:sz w:val="20"/>
          <w:szCs w:val="20"/>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 of future events.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Seasonality</w:t>
      </w:r>
    </w:p>
    <w:p>
      <w:pPr>
        <w:spacing w:after="0" w:line="20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Greater China and the rest of the Asia business compared to the remaining quarterly periods of the year.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 Revenue, Adjusted EBITDA and EBITDA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 Adjusted EBITDA and EBITDA</w:t>
            </w:r>
          </w:p>
        </w:tc>
        <w:tc>
          <w:tcPr>
            <w:tcW w:w="12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133,736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134,084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64,392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35,651</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26,496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(20,951)</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(1,071)</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25,789</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3,707</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(2,163)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(23,857)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(13,575)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(17,225)</w:t>
            </w:r>
          </w:p>
        </w:tc>
        <w:tc>
          <w:tcPr>
            <w:tcW w:w="0" w:type="dxa"/>
            <w:vAlign w:val="bottom"/>
          </w:tcPr>
          <w:p>
            <w:pPr>
              <w:spacing w:after="0"/>
              <w:rPr>
                <w:sz w:val="1"/>
                <w:szCs w:val="1"/>
                <w:color w:val="auto"/>
              </w:rPr>
            </w:pPr>
          </w:p>
        </w:tc>
      </w:tr>
      <w:tr>
        <w:trPr>
          <w:trHeight w:val="32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108,462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(1,326)</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109,788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70,596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35,258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16,580</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(24,497)</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(6,079)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(1,520)</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(356)</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(1,721)</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178"/>
        </w:trPr>
        <w:tc>
          <w:tcPr>
            <w:tcW w:w="3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7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to closure of production facility</w:t>
            </w:r>
            <w:r>
              <w:rPr>
                <w:rFonts w:ascii="Times New Roman" w:cs="Times New Roman" w:eastAsia="Times New Roman" w:hAnsi="Times New Roman"/>
                <w:sz w:val="24"/>
                <w:szCs w:val="24"/>
                <w:color w:val="auto"/>
                <w:vertAlign w:val="superscript"/>
              </w:rPr>
              <w:t>(3)</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(42,110)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(42,110)</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Asset impairment charges and other costs related</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 discontinued construction of production</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70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4"/>
                <w:szCs w:val="24"/>
                <w:color w:val="auto"/>
                <w:vertAlign w:val="superscript"/>
              </w:rPr>
              <w:t>(4)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(25,068)</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(22,898)</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(27,308)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3,352</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(25,141)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(28,674)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(77,771)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(11,932)</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(90,852)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 2025</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482,861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249,559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130,039</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(1,622)</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484,483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249,559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130,039</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88,169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3,641</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(86,860)</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(1,896)</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(2,043)</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(7,547)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(7,547)</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86,111</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(1,358)</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(6,018)</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(97,155)</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(18,420)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(77,188)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(49,310)</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(144,918)</w:t>
            </w:r>
          </w:p>
        </w:tc>
        <w:tc>
          <w:tcPr>
            <w:tcW w:w="0" w:type="dxa"/>
            <w:vAlign w:val="bottom"/>
          </w:tcPr>
          <w:p>
            <w:pPr>
              <w:spacing w:after="0"/>
              <w:rPr>
                <w:sz w:val="1"/>
                <w:szCs w:val="1"/>
                <w:color w:val="auto"/>
              </w:rPr>
            </w:pPr>
          </w:p>
        </w:tc>
      </w:tr>
      <w:tr>
        <w:trPr>
          <w:trHeight w:val="304"/>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434,263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(6,429)</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440,692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274,455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114,948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56,128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(1,645)</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(95,106)</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(35,325)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(1,985)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(2,410)</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(1,222)</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(2,600)</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178"/>
        </w:trPr>
        <w:tc>
          <w:tcPr>
            <w:tcW w:w="3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7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to closure of production facility</w:t>
            </w:r>
            <w:r>
              <w:rPr>
                <w:rFonts w:ascii="Times New Roman" w:cs="Times New Roman" w:eastAsia="Times New Roman" w:hAnsi="Times New Roman"/>
                <w:sz w:val="24"/>
                <w:szCs w:val="24"/>
                <w:color w:val="auto"/>
                <w:vertAlign w:val="superscript"/>
              </w:rPr>
              <w:t>(3)</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(42,110)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(42,110)</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Asset impairment charges and other costs related</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 discontinued construction of production</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70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24"/>
                <w:szCs w:val="24"/>
                <w:color w:val="auto"/>
                <w:vertAlign w:val="superscript"/>
              </w:rPr>
              <w:t>(4)</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(2,875)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(25,068)</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(24,660)</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6,748</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(3,983)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(31,077)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(107,874)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(136,186)</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(12,421)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(49,966)</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(198,573)</w:t>
            </w:r>
          </w:p>
        </w:tc>
        <w:tc>
          <w:tcPr>
            <w:tcW w:w="0" w:type="dxa"/>
            <w:vAlign w:val="bottom"/>
          </w:tcPr>
          <w:p>
            <w:pPr>
              <w:spacing w:after="0"/>
              <w:rPr>
                <w:sz w:val="1"/>
                <w:szCs w:val="1"/>
                <w:color w:val="auto"/>
              </w:rPr>
            </w:pPr>
          </w:p>
        </w:tc>
      </w:tr>
    </w:tbl>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Corporate consists of general costs not allocated to the segments.</w:t>
      </w:r>
    </w:p>
    <w:p>
      <w:pPr>
        <w:spacing w:after="0" w:line="13"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2025 and 2024 refer to intersegment revenue for sales of products from Europe &amp; International to Greater China.</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Relates to costs for the strategic review of the Greater China segment, mainly consisting of cost for external consultants.</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Relates to costs for the closure of the Group’s production facility in Singapore.</w:t>
      </w:r>
    </w:p>
    <w:p>
      <w:pPr>
        <w:spacing w:after="0" w:line="18" w:lineRule="exact"/>
        <w:rPr>
          <w:rFonts w:ascii="Times New Roman" w:cs="Times New Roman" w:eastAsia="Times New Roman" w:hAnsi="Times New Roman"/>
          <w:sz w:val="16"/>
          <w:szCs w:val="16"/>
          <w:color w:val="auto"/>
        </w:rPr>
      </w:pPr>
    </w:p>
    <w:p>
      <w:pPr>
        <w:jc w:val="both"/>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Relates primarily to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Peterborough, UK, reversal of previously recognized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Dallas-Fort Worth, Texas, and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second production facility in China (Asia III).</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Expenses related to a new product launch issue.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Non-current assets by country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assets for this purpose consist of property, plant and equipment and right-of-use assets.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103,791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332,595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339,754</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5.3 Revenue from external customers, broken down by location of the customers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56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5"/>
                <w:szCs w:val="15"/>
                <w:color w:val="auto"/>
              </w:rPr>
            </w:pPr>
          </w:p>
        </w:tc>
        <w:tc>
          <w:tcPr>
            <w:tcW w:w="26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63,120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244,128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269,541</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33,781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139,243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135,550</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120,068</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113,789</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26,507</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Finland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30,126</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103,050</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233,779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214,316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countries that individually make up greater than 10% of total revenue included in “Other”.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 Revenue from external customers, broken down by channel and segment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and segment, is shown in the table below.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15"/>
                <w:szCs w:val="15"/>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105,969</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154,074</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23,364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74,963</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133,736</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64,392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35,651</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233,779</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87,258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123,810</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26,896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81,673</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108,462</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70,596</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35,258</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214,316</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 2025</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382,505</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150,213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561,509</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97,112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98,036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87,732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282,880</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482,861</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249,559</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130,039</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120" w:type="dxa"/>
            <w:vAlign w:val="bottom"/>
          </w:tcPr>
          <w:p>
            <w:pPr>
              <w:spacing w:after="0"/>
              <w:rPr>
                <w:sz w:val="24"/>
                <w:szCs w:val="24"/>
                <w:color w:val="auto"/>
              </w:rPr>
            </w:pPr>
          </w:p>
        </w:tc>
        <w:tc>
          <w:tcPr>
            <w:tcW w:w="1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Europe &amp; International</w:t>
            </w:r>
          </w:p>
        </w:tc>
        <w:tc>
          <w:tcPr>
            <w:tcW w:w="260" w:type="dxa"/>
            <w:vAlign w:val="bottom"/>
          </w:tcPr>
          <w:p>
            <w:pPr>
              <w:spacing w:after="0"/>
              <w:rPr>
                <w:sz w:val="24"/>
                <w:szCs w:val="24"/>
                <w:color w:val="auto"/>
              </w:rPr>
            </w:pPr>
          </w:p>
        </w:tc>
        <w:tc>
          <w:tcPr>
            <w:tcW w:w="1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351,818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140,842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504,159</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80,261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125,639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83,343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289,243</w:t>
            </w:r>
          </w:p>
        </w:tc>
        <w:tc>
          <w:tcPr>
            <w:tcW w:w="10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30,264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434,263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274,455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114,948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-2622550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-2622550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-2622550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-1807845</wp:posOffset>
            </wp:positionV>
            <wp:extent cx="774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-1807845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-1807845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-985520</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-985520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-985520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Revenues of approximately 6% and 10% in the twelve months ended December 31, 2025 and 2024, respectively, were derived from a single external customer in the foodservice channel. The revenues were attributed to the North America and Greater China segments.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Oatmilk accounted for 90% of the Group’s revenue in the twelve months ended December 31, 2025 and 2024,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During the year ended December 31, 2021, in connection with the initial public offering,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ordinary shares have been reserved for grants pursuant to a variety of share-based compensation awards, including, but not limited to, stock options and RSUs. To secure the future delivery of ordinary shares and ADSs under the 2021 Plan, the Company’s shareholders resolved to issue 69,496,515 warrants. The right to subscribe for the warrants vests only in the Company. See Note 19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2025, the Company, under the 2021 Plan, granted 1,330,234 RSUs, of which 352,857 were granted to members of key management, including the Executive Officers, and the Board of Directors. 411,040 RSUs vested during the period, of which 161,264 were to key management. The RSUs are accounted for as equity-settled share-based compensation transactions. The RSUs are measured based on the fair market value of the underlying ADSs on the date of grant. The RSUs granted to employees under the 2021 Plan vest in equal installments on each of the first three anniversaries of the date of grant, subject to continued service. The RSUs granted to members of the Company’s Board of Directors vest on the date of the next Annual General Meeting of shareholders following the grant date, subject to continued service on the applicable vesting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7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7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820,170</w:t>
            </w:r>
          </w:p>
        </w:tc>
        <w:tc>
          <w:tcPr>
            <w:tcW w:w="220" w:type="dxa"/>
            <w:vAlign w:val="bottom"/>
            <w:tcBorders>
              <w:bottom w:val="single" w:sz="8" w:color="CFF0FC"/>
            </w:tcBorders>
            <w:shd w:val="clear" w:color="auto" w:fill="CFF0FC"/>
          </w:tcPr>
          <w:p>
            <w:pPr>
              <w:spacing w:after="0"/>
              <w:rPr>
                <w:sz w:val="18"/>
                <w:szCs w:val="18"/>
                <w:color w:val="auto"/>
              </w:rPr>
            </w:pP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1,330,234</w:t>
            </w:r>
          </w:p>
        </w:tc>
        <w:tc>
          <w:tcPr>
            <w:tcW w:w="22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(117,861)</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7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(411,040)</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78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1,621,503</w:t>
            </w:r>
          </w:p>
        </w:tc>
        <w:tc>
          <w:tcPr>
            <w:tcW w:w="220" w:type="dxa"/>
            <w:vAlign w:val="bottom"/>
            <w:tcBorders>
              <w:bottom w:val="single" w:sz="8" w:color="CFF0FC"/>
            </w:tcBorders>
            <w:shd w:val="clear" w:color="auto" w:fill="CFF0FC"/>
          </w:tcPr>
          <w:p>
            <w:pPr>
              <w:spacing w:after="0"/>
              <w:rPr>
                <w:sz w:val="21"/>
                <w:szCs w:val="21"/>
                <w:color w:val="auto"/>
              </w:rPr>
            </w:pPr>
          </w:p>
        </w:tc>
        <w:tc>
          <w:tcPr>
            <w:tcW w:w="2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-591185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2025, the Company, under the 2021 Plan, granted no new stock options. 196,628 stock options vested during the period, of which 100,326 were to key management.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stock options outstanding and related information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7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 average exercise price ($)</w:t>
            </w: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580,314</w:t>
            </w:r>
          </w:p>
        </w:tc>
        <w:tc>
          <w:tcPr>
            <w:tcW w:w="200" w:type="dxa"/>
            <w:vAlign w:val="bottom"/>
            <w:tcBorders>
              <w:bottom w:val="single" w:sz="8" w:color="CFF0FC"/>
            </w:tcBorders>
            <w:shd w:val="clear" w:color="auto" w:fill="CFF0FC"/>
          </w:tcPr>
          <w:p>
            <w:pPr>
              <w:spacing w:after="0"/>
              <w:rPr>
                <w:sz w:val="18"/>
                <w:szCs w:val="18"/>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(65,124)</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2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(7,291)</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Expired during the period</w:t>
            </w: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(43,061)</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18"/>
                <w:szCs w:val="18"/>
                <w:color w:val="auto"/>
              </w:rPr>
            </w:pP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464,838</w:t>
            </w:r>
          </w:p>
        </w:tc>
        <w:tc>
          <w:tcPr>
            <w:tcW w:w="200" w:type="dxa"/>
            <w:vAlign w:val="bottom"/>
            <w:tcBorders>
              <w:bottom w:val="single" w:sz="8" w:color="CFF0FC"/>
            </w:tcBorders>
            <w:shd w:val="clear" w:color="auto" w:fill="CFF0FC"/>
          </w:tcPr>
          <w:p>
            <w:pPr>
              <w:spacing w:after="0"/>
              <w:rPr>
                <w:sz w:val="21"/>
                <w:szCs w:val="21"/>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exercisable as of December 31, 2025</w:t>
            </w:r>
          </w:p>
        </w:tc>
        <w:tc>
          <w:tcPr>
            <w:tcW w:w="2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198,429</w:t>
            </w:r>
          </w:p>
        </w:tc>
        <w:tc>
          <w:tcPr>
            <w:tcW w:w="200" w:type="dxa"/>
            <w:vAlign w:val="bottom"/>
          </w:tcPr>
          <w:p>
            <w:pPr>
              <w:spacing w:after="0"/>
              <w:rPr>
                <w:sz w:val="17"/>
                <w:szCs w:val="17"/>
                <w:color w:val="auto"/>
              </w:rPr>
            </w:pPr>
          </w:p>
        </w:tc>
        <w:tc>
          <w:tcPr>
            <w:tcW w:w="2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32.74</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-753745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weighted-average ADS price at exercise for options exercised during the twelve months ended December 31, 2025 was $18.08.</w:t>
      </w:r>
    </w:p>
    <w:p>
      <w:pPr>
        <w:spacing w:after="0" w:line="19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options granted during the financial year 2021 was $124.8 for the May 2021 grant date and $73.4 for the November 2021 grant date. The fair value of the stock options at grant date has been determined using the Black-Scholes option-pricing model, which takes into account the exercise price, the expected term of the stock options, the share price at grant date, expected price volatility of the underlying share,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spacing w:after="0" w:line="14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Each RSU or stock option entitles the holder to acquire, as determined by the Board of Directors, either twenty ordinary shares, twenty warrants or one ADS in the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$3.1 million for the three months ended December 31, 2025 (2024: $3.5 million) and $13.3 million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twelve months ended December 31, 2025 (2024: $13.6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Other operating income and (expenses), net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68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70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38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Strategic review of Greater China business</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(2,636)</w:t>
            </w: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(7,547)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Impairment charges related to discontinued</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of certain production facilities</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(20,346)</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(24,134)</w:t>
            </w:r>
          </w:p>
        </w:tc>
      </w:tr>
      <w:tr>
        <w:trPr>
          <w:trHeight w:val="198"/>
        </w:trPr>
        <w:tc>
          <w:tcPr>
            <w:tcW w:w="49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costs related to discontinued construction of</w:t>
            </w: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certain production facilities</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gridSpan w:val="4"/>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198"/>
        </w:trPr>
        <w:tc>
          <w:tcPr>
            <w:tcW w:w="4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Impairment charges related to closure of</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(22,893)</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(19,113)</w:t>
            </w: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costs related to closure of production facility</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5"/>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(22,983)</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(22,998)</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8"/>
                <w:szCs w:val="18"/>
                <w:color w:val="auto"/>
              </w:rPr>
            </w:pPr>
          </w:p>
        </w:tc>
        <w:tc>
          <w:tcPr>
            <w:tcW w:w="18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(970)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(2,061)</w:t>
            </w:r>
          </w:p>
        </w:tc>
      </w:tr>
      <w:tr>
        <w:trPr>
          <w:trHeight w:val="216"/>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 and (expenses), net</w:t>
            </w:r>
          </w:p>
        </w:tc>
        <w:tc>
          <w:tcPr>
            <w:tcW w:w="10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(1,913)</w:t>
            </w:r>
          </w:p>
        </w:tc>
        <w:tc>
          <w:tcPr>
            <w:tcW w:w="18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(65,619)</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(67,790)</w:t>
            </w:r>
          </w:p>
        </w:tc>
      </w:tr>
      <w:tr>
        <w:trPr>
          <w:trHeight w:val="20"/>
        </w:trPr>
        <w:tc>
          <w:tcPr>
            <w:tcW w:w="3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Finance income and expenses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3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3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income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220" w:type="dxa"/>
            <w:vAlign w:val="bottom"/>
            <w:shd w:val="clear" w:color="auto" w:fill="CFF0FC"/>
          </w:tcPr>
          <w:p>
            <w:pPr>
              <w:spacing w:after="0"/>
              <w:rPr>
                <w:sz w:val="18"/>
                <w:szCs w:val="18"/>
                <w:color w:val="auto"/>
              </w:rPr>
            </w:pPr>
          </w:p>
        </w:tc>
        <w:tc>
          <w:tcPr>
            <w:tcW w:w="13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(3,278)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 on lease liabilities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(2,940)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(4,682)</w:t>
            </w: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 on loans and borrowings</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(14,820)</w:t>
            </w:r>
          </w:p>
        </w:tc>
        <w:tc>
          <w:tcPr>
            <w:tcW w:w="13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(58,792)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(57,797)</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(1,684)</w:t>
            </w: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on Convertible Notes</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(19,341)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(22,088)</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(6,016)</w:t>
            </w:r>
          </w:p>
        </w:tc>
      </w:tr>
      <w:tr>
        <w:trPr>
          <w:trHeight w:val="20"/>
        </w:trPr>
        <w:tc>
          <w:tcPr>
            <w:tcW w:w="3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finance income and expenses, net</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(7,126)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(1,149)</w:t>
            </w:r>
          </w:p>
        </w:tc>
        <w:tc>
          <w:tcPr>
            <w:tcW w:w="13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(77,188)</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(12,421)</w:t>
            </w: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-2167890</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-2167890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-2167890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Fair value changes on Convertible Notes contain the fair value changes less the coupon rate and changes in credit risk. The coupon rate on the Convertible Notes is 9.25%. Interest expenses on loan and borrowings for the three and twelve months ended December 31, 2025 contain interest expense on Convertible Notes of $8.7 million and $36.0 million, respectively. Interest expenses on loan and borrowings for the three and twelve months ended December 31, 2024, contain interest expense on the Convertible Notes of $8.8 million and $33.8 million, respectively. See Note 14 </w:t>
      </w:r>
      <w:r>
        <w:rPr>
          <w:rFonts w:ascii="Times New Roman" w:cs="Times New Roman" w:eastAsia="Times New Roman" w:hAnsi="Times New Roman"/>
          <w:sz w:val="18"/>
          <w:szCs w:val="18"/>
          <w:i w:val="1"/>
          <w:iCs w:val="1"/>
          <w:color w:val="auto"/>
        </w:rPr>
        <w:t>Fair value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and Note 20</w:t>
      </w:r>
      <w:r>
        <w:rPr>
          <w:rFonts w:ascii="Times New Roman" w:cs="Times New Roman" w:eastAsia="Times New Roman" w:hAnsi="Times New Roman"/>
          <w:sz w:val="18"/>
          <w:szCs w:val="18"/>
          <w:i w:val="1"/>
          <w:iCs w:val="1"/>
          <w:color w:val="auto"/>
        </w:rPr>
        <w:t xml:space="preserve"> Interest-bearing loans and borrowings.</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Other financial expenses for the three and twelve months ended December 31, 2025 mainly consist of $18.9 million and $19.9 million, respectively, in transaction costs relating to the Group’s financing arrangements.</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Other financial expenses for the twelve months ended December 31, 2024, mainly consist of $5.0 million in transaction costs relating to amendments in the Group’s financing arrangements.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Note 20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 xml:space="preserve"> for further details on the Group’s credit facilities.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Total tax expense for the three and twelve months ended December 31, 2025 was $2.0 million and $8.2 million, respectively. Total tax expense for the three and twelve months ended December 31, 2024 was $0.5 million and $3.7 million, respectively. The effective tax rate for the three and twelve months ended December 31, 2025 was 11.7% and 5.7% respectively. The main drivers of the effective tax rate relate to non-recognition of deferred tax assets on tax losses and tax effect relating to foreign exchange effects recognized in other comprehensive income. The effective tax rate for three and twelve months ended December 31, 2024 was 0.6% and 1.9% respectively, with non-recognition of deferred tax assets on tax losses being the main driver of the effective tax rate. The Group operates in a global environment with significant operations in</w:t>
      </w:r>
    </w:p>
    <w:p>
      <w:pPr>
        <w:sectPr>
          <w:pgSz w:w="11900" w:h="16838" w:orient="portrait"/>
          <w:cols w:equalWidth="0" w:num="1">
            <w:col w:w="11240"/>
          </w:cols>
          <w:pgMar w:left="320" w:top="765"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jurisdictions outside Sweden. Accordingly, the consolidated income tax rate is a composite rate reflecting the Group’s earnings and the applicable tax rates in the various jurisdictions where the Group operates, and whether or not deferred tax assets are able to be recognized.</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is, as of January 1, 2025 in scope of the OECD Pillar Two Model Rules (“P2 Rules”). The legislation is effective for the Group’s financial year beginning January 1, 2025. The P2 Rules have been enacted (or substantively enacted) in most jurisdictions in which the Group operates, including Sweden. Although no material exposure arising from Pillar Two has been identified to date, material Pillar Two impacts to the Group’s tax expense remain possible.</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May 2023, the IASB amended IAS 12 Income Taxes to include a mandatory temporary exception from recognizing or disclosing deferred taxes relating to the P2 Rules. The Group has applied this mandatory exception which did not have a material impact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intangible assets as at December 31, 2025 and December 31, 2024 is as follows:</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Ongoing</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128,489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18,656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10,830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(10,083)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(4,853)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(14,936)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charge</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(2,505)</w:t>
            </w:r>
          </w:p>
        </w:tc>
        <w:tc>
          <w:tcPr>
            <w:tcW w:w="12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(1,309)</w:t>
            </w:r>
          </w:p>
        </w:tc>
        <w:tc>
          <w:tcPr>
            <w:tcW w:w="124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(2,164)</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(945)</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(7,107)</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(275)</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(22,134)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4,590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December 31, 2025</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128,489</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3,904</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3,723</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1,631</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137,747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-1533525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-1533525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-1533525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-1533525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-1224915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-1224915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-1224915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-1224915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-642620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-642620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-642620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-642620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-334010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-334010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-334010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-334010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the three months ended December 31, 2025 was $1.1 million (2024: $1.0 million). Amortization expense for the twelve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December 31, 2025 was $3.8 million (2024: $4.1 million).</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Property, Plant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property, plant, and equipment as at December 31, 2025 and December 31, 2024 is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104,811</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286,153</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54,315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(25,863)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(33,126)</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(31,435)</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20,393</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113,151</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313,567</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32,415</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459,133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(23,376)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(109,525)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(18,179)</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(151,080)</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Depreciation charge</w:t>
            </w:r>
          </w:p>
        </w:tc>
        <w:tc>
          <w:tcPr>
            <w:tcW w:w="1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(6,609)</w:t>
            </w:r>
          </w:p>
        </w:tc>
        <w:tc>
          <w:tcPr>
            <w:tcW w:w="1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(26,793)</w:t>
            </w:r>
          </w:p>
        </w:tc>
        <w:tc>
          <w:tcPr>
            <w:tcW w:w="13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(33,402)</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(2,880)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(8,461)</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(11,978)</w:t>
            </w: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(26,039)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(120,016)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(18,390)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(164,445)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81,435</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176,628</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36,136</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December 31, 2025</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87,112</w:t>
            </w: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193,551</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14,025</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294,688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-1525270</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-1508125</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-1525270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-1508125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-1525270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-1508125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-1216660</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-1199515</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-1216660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-1199515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-1199515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-642620</wp:posOffset>
            </wp:positionV>
            <wp:extent cx="774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-642620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-642620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-333375</wp:posOffset>
            </wp:positionV>
            <wp:extent cx="774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-333375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Relates primarily to disposed assets due to the closure of the Group’s production facility in Singapore.</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December 31, 2025 was $8.9 million (2024: $8.0 million). Depreciation expense for the twelve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December 31, 2025 was $33.4 million (2024: $34.0 million).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Lease terms for production facilities are generally between 10 and 20 years, and lease terms for other properties (i.e., offices) are generally between 1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roll-forward of lease right-of-use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56,089</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28,178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84,267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1,064</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(1)</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(6,159)</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(3,861)</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(10,020)</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3,858</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2,543</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54,852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27,054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81,906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(24,917)</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(13,795)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(38,712)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6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(7,485)</w:t>
            </w:r>
          </w:p>
        </w:tc>
        <w:tc>
          <w:tcPr>
            <w:tcW w:w="15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(3,869)</w:t>
            </w:r>
          </w:p>
        </w:tc>
        <w:tc>
          <w:tcPr>
            <w:tcW w:w="14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(11,354)</w:t>
            </w: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5,716</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(1,574)</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(1,526)</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(28,260)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(15,739)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(43,999)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w:t>
            </w:r>
          </w:p>
        </w:tc>
        <w:tc>
          <w:tcPr>
            <w:tcW w:w="1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31,172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14,383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45,555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December 31, 2025</w:t>
            </w:r>
          </w:p>
        </w:tc>
        <w:tc>
          <w:tcPr>
            <w:tcW w:w="16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26,592</w:t>
            </w:r>
          </w:p>
        </w:tc>
        <w:tc>
          <w:tcPr>
            <w:tcW w:w="15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11,315</w:t>
            </w:r>
          </w:p>
        </w:tc>
        <w:tc>
          <w:tcPr>
            <w:tcW w:w="14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37,907</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-1533525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-1533525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-1224915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-1224915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-642620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-642620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-333375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-333375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Decreases in Land and buildings relate primarily to cancelled and returned land lease due to the discontinued construction of the production facility in China (Asia III).</w:t>
      </w:r>
    </w:p>
    <w:p>
      <w:pPr>
        <w:sectPr>
          <w:pgSz w:w="11900" w:h="16838" w:orient="portrait"/>
          <w:cols w:equalWidth="0" w:num="1">
            <w:col w:w="11240"/>
          </w:cols>
          <w:pgMar w:left="320" w:top="765" w:right="3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December 31, 2025 was $2.9 million (2024: $2.9 million). Depreciation expense for the twelve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December 31, 2025 was $11.4 million (2024: $11.8 million)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the maturity analysis of lease liabilities:</w:t>
      </w:r>
    </w:p>
    <w:p>
      <w:pPr>
        <w:sectPr>
          <w:pgSz w:w="11900" w:h="16838" w:orient="portrait"/>
          <w:cols w:equalWidth="0" w:num="1">
            <w:col w:w="11240"/>
          </w:cols>
          <w:pgMar w:left="320" w:top="765" w:right="3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Maturity Analysis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3 months and 1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Between 2 and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liabilities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liabilities included in the condensed consolidated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7620</wp:posOffset>
            </wp:positionV>
            <wp:extent cx="12255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3,209</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9,627</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10,116</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12,819</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5715</wp:posOffset>
            </wp:positionV>
            <wp:extent cx="122555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b w:val="1"/>
          <w:bCs w:val="1"/>
          <w:color w:val="auto"/>
        </w:rPr>
        <w:t>47,266</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5715</wp:posOffset>
            </wp:positionV>
            <wp:extent cx="122555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b w:val="1"/>
          <w:bCs w:val="1"/>
          <w:color w:val="auto"/>
        </w:rPr>
        <w:t>37,186</w:t>
      </w:r>
    </w:p>
    <w:p>
      <w:pPr>
        <w:spacing w:after="0" w:line="200" w:lineRule="exact"/>
        <w:rPr>
          <w:sz w:val="20"/>
          <w:szCs w:val="20"/>
          <w:color w:val="auto"/>
        </w:rPr>
      </w:pPr>
    </w:p>
    <w:p>
      <w:pPr>
        <w:spacing w:after="0" w:line="2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24,729</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5715</wp:posOffset>
            </wp:positionV>
            <wp:extent cx="122555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b w:val="1"/>
          <w:bCs w:val="1"/>
          <w:color w:val="auto"/>
        </w:rPr>
        <w:t>37,186</w:t>
      </w:r>
    </w:p>
    <w:p>
      <w:pPr>
        <w:spacing w:after="0" w:line="200" w:lineRule="exact"/>
        <w:rPr>
          <w:sz w:val="20"/>
          <w:szCs w:val="20"/>
          <w:color w:val="auto"/>
        </w:rPr>
      </w:pPr>
    </w:p>
    <w:p>
      <w:pPr>
        <w:sectPr>
          <w:pgSz w:w="11900" w:h="16838" w:orient="portrait"/>
          <w:cols w:equalWidth="0" w:num="2">
            <w:col w:w="8860" w:space="720"/>
            <w:col w:w="1660"/>
          </w:cols>
          <w:pgMar w:left="320" w:top="765" w:right="339" w:bottom="1440" w:gutter="0" w:footer="0" w:header="0"/>
          <w:type w:val="continuous"/>
        </w:sectPr>
      </w:pP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the following lease agreements, which had not commenced as of December 31, 2025, but to which the Group is committed:</w:t>
      </w:r>
    </w:p>
    <w:p>
      <w:pPr>
        <w:spacing w:after="0" w:line="117" w:lineRule="exact"/>
        <w:rPr>
          <w:sz w:val="20"/>
          <w:szCs w:val="20"/>
          <w:color w:val="auto"/>
        </w:rPr>
      </w:pPr>
    </w:p>
    <w:p>
      <w:pPr>
        <w:ind w:left="1020" w:right="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production equipment in Ma’anshan, China, under which the Group’s obligations collectively amount to $3.6 million for a term of six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non-current receivables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24,867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14,634</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46,992</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44,331</w:t>
            </w: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prepaid expenses consist primarily of a credit toward future use of shared assets at the manufacturing facility in Ogden.</w:t>
      </w:r>
    </w:p>
    <w:p>
      <w:pPr>
        <w:spacing w:after="0" w:line="223"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 xml:space="preserve">Derivatives consist of interest rate cap and embedded derivatives related to the Company’s Nordic Bonds. See Note 20 </w:t>
      </w:r>
      <w:r>
        <w:rPr>
          <w:rFonts w:ascii="Times New Roman" w:cs="Times New Roman" w:eastAsia="Times New Roman" w:hAnsi="Times New Roman"/>
          <w:sz w:val="18"/>
          <w:szCs w:val="18"/>
          <w:i w:val="1"/>
          <w:iCs w:val="1"/>
          <w:color w:val="auto"/>
        </w:rPr>
        <w:t>Interest-bearing loans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for further details on the Nordic Bonds.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of financial instruments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72"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The fair value of financial instruments traded in active markets (such as publicly traded derivatives and equity securities) is based on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prices at the end of the reporting period. The quoted market price used for financial assets held by the Group is the current bid price. These instruments are included in Level 1.</w:t>
      </w:r>
    </w:p>
    <w:p>
      <w:pPr>
        <w:sectPr>
          <w:pgSz w:w="11900" w:h="16838" w:orient="portrait"/>
          <w:cols w:equalWidth="0" w:num="1">
            <w:col w:w="11240"/>
          </w:cols>
          <w:pgMar w:left="320" w:top="765" w:right="3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1"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The fair value of financial instruments that are not traded in an active market (for example, over-the-counter derivatives) is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caps – option pricing models (e.g. Black-Scholes model)</w:t>
      </w:r>
    </w:p>
    <w:p>
      <w:pPr>
        <w:spacing w:after="0" w:line="221" w:lineRule="exact"/>
        <w:rPr>
          <w:sz w:val="20"/>
          <w:szCs w:val="20"/>
          <w:color w:val="auto"/>
        </w:rPr>
      </w:pPr>
    </w:p>
    <w:p>
      <w:pPr>
        <w:jc w:val="both"/>
        <w:ind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 This is the case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unlisted equity securities.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2025</w:t>
            </w:r>
          </w:p>
        </w:tc>
        <w:tc>
          <w:tcPr>
            <w:tcW w:w="120" w:type="dxa"/>
            <w:vAlign w:val="bottom"/>
          </w:tcPr>
          <w:p>
            <w:pPr>
              <w:spacing w:after="0"/>
              <w:rPr>
                <w:sz w:val="15"/>
                <w:szCs w:val="15"/>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4,504</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(part of Current interest-bearing loans and borrowings)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00" w:type="dxa"/>
            <w:vAlign w:val="bottom"/>
          </w:tcPr>
          <w:p>
            <w:pPr>
              <w:spacing w:after="0"/>
              <w:rPr>
                <w:sz w:val="18"/>
                <w:szCs w:val="18"/>
                <w:color w:val="auto"/>
              </w:rPr>
            </w:pP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333,145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5"/>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2024</w:t>
            </w:r>
          </w:p>
        </w:tc>
        <w:tc>
          <w:tcPr>
            <w:tcW w:w="12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6"/>
        </w:trPr>
        <w:tc>
          <w:tcPr>
            <w:tcW w:w="6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 (part of Current interest-bearing loans and borrowings)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-1885315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-1885315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-1293495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-1276985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-1293495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-1276985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-607695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-590550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-607695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levels during the twelve months ended December 31, 2025 and the year ended December 31, 2024.</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carrying amount of the promissory note, is a reasonable approximation of fair value since the transaction was closed on March 1, 2023, and there have been no significant changes to credit risk or market rates during the period March 1, 2023 until December 31, 2025. See Note 13 </w:t>
      </w:r>
      <w:r>
        <w:rPr>
          <w:rFonts w:ascii="Times New Roman" w:cs="Times New Roman" w:eastAsia="Times New Roman" w:hAnsi="Times New Roman"/>
          <w:sz w:val="18"/>
          <w:szCs w:val="18"/>
          <w:i w:val="1"/>
          <w:iCs w:val="1"/>
          <w:color w:val="auto"/>
        </w:rPr>
        <w:t>Other non-current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receivables.</w:t>
      </w:r>
    </w:p>
    <w:p>
      <w:pPr>
        <w:spacing w:after="0" w:line="174"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 xml:space="preserve">The carrying amount of the Nordic Bonds in the Group is a reasonable approximation of fair value. See Note 20 </w:t>
      </w:r>
      <w:r>
        <w:rPr>
          <w:rFonts w:ascii="Times New Roman" w:cs="Times New Roman" w:eastAsia="Times New Roman" w:hAnsi="Times New Roman"/>
          <w:sz w:val="18"/>
          <w:szCs w:val="18"/>
          <w:i w:val="1"/>
          <w:iCs w:val="1"/>
          <w:color w:val="auto"/>
        </w:rPr>
        <w:t>Interest-bearing loans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borrowings.</w:t>
      </w:r>
    </w:p>
    <w:p>
      <w:pPr>
        <w:spacing w:after="0" w:line="16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 of current liabilities to credit institutions and other financial instruments in the Group is a reasonable approximation of fair value since they are short-term, and the discount effect is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5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30,739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recognized in consolidated statement of other comprehensive loss</w:t>
            </w: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U.S. Notes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(38,344)</w:t>
            </w: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6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333,145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7700" w:type="dxa"/>
            <w:vAlign w:val="bottom"/>
          </w:tcPr>
          <w:p>
            <w:pPr>
              <w:spacing w:after="0"/>
              <w:rPr>
                <w:sz w:val="24"/>
                <w:szCs w:val="24"/>
                <w:color w:val="auto"/>
              </w:rPr>
            </w:pP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6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333,145</w:t>
            </w:r>
          </w:p>
        </w:tc>
        <w:tc>
          <w:tcPr>
            <w:tcW w:w="220" w:type="dxa"/>
            <w:vAlign w:val="bottom"/>
            <w:shd w:val="clear" w:color="auto" w:fill="CFF0FC"/>
          </w:tcPr>
          <w:p>
            <w:pPr>
              <w:spacing w:after="0"/>
              <w:rPr>
                <w:sz w:val="18"/>
                <w:szCs w:val="18"/>
                <w:color w:val="auto"/>
              </w:rPr>
            </w:pPr>
          </w:p>
        </w:tc>
        <w:tc>
          <w:tcPr>
            <w:tcW w:w="16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 at maturity</w:t>
            </w: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490,873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 obligated to</w:t>
            </w:r>
          </w:p>
        </w:tc>
        <w:tc>
          <w:tcPr>
            <w:tcW w:w="18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(157,728)</w:t>
            </w:r>
          </w:p>
        </w:tc>
        <w:tc>
          <w:tcPr>
            <w:tcW w:w="17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(222,447)</w:t>
            </w:r>
          </w:p>
        </w:tc>
        <w:tc>
          <w:tcPr>
            <w:tcW w:w="0" w:type="dxa"/>
            <w:vAlign w:val="bottom"/>
          </w:tcPr>
          <w:p>
            <w:pPr>
              <w:spacing w:after="0"/>
              <w:rPr>
                <w:sz w:val="1"/>
                <w:szCs w:val="1"/>
                <w:color w:val="auto"/>
              </w:rPr>
            </w:pPr>
          </w:p>
        </w:tc>
      </w:tr>
      <w:tr>
        <w:trPr>
          <w:trHeight w:val="21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pay to holders of Convertible Notes at maturity</w:t>
            </w:r>
          </w:p>
        </w:tc>
        <w:tc>
          <w:tcPr>
            <w:tcW w:w="1820" w:type="dxa"/>
            <w:vAlign w:val="bottom"/>
            <w:gridSpan w:val="3"/>
            <w:vMerge w:val="continue"/>
            <w:shd w:val="clear" w:color="auto" w:fill="CFF0FC"/>
          </w:tcPr>
          <w:p>
            <w:pPr>
              <w:spacing w:after="0"/>
              <w:rPr>
                <w:sz w:val="18"/>
                <w:szCs w:val="18"/>
                <w:color w:val="auto"/>
              </w:rPr>
            </w:pPr>
          </w:p>
        </w:tc>
        <w:tc>
          <w:tcPr>
            <w:tcW w:w="1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the instrument in its entirety has been determined by using a combination of a Monte Carlo simulation and a discounted cash flow analysis.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key inputs and assumptions used in the valuation model as of December 31, 2025 and 2024:</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3"/>
                <w:szCs w:val="13"/>
                <w:color w:val="auto"/>
              </w:rPr>
            </w:pPr>
          </w:p>
        </w:tc>
        <w:tc>
          <w:tcPr>
            <w:tcW w:w="1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3"/>
                <w:szCs w:val="13"/>
                <w:color w:val="auto"/>
              </w:rPr>
            </w:pPr>
          </w:p>
        </w:tc>
      </w:tr>
      <w:tr>
        <w:trPr>
          <w:trHeight w:val="210"/>
        </w:trPr>
        <w:tc>
          <w:tcPr>
            <w:tcW w:w="7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Conversion price per ADS ($)</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27.2-37.8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ADS price at valuation date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price volatility of the Company ADS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both"/>
        <w:ind w:firstLine="457"/>
        <w:spacing w:after="0" w:line="275" w:lineRule="auto"/>
        <w:tabs>
          <w:tab w:leader="none" w:pos="7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Notes (as defined below) are convertible at the option of each holder at a conversion price of $27.20 per ADS, subject to customary anti-dilution adjustments. The HH Notes (as defined below) are convertible at the option of each holder at a conversion price of $28.20 per ADS, subject to customary anti-dilution adjustments. The Swedish Notes (as defined below) are convertible at the option of each holder at a conversion price of $1.36 per ordinary share, subject to customary anti-dilution adjustments. For further details on the Convertible Notes see Note 20 </w:t>
      </w:r>
      <w:r>
        <w:rPr>
          <w:rFonts w:ascii="Times New Roman" w:cs="Times New Roman" w:eastAsia="Times New Roman" w:hAnsi="Times New Roman"/>
          <w:sz w:val="16"/>
          <w:szCs w:val="16"/>
          <w:i w:val="1"/>
          <w:iCs w:val="1"/>
          <w:color w:val="auto"/>
        </w:rPr>
        <w:t>Interest-bearing loans and borrowings.</w:t>
      </w:r>
    </w:p>
    <w:p>
      <w:pPr>
        <w:spacing w:after="0" w:line="38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market interest rate has been assessed based on the observed range of yields on corporate bonds with comparable terms and comparable credit ratings to that of the Group.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impact of the key inputs and assumptions on the fair value of the Convertible Notes: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ADS price decrease 30%</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322,377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303,849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ADS price increase 30%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346,372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decrease 10 percentage points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327,779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319,311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Volatility increase 10 percentage points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336,942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329,108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decrease 1 percentage point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332,581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323,810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increase 1 percentage point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333,707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324,954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decrease 1 percentage point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340,451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333,154</w:t>
            </w:r>
          </w:p>
        </w:tc>
        <w:tc>
          <w:tcPr>
            <w:tcW w:w="100" w:type="dxa"/>
            <w:vAlign w:val="bottom"/>
            <w:shd w:val="clear" w:color="auto" w:fill="CFF0FC"/>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Market interest rate increase 1 percentage point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326,065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315,973</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further information on the Convertible Notes, see Note 20 </w:t>
      </w:r>
      <w:r>
        <w:rPr>
          <w:rFonts w:ascii="Times New Roman" w:cs="Times New Roman" w:eastAsia="Times New Roman" w:hAnsi="Times New Roman"/>
          <w:sz w:val="18"/>
          <w:szCs w:val="18"/>
          <w:i w:val="1"/>
          <w:iCs w:val="1"/>
          <w:color w:val="auto"/>
        </w:rPr>
        <w:t>Interest-bearing loans and borrowings.</w:t>
      </w:r>
    </w:p>
    <w:p>
      <w:pPr>
        <w:sectPr>
          <w:pgSz w:w="11900" w:h="16838" w:orient="portrait"/>
          <w:cols w:equalWidth="0" w:num="1">
            <w:col w:w="11240"/>
          </w:cols>
          <w:pgMar w:left="320" w:top="765"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Inventories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12,326</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12,565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56,211</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68,537</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65,602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Inventories recognized as an expense for the three months ended December 31, 2025 amounted to $144.0 million (2024: $144.9 million). Inventories recognized as an expense for the twelve months ended December 31, 2025 amounted to $552.7 million (2024: $555.7 million). The expenses were included in cost of goods sold.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Write-downs of inventories to net realizable value for the three months ended December 31, 2025 amounted to $2.3 million (2024: $1.5 million). Write-downs of inventories to net realizable value for the twelve months ended December 31, 2025 amounted to $8.0 million (2024: $3.1 million). The write-downs were recognized as an expense for each period and included in cost of goods sold.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Trade receivables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104,817</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104,144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(1,295)</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845"/>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700" w:type="dxa"/>
            <w:vAlign w:val="bottom"/>
          </w:tcPr>
          <w:p>
            <w:pPr>
              <w:spacing w:after="0"/>
              <w:rPr>
                <w:sz w:val="17"/>
                <w:szCs w:val="17"/>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7"/>
                <w:szCs w:val="17"/>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30,788</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31,660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GBP</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21,155</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19,670</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20,116</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29,931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17,956</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13,616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SEK</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4,430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103,366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-1704975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-1687830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-1687830</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Other current receivables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7,604</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6,169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2,201</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derivatives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17,438</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15,738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Cash and cash equivalents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at bank and on hand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64,345</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58,923</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64,345</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98,923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2024, short-term deposits were time deposits and structured deposits, with maturities of one to three months.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Equity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Treasury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May 2021, the shareholders resolved to issue 69,496,515 warrants to secure the future delivery of ordinary shares under the 2021 Plan. During May 2025, the Company exercised 8,452,360 warrants (May 2024: 3,667,255 warrants, May 2023: 2,882,164 warrants, May 2022: 650,000 warrants). As of December 31, 2025 and December 31, 2024, there were 53,844,736 and 62,297,096 warrants outstanding, respectively.</w:t>
      </w:r>
    </w:p>
    <w:p>
      <w:pPr>
        <w:spacing w:after="0" w:line="176"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Upon exercise of the warrants in May 2025, 8,452,360 ordinary shares were allotted and issued. During the twelve months ended December 31, 2025, the equivalent of 7,973,001 ordinary shares have been delivered to participants under the 2021 Incentive Award Plan in the form of ADSs. The remaining balance is held as treasury shares to enable the Company’s timely delivery of ordinary shares upon the exercise of outstanding stock options and to meet future vesting of the RSUs.</w:t>
      </w:r>
    </w:p>
    <w:p>
      <w:pPr>
        <w:spacing w:after="0" w:line="178"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 xml:space="preserve">On October 3, 2025, 17,962,680 ordinary shares were issued in connection with repurchases and cancellations of U.S. Notes. See Note 20 </w:t>
      </w:r>
      <w:r>
        <w:rPr>
          <w:rFonts w:ascii="Times New Roman" w:cs="Times New Roman" w:eastAsia="Times New Roman" w:hAnsi="Times New Roman"/>
          <w:sz w:val="18"/>
          <w:szCs w:val="18"/>
          <w:i w:val="1"/>
          <w:iCs w:val="1"/>
          <w:color w:val="auto"/>
        </w:rPr>
        <w:t xml:space="preserve">Interest-bearing loans and borrowings </w:t>
      </w:r>
      <w:r>
        <w:rPr>
          <w:rFonts w:ascii="Times New Roman" w:cs="Times New Roman" w:eastAsia="Times New Roman" w:hAnsi="Times New Roman"/>
          <w:sz w:val="18"/>
          <w:szCs w:val="18"/>
          <w:color w:val="auto"/>
        </w:rPr>
        <w:t>for further details.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twelve months ended December 31, 2025, 4,480 treasury shares were sold to cover fees in connection with the ADS Ratio Change.</w:t>
      </w:r>
    </w:p>
    <w:p>
      <w:pPr>
        <w:spacing w:after="0" w:line="225"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2025 and December 31, 2024, 624,500,001 and 598,559,840 ordinary shares, respectively were outstanding, and the par value per share was $0.00018 (SEK 0.0015). The Company had 891,459 and 416,580 treasury shares as of December 31, 2025 and December 31, 2024,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contributed capital</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other contributed capital of $1,641.6 million and $1,628.0 million, respectively, consists of share premium, shareholders contribution and proceeds from warrant issues and exercise of stock options.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2025 other reserves of $(225.4) million consists of fair value reserve of $(80.0) million related to fair value gains and losses on the Convertible Notes attributable to changes in the Group’s credit risk, and foreign currency translation reserve of $(145.4) million primarily related to the exchange differences occurring from the translation of foreign operations in another currency than the reporting currency of the Group (USD).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2024 other reserves of $(274.2) million consists of fair value reserve of $(72.7) million related to fair value gains and losses on the Convertible Notes attributable to changes in the Group’s credit risk, and foreign currency translation reserve of $(201.5) million primarily related to the exchange differences occurring from the translation of foreign operations in another currency than the reporting currency of the Group (USD).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Accumulated deficit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accumulated deficit of $(1,397.8) million and $(1,249.3) million, respectively, consists of accumulated losses and share-based compensation.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December 31, 2025 and December 31, 2024, non-controlling interests amounted to $1.1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Interest-bearing loans and borrowings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interest-bearing loans and borrowings</w:t>
            </w:r>
          </w:p>
        </w:tc>
        <w:tc>
          <w:tcPr>
            <w:tcW w:w="1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Nordic Bonds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182,783</w:t>
            </w:r>
          </w:p>
        </w:tc>
        <w:tc>
          <w:tcPr>
            <w:tcW w:w="22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interest-bearing loans and borrowings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182,783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116,216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interest-bearing loans and borrowings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Nordic Bonds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interest-bearing loans and borrowings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340,266</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330,152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523,049</w:t>
            </w:r>
          </w:p>
        </w:tc>
        <w:tc>
          <w:tcPr>
            <w:tcW w:w="18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446,368</w:t>
            </w:r>
          </w:p>
        </w:tc>
        <w:tc>
          <w:tcPr>
            <w:tcW w:w="12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-1190625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2025, interest-bearing loans and borrowing amounted to $523.0 million and was related to the Nordic Bonds, the Convertible Notes, and utilized amounts on the CMB Credit Facility (each as defined below). As of December 31, 2024, interest-bearing loans and borrowing amounted to $446.4 million and was related to the Convertible Notes, and outstanding amounts under the Term Loan B Credit Agreement and the term loan facility with Svensk Exportkredit.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Nordic Bonds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On September 30, 2025, the Company issued SEK denominated senior secured floating rate bonds (the “Nordic Bonds”) under the terms and conditions entered into by the Company with Nordic Trustee &amp; Agency AB (publ) on September 29, 2025. The Nordic Bonds have an initial issue amount of SEK 1,700 million (equivalent of $180.9 million) and a tenor of four years, subject to certain early redemption features. Following the satisfaction of certain conditions, the proceeds from the Nordic Bonds were released to the Company from escrow on October 3, 2025, and used to prepay the Term Loan B Credit Agreement in full, repurchase and cancel certain of the U.S. Notes (as defined below) and pay related transaction costs. The Nordic Bonds accrue interest at an interest rate equal to 3-month STIBOR plus 7.00 per cent.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Nordic Bonds or is subordinated to the Nordic Bonds, and (iv) a distribution incurrence test which applies in respect of certain distributions by the Company to its shareholders. As of December 31, 2025, the Group had SEK 1,716 million (equivalent of $187.1 million) outstanding under the Nordic Bonds, including accrued interest.</w:t>
      </w:r>
    </w:p>
    <w:p>
      <w:pPr>
        <w:spacing w:after="0" w:line="190" w:lineRule="exact"/>
        <w:rPr>
          <w:sz w:val="20"/>
          <w:szCs w:val="20"/>
          <w:color w:val="auto"/>
        </w:rPr>
      </w:pPr>
    </w:p>
    <w:p>
      <w:pPr>
        <w:jc w:val="both"/>
        <w:ind w:firstLine="514"/>
        <w:spacing w:after="0" w:line="258" w:lineRule="auto"/>
        <w:rPr>
          <w:sz w:val="20"/>
          <w:szCs w:val="20"/>
          <w:color w:val="auto"/>
        </w:rPr>
      </w:pPr>
      <w:r>
        <w:rPr>
          <w:rFonts w:ascii="Times New Roman" w:cs="Times New Roman" w:eastAsia="Times New Roman" w:hAnsi="Times New Roman"/>
          <w:sz w:val="18"/>
          <w:szCs w:val="18"/>
          <w:color w:val="auto"/>
        </w:rPr>
        <w:t>The debt under the Nordic Bonds and the SSRCF (as defined below) share in the same security and guarantees from material companies in the Group by way of an intercreditor agreement entered into by the Company on September 30, 2025 (the “New Intercreditor Agreement”), which replaced the Prior Intercreditor Agreement. The security provided for the SSRCF (as defined below)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Nordic Bonds are denominated in SEK and the issuer within the Group is Oatly Group AB with a functional currency of USD. The Group is therefore exposed to currency risk USD/SEK and if the rate would increase/decrease by 10% the impact on loss before tax for the twelve months ended December 31, 2025, would be $16.7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is exposed to interest rate risk that arises from the Nordic Bonds that carry an interest of STIBOR 3M. To manage the risk the Group has entered into interest rate cap for a partial amount of SEK 850 million of the Nordic Bonds. The cap is 1.95% and has a maturity of 3 years (September 2028). The effect from increase in basis points is limited due to the cap that economically hedges the Nordic Bonds. If variable interest increased by 100 basis points the impact on loss before tax for the three months October 1 to December 31, 2025, would be $0.2 million.</w:t>
      </w:r>
    </w:p>
    <w:p>
      <w:pPr>
        <w:sectPr>
          <w:pgSz w:w="11900" w:h="16838" w:orient="portrait"/>
          <w:cols w:equalWidth="0" w:num="1">
            <w:col w:w="11240"/>
          </w:cols>
          <w:pgMar w:left="320" w:top="765"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variable interest decreased by 100 basis points the impact on loss before tax for the three months October 1 to December 31, 2025, would be $0.5 million.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Liabilities to credit institutions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30.0 million (equivalent of $4.2 million) working capital credit facility with China Merchants Bank Co., Ltd. Shanghai Branch (the “CMB Credit Facility”). Individual utilizations under the CMB Credit Facility are subject to the lender’s approval. The CMB Credit Facility is available for one year, is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December 31, 2025, the Group had utilized loan amounts of RMB 20.0 million (equivalent of $2.8 million) under the CMB Credit Facility.</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September 30, 2025, the Company entered into a SEK 750 million (equivalent to $79.8 million) super senior revolving credit facility agreement with JP Morgan, Nordea and Rabobank (the “SSRCF”), which came into effect on October 3, 2025. The existing Sustainable Revolving Credit Facility Agreement (the “SRCF”)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 minimum EBITDA (which ceases to apply following the third quarter of 2027),</w:t>
      </w:r>
    </w:p>
    <w:p>
      <w:pPr>
        <w:spacing w:after="0" w:line="3" w:lineRule="exact"/>
        <w:rPr>
          <w:sz w:val="20"/>
          <w:szCs w:val="20"/>
          <w:color w:val="auto"/>
        </w:rPr>
      </w:pPr>
    </w:p>
    <w:p>
      <w:pPr>
        <w:jc w:val="both"/>
        <w:ind w:firstLine="8"/>
        <w:spacing w:after="0" w:line="253" w:lineRule="auto"/>
        <w:tabs>
          <w:tab w:leader="none" w:pos="3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(which ceases to apply following the third quarter of 2027), and (iv) total net leverage ratio (which commences to apply in respect of the LTM period ending on 30 September 2027).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December 31, 2025, the Group had access to $78.5 million in undrawn SSRCF commitments.</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October 1, 2025, the term loan facility with Svensk Exportkredit was prepaid in full. On October 3, 2025, as described above, part of the proceeds from the Nordic Bonds were used to prepay the Term Loan B Credit Agreement in full.</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(the “Swedish Terms”), will interpret the definition of “Daily VWAP” therein to assume the trading price of 1/20 of an ADS. The conversion price of the Swedish Notes was reset again on March 23, 2025, to $1.36.</w:t>
      </w:r>
    </w:p>
    <w:p>
      <w:pPr>
        <w:sectPr>
          <w:pgSz w:w="11900" w:h="16838" w:orient="portrait"/>
          <w:cols w:equalWidth="0" w:num="1">
            <w:col w:w="11240"/>
          </w:cols>
          <w:pgMar w:left="320" w:top="765"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w:t>
      </w:r>
    </w:p>
    <w:p>
      <w:pPr>
        <w:spacing w:after="0" w:line="1" w:lineRule="exact"/>
        <w:rPr>
          <w:sz w:val="20"/>
          <w:szCs w:val="20"/>
          <w:color w:val="auto"/>
        </w:rPr>
      </w:pPr>
    </w:p>
    <w:p>
      <w:pPr>
        <w:jc w:val="both"/>
        <w:ind w:firstLine="8"/>
        <w:spacing w:after="0" w:line="253"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the Company’s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October 3, 2025, the Company completed a series of privately negotiated repurchases and cancellations of an aggregate amount of $42.9 million U.S. Notes in exchange for $24.6 million in cash and 898,134 ADSs.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details on the fair value on Convertible Notes, see Note 14 </w:t>
      </w:r>
      <w:r>
        <w:rPr>
          <w:rFonts w:ascii="Times New Roman" w:cs="Times New Roman" w:eastAsia="Times New Roman" w:hAnsi="Times New Roman"/>
          <w:sz w:val="18"/>
          <w:szCs w:val="18"/>
          <w:i w:val="1"/>
          <w:iCs w:val="1"/>
          <w:color w:val="auto"/>
        </w:rPr>
        <w:t>Fair value of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Provisions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Restructuring</w:t>
            </w:r>
          </w:p>
        </w:tc>
      </w:tr>
      <w:tr>
        <w:trPr>
          <w:trHeight w:val="21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33,061</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Additional provisions recognized</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Unwinding of discount effect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Reversal of non-utilized amounts</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(1,721)</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(18,847)</w:t>
            </w: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other comprehensive loss:</w:t>
            </w:r>
          </w:p>
        </w:tc>
        <w:tc>
          <w:tcPr>
            <w:tcW w:w="1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Exchange differences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18"/>
                <w:szCs w:val="18"/>
                <w:color w:val="auto"/>
              </w:rPr>
            </w:pPr>
          </w:p>
        </w:tc>
      </w:tr>
      <w:tr>
        <w:trPr>
          <w:trHeight w:val="250"/>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9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7"/>
                <w:szCs w:val="17"/>
                <w:color w:val="auto"/>
              </w:rPr>
            </w:pPr>
          </w:p>
        </w:tc>
      </w:tr>
      <w:tr>
        <w:trPr>
          <w:trHeight w:val="216"/>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restructuring provisions recorded in 2025 were principally related to organizational restructuring.</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restructuring provisions recorded in 2024 were principally related to decommissioning and other exit costs for the closure of the production facility in Singapore. The remaining amounts relating to the closure of the facility are expected to be paid throughout 2026 and into the first quarter of 2027. The Group also recorded provisions related to organizational restructuring. The main part of the organizational restructuring plan was drawn up and announced to the employees during 2024, with some additional parts being announced and recorded as expense during 2025.</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2025, the Group had $8.6 million in cash outflows relating to organizational restructuring and $10.2 million in cash outflows relating to the closure of the production facility in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Accrued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32,322</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24,549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28,709</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24,284</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logistic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10,940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10,762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7,797</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12,701</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6,739</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9,218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107,932</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103,719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Related party disclosures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to related parties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Information about share-based compensation to related parties is found in Note 6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On April 18, 2023 the Company issued Convertible Notes to related parties, Nativus Company Limited and Verlinvest, with a fair value of $174.0 million. As of December 31, 2025, the fair value of the outstanding Convertible Notes to related parties amounted to $182.1 million. The Convertible Notes were issued with the terms and conditions described in Note 20 </w:t>
      </w:r>
      <w:r>
        <w:rPr>
          <w:rFonts w:ascii="Times New Roman" w:cs="Times New Roman" w:eastAsia="Times New Roman" w:hAnsi="Times New Roman"/>
          <w:sz w:val="18"/>
          <w:szCs w:val="18"/>
          <w:i w:val="1"/>
          <w:iCs w:val="1"/>
          <w:color w:val="auto"/>
        </w:rPr>
        <w:t>Interest-bearing loans and borrowings.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Loss per share</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calculates loss per share by dividing loss for the period attributable to the shareholders of the parent by the weighted average number of ordinary shares outstanding during the period (net of treasury shares).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80" w:type="dxa"/>
            <w:vAlign w:val="bottom"/>
          </w:tcPr>
          <w:p>
            <w:pPr>
              <w:spacing w:after="0"/>
              <w:rPr>
                <w:sz w:val="15"/>
                <w:szCs w:val="15"/>
                <w:color w:val="auto"/>
              </w:rPr>
            </w:pPr>
          </w:p>
        </w:tc>
        <w:tc>
          <w:tcPr>
            <w:tcW w:w="28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89"/>
        </w:trPr>
        <w:tc>
          <w:tcPr>
            <w:tcW w:w="578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year, attributable to the shareholders of the parent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(19,143)</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(91,206)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(152,771)</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(201,949)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623,752,493</w:t>
            </w: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598,226,750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607,525,897</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596,886,163</w:t>
            </w:r>
          </w:p>
        </w:tc>
        <w:tc>
          <w:tcPr>
            <w:tcW w:w="100" w:type="dxa"/>
            <w:vAlign w:val="bottom"/>
          </w:tcPr>
          <w:p>
            <w:pPr>
              <w:spacing w:after="0"/>
              <w:rPr>
                <w:sz w:val="18"/>
                <w:szCs w:val="18"/>
                <w:color w:val="auto"/>
              </w:rPr>
            </w:pPr>
          </w:p>
        </w:tc>
      </w:tr>
      <w:tr>
        <w:trPr>
          <w:trHeight w:val="25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U.S. $</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(0.03)</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(0.25)</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196"/>
        </w:trPr>
        <w:tc>
          <w:tcPr>
            <w:tcW w:w="578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Weighted average number of ADS (1 ADS representing 20 ordinary shares)</w:t>
            </w:r>
            <w:r>
              <w:rPr>
                <w:rFonts w:ascii="Times New Roman" w:cs="Times New Roman" w:eastAsia="Times New Roman" w:hAnsi="Times New Roman"/>
                <w:sz w:val="22"/>
                <w:szCs w:val="22"/>
                <w:color w:val="auto"/>
                <w:vertAlign w:val="superscript"/>
              </w:rPr>
              <w:t>(1)</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31,187,625</w:t>
            </w:r>
          </w:p>
        </w:tc>
        <w:tc>
          <w:tcPr>
            <w:tcW w:w="240" w:type="dxa"/>
            <w:vAlign w:val="bottom"/>
            <w:tcBorders>
              <w:top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29,911,337</w:t>
            </w:r>
          </w:p>
        </w:tc>
        <w:tc>
          <w:tcPr>
            <w:tcW w:w="22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30,376,295</w:t>
            </w: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29,844,308</w:t>
            </w:r>
          </w:p>
        </w:tc>
        <w:tc>
          <w:tcPr>
            <w:tcW w:w="100" w:type="dxa"/>
            <w:vAlign w:val="bottom"/>
            <w:tcBorders>
              <w:top w:val="single" w:sz="8" w:color="CFF0FC"/>
            </w:tcBorders>
          </w:tcPr>
          <w:p>
            <w:pPr>
              <w:spacing w:after="0"/>
              <w:rPr>
                <w:sz w:val="17"/>
                <w:szCs w:val="17"/>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ADS, U.S. $</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(0.61)</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(5.03)</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-903605</wp:posOffset>
            </wp:positionV>
            <wp:extent cx="93980" cy="1625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-903605</wp:posOffset>
            </wp:positionV>
            <wp:extent cx="93980" cy="1625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-333375</wp:posOffset>
            </wp:positionV>
            <wp:extent cx="768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-316230</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-333375</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-316230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right="220" w:firstLine="8"/>
        <w:spacing w:after="0" w:line="298" w:lineRule="auto"/>
        <w:tabs>
          <w:tab w:leader="none" w:pos="22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18, 2025, the Company completed a ratio change whereby the ratio of its ADSs to ordinary shares was changed from one ADS representing one ordinary share to one ADS representing twenty ordinary shares. The weighted average number of ADSs has been calculated by dividing the weighted</w:t>
      </w:r>
    </w:p>
    <w:p>
      <w:pPr>
        <w:sectPr>
          <w:pgSz w:w="11900" w:h="16838" w:orient="portrait"/>
          <w:cols w:equalWidth="0" w:num="1">
            <w:col w:w="11240"/>
          </w:cols>
          <w:pgMar w:left="320" w:top="765" w:right="3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average number of shares by 20, even though the actual number of outstanding ADSs is lower since not all of the ordinary shares in the Company are represented by ADSs.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further details on the ADS Ratio Change, see Note 2 </w:t>
      </w:r>
      <w:r>
        <w:rPr>
          <w:rFonts w:ascii="Times New Roman" w:cs="Times New Roman" w:eastAsia="Times New Roman" w:hAnsi="Times New Roman"/>
          <w:sz w:val="16"/>
          <w:szCs w:val="16"/>
          <w:i w:val="1"/>
          <w:iCs w:val="1"/>
          <w:color w:val="auto"/>
        </w:rPr>
        <w:t>Summary of accounting policies</w:t>
      </w:r>
      <w:r>
        <w:rPr>
          <w:rFonts w:ascii="Times New Roman" w:cs="Times New Roman" w:eastAsia="Times New Roman" w:hAnsi="Times New Roman"/>
          <w:sz w:val="16"/>
          <w:szCs w:val="16"/>
          <w:color w:val="auto"/>
        </w:rPr>
        <w:t>.</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5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3"/>
                <w:szCs w:val="13"/>
                <w:color w:val="auto"/>
              </w:rPr>
            </w:pPr>
          </w:p>
        </w:tc>
        <w:tc>
          <w:tcPr>
            <w:tcW w:w="26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58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representing ordinary shares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32,430,060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16,403,397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32,430,060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16,403,397</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representing ordinary shares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9,296,760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11,606,280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9,296,760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11,606,280</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359,462,635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359,462,635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400,616,344</w:t>
            </w:r>
          </w:p>
        </w:tc>
        <w:tc>
          <w:tcPr>
            <w:tcW w:w="100" w:type="dxa"/>
            <w:vAlign w:val="bottom"/>
            <w:shd w:val="clear" w:color="auto" w:fill="CFF0FC"/>
          </w:tcPr>
          <w:p>
            <w:pPr>
              <w:spacing w:after="0"/>
              <w:rPr>
                <w:sz w:val="18"/>
                <w:szCs w:val="18"/>
                <w:color w:val="auto"/>
              </w:rPr>
            </w:pPr>
          </w:p>
        </w:tc>
      </w:tr>
    </w:tbl>
    <w:p>
      <w:pPr>
        <w:spacing w:after="0" w:line="270" w:lineRule="exact"/>
        <w:rPr>
          <w:sz w:val="20"/>
          <w:szCs w:val="20"/>
          <w:color w:val="auto"/>
        </w:rPr>
      </w:pPr>
    </w:p>
    <w:p>
      <w:pPr>
        <w:jc w:val="both"/>
        <w:ind w:firstLine="8"/>
        <w:spacing w:after="0" w:line="275" w:lineRule="auto"/>
        <w:tabs>
          <w:tab w:leader="none" w:pos="23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number of potential dilutive shares from the Convertible Notes are calculated assuming the most advantageous conversion price from the standpoint of the holder and assuming all capitalized interest at maturity will be settled with shares or ADSs, and after considering the repurchases and cancellations of an aggregate amount of $42.9 million Convertible Notes that occurred on October 3, 2025. For further details on the Convertible Notes, the conversion price reset mechanism and the repurchases and cancellations see Note 20 </w:t>
      </w:r>
      <w:r>
        <w:rPr>
          <w:rFonts w:ascii="Times New Roman" w:cs="Times New Roman" w:eastAsia="Times New Roman" w:hAnsi="Times New Roman"/>
          <w:sz w:val="16"/>
          <w:szCs w:val="16"/>
          <w:i w:val="1"/>
          <w:iCs w:val="1"/>
          <w:color w:val="auto"/>
        </w:rPr>
        <w:t>Interest-bearing loans and borrowings.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Commitments and Contingencies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Minimum purchase commitments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twelve months ended December 31, 2025, volume adjustments related to co-packer arrangements in Europe &amp; International and North America resulted in volume shortfall expenses of $13.9 million. The shortfall expenses are presented in cost of goods sold in the consolidated statement of operations.</w:t>
      </w:r>
    </w:p>
    <w:p>
      <w:pPr>
        <w:spacing w:after="0" w:line="2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future cash outflows relating to leases that have not yet commenced are disclosed in Note 12 </w:t>
      </w: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is defined as profit/(loss)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defined as profit/(loss)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impacts related to discontinued construction of production facilities, expenses related to a new product launch issue and non-controlling interests.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right="1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strategic review of the Greater China business that reduce cash available to us;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reduced cash available to us;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Reconciliation of IFRS to Non-IFRS Financial measures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(19,234)</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(91,357)</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(153,115)</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(202,272)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49,310</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49,966</w:t>
            </w:r>
          </w:p>
        </w:tc>
        <w:tc>
          <w:tcPr>
            <w:tcW w:w="10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3,476</w:t>
            </w: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(77,771)</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(18,420)</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(136,186)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10,999</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(6,079)</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6,821</w:t>
            </w: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(35,325)</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(2)Relates to costs for the strategic review of the Greater China segment, mainly consisting of cost for external consultants.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(3)Relates to costs for the closure of the Group’s production facility in Singapore.</w:t>
      </w:r>
    </w:p>
    <w:p>
      <w:pPr>
        <w:spacing w:after="0" w:line="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(4)Relates primarily to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Peterborough, UK, reversal of previously recognized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Dallas-Fort Worth, Texas, and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second production facility in China (Asia III).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(5)Expenses related to a new product launch issue.</w:t>
      </w:r>
    </w:p>
    <w:p>
      <w:pPr>
        <w:spacing w:after="0" w:line="200" w:lineRule="exact"/>
        <w:rPr>
          <w:sz w:val="20"/>
          <w:szCs w:val="20"/>
          <w:color w:val="auto"/>
        </w:rPr>
      </w:pPr>
    </w:p>
    <w:p>
      <w:pPr>
        <w:spacing w:after="0" w:line="23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Above we have provided a reconciliation of revenue as reported to revenue on a constant currency basis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The table below reconciles revenue as reported to revenue on a constant currency basis by segment for the three and twelve months ended December 31, 2025</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1900" w:type="dxa"/>
            <w:vAlign w:val="bottom"/>
            <w:tcBorders>
              <w:bottom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133,73</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123,88</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133,736</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108,462</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35,210</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7"/>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233,77</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223,48</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233,779</w:t>
            </w:r>
          </w:p>
        </w:tc>
        <w:tc>
          <w:tcPr>
            <w:tcW w:w="22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214,316</w:t>
            </w:r>
          </w:p>
        </w:tc>
        <w:tc>
          <w:tcPr>
            <w:tcW w:w="2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10,296</w:t>
            </w:r>
          </w:p>
        </w:tc>
        <w:tc>
          <w:tcPr>
            <w:tcW w:w="220" w:type="dxa"/>
            <w:vAlign w:val="bottom"/>
            <w:vMerge w:val="restart"/>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900" w:type="dxa"/>
            <w:vAlign w:val="bottom"/>
            <w:tcBorders>
              <w:bottom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482,86</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462,11</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482,861</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434,263</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20,746</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249,55</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249,55</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26"/>
        </w:trPr>
        <w:tc>
          <w:tcPr>
            <w:tcW w:w="2520" w:type="dxa"/>
            <w:vAlign w:val="bottom"/>
            <w:vMerge w:val="continue"/>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249,559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130,03</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129,80</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130,039</w:t>
            </w:r>
          </w:p>
        </w:tc>
        <w:tc>
          <w:tcPr>
            <w:tcW w:w="220" w:type="dxa"/>
            <w:vAlign w:val="bottom"/>
            <w:vMerge w:val="restart"/>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114,948</w:t>
            </w:r>
          </w:p>
        </w:tc>
        <w:tc>
          <w:tcPr>
            <w:tcW w:w="220" w:type="dxa"/>
            <w:vAlign w:val="bottom"/>
            <w:vMerge w:val="restart"/>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vMerge w:val="restart"/>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vMerge w:val="restart"/>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bottom w:val="single" w:sz="8" w:color="CFF0FC"/>
            </w:tcBorders>
            <w:shd w:val="clear" w:color="auto" w:fill="CFF0FC"/>
          </w:tcPr>
          <w:p>
            <w:pPr>
              <w:spacing w:after="0"/>
              <w:rPr>
                <w:sz w:val="9"/>
                <w:szCs w:val="9"/>
                <w:color w:val="auto"/>
              </w:rPr>
            </w:pPr>
          </w:p>
        </w:tc>
        <w:tc>
          <w:tcPr>
            <w:tcW w:w="96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vMerge w:val="continue"/>
            <w:shd w:val="clear" w:color="auto" w:fill="CFF0FC"/>
          </w:tcPr>
          <w:p>
            <w:pPr>
              <w:spacing w:after="0"/>
              <w:rPr>
                <w:sz w:val="9"/>
                <w:szCs w:val="9"/>
                <w:color w:val="auto"/>
              </w:rPr>
            </w:pPr>
          </w:p>
        </w:tc>
        <w:tc>
          <w:tcPr>
            <w:tcW w:w="72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vMerge w:val="continue"/>
            <w:shd w:val="clear" w:color="auto" w:fill="CFF0FC"/>
          </w:tcPr>
          <w:p>
            <w:pPr>
              <w:spacing w:after="0"/>
              <w:rPr>
                <w:sz w:val="9"/>
                <w:szCs w:val="9"/>
                <w:color w:val="auto"/>
              </w:rPr>
            </w:pPr>
          </w:p>
        </w:tc>
        <w:tc>
          <w:tcPr>
            <w:tcW w:w="680" w:type="dxa"/>
            <w:vAlign w:val="bottom"/>
            <w:tcBorders>
              <w:bottom w:val="single" w:sz="8" w:color="auto"/>
            </w:tcBorders>
            <w:vMerge w:val="continue"/>
            <w:shd w:val="clear" w:color="auto" w:fill="CFF0FC"/>
          </w:tcPr>
          <w:p>
            <w:pPr>
              <w:spacing w:after="0"/>
              <w:rPr>
                <w:sz w:val="9"/>
                <w:szCs w:val="9"/>
                <w:color w:val="auto"/>
              </w:rPr>
            </w:pPr>
          </w:p>
        </w:tc>
        <w:tc>
          <w:tcPr>
            <w:tcW w:w="200" w:type="dxa"/>
            <w:vAlign w:val="bottom"/>
            <w:tcBorders>
              <w:bottom w:val="single" w:sz="8" w:color="CFF0FC"/>
            </w:tcBorders>
            <w:vMerge w:val="continue"/>
            <w:shd w:val="clear" w:color="auto" w:fill="CFF0FC"/>
          </w:tcPr>
          <w:p>
            <w:pPr>
              <w:spacing w:after="0"/>
              <w:rPr>
                <w:sz w:val="9"/>
                <w:szCs w:val="9"/>
                <w:color w:val="auto"/>
              </w:rPr>
            </w:pPr>
          </w:p>
        </w:tc>
        <w:tc>
          <w:tcPr>
            <w:tcW w:w="70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vMerge w:val="continue"/>
            <w:shd w:val="clear" w:color="auto" w:fill="CFF0FC"/>
          </w:tcPr>
          <w:p>
            <w:pPr>
              <w:spacing w:after="0"/>
              <w:rPr>
                <w:sz w:val="9"/>
                <w:szCs w:val="9"/>
                <w:color w:val="auto"/>
              </w:rPr>
            </w:pPr>
          </w:p>
        </w:tc>
        <w:tc>
          <w:tcPr>
            <w:tcW w:w="660" w:type="dxa"/>
            <w:vAlign w:val="bottom"/>
            <w:tcBorders>
              <w:bottom w:val="single" w:sz="8" w:color="auto"/>
            </w:tcBorders>
            <w:vMerge w:val="continue"/>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60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CFF0FC"/>
            </w:tcBorders>
            <w:shd w:val="clear" w:color="auto" w:fill="CFF0FC"/>
          </w:tcPr>
          <w:p>
            <w:pPr>
              <w:spacing w:after="0"/>
              <w:rPr>
                <w:sz w:val="9"/>
                <w:szCs w:val="9"/>
                <w:color w:val="auto"/>
              </w:rPr>
            </w:pPr>
          </w:p>
        </w:tc>
        <w:tc>
          <w:tcPr>
            <w:tcW w:w="80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64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862,45</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841,48</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20,978</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-2202180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-2202180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-2202180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-2202180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-2202180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-307975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-307975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condensed consolidated financial statements appearing elsewhere in this document. Below we have provided a reconciliation of Free Cash Flow to net cash flows used in operating activities for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60" w:type="dxa"/>
            <w:vAlign w:val="bottom"/>
            <w:tcBorders>
              <w:top w:val="single" w:sz="8" w:color="auto"/>
              <w:bottom w:val="single" w:sz="8" w:color="auto"/>
            </w:tcBorders>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(6,364)</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(10,236)</w:t>
            </w:r>
          </w:p>
        </w:tc>
        <w:tc>
          <w:tcPr>
            <w:tcW w:w="10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(23,723)</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(114,428)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(1,479)</w:t>
            </w:r>
          </w:p>
        </w:tc>
        <w:tc>
          <w:tcPr>
            <w:tcW w:w="10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(12,273)</w:t>
            </w:r>
          </w:p>
        </w:tc>
        <w:tc>
          <w:tcPr>
            <w:tcW w:w="10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(15,254)</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(41,195)</w:t>
            </w:r>
          </w:p>
        </w:tc>
      </w:tr>
      <w:tr>
        <w:trPr>
          <w:trHeight w:val="20"/>
        </w:trPr>
        <w:tc>
          <w:tcPr>
            <w:tcW w:w="3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(7,843)</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(22,509)</w:t>
            </w:r>
          </w:p>
        </w:tc>
        <w:tc>
          <w:tcPr>
            <w:tcW w:w="10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(155,623)</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-24765</wp:posOffset>
            </wp:positionV>
            <wp:extent cx="774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774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700" w:type="dxa"/>
            <w:vAlign w:val="bottom"/>
          </w:tcPr>
          <w:p>
            <w:pPr>
              <w:spacing w:after="0"/>
              <w:rPr>
                <w:sz w:val="22"/>
                <w:szCs w:val="22"/>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20"/>
                <w:szCs w:val="20"/>
                <w:b w:val="1"/>
                <w:bCs w:val="1"/>
                <w:color w:val="auto"/>
              </w:rPr>
              <w:t>Oatly Group AB</w:t>
            </w:r>
          </w:p>
        </w:tc>
        <w:tc>
          <w:tcPr>
            <w:tcW w:w="0" w:type="dxa"/>
            <w:vAlign w:val="bottom"/>
          </w:tcPr>
          <w:p>
            <w:pPr>
              <w:spacing w:after="0"/>
              <w:rPr>
                <w:sz w:val="1"/>
                <w:szCs w:val="1"/>
                <w:color w:val="auto"/>
              </w:rPr>
            </w:pPr>
          </w:p>
        </w:tc>
      </w:tr>
      <w:tr>
        <w:trPr>
          <w:trHeight w:val="66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72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Marie-José David</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o"/>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o"/>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Roman"/>
      <w:start w:val="3"/>
    </w:lvl>
  </w:abstractNum>
  <w:abstractNum w:abstractNumId="11">
    <w:nsid w:val="109CF92E"/>
    <w:multiLevelType w:val="hybridMultilevel"/>
    <w:lvl w:ilvl="0">
      <w:lvlJc w:val="left"/>
      <w:lvlText w:val="%1"/>
      <w:numFmt w:val="upperLetter"/>
      <w:start w:val="34"/>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2026-02-11T15:17:09Z</dcterms:created>
  <dcterms:modified xsi:type="dcterms:W3CDTF">2026-02-11T15:17:09Z</dcterms:modified>
</cp:coreProperties>
</file>