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38735</wp:posOffset>
            </wp:positionV>
            <wp:extent cx="1097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54" w:lineRule="exact"/>
        <w:rPr>
          <w:sz w:val="24"/>
          <w:szCs w:val="24"/>
          <w:color w:val="auto"/>
        </w:rPr>
      </w:pPr>
    </w:p>
    <w:p>
      <w:pPr>
        <w:spacing w:after="0" w:line="150" w:lineRule="exact"/>
        <w:tabs>
          <w:tab w:leader="none" w:pos="1100" w:val="left"/>
        </w:tabs>
        <w:rPr>
          <w:sz w:val="20"/>
          <w:szCs w:val="20"/>
          <w:color w:val="auto"/>
        </w:rPr>
      </w:pPr>
      <w:r>
        <w:rPr>
          <w:rFonts w:ascii="Times New Roman" w:cs="Times New Roman" w:eastAsia="Times New Roman" w:hAnsi="Times New Roman"/>
          <w:sz w:val="13"/>
          <w:szCs w:val="13"/>
          <w:b w:val="1"/>
          <w:bCs w:val="1"/>
          <w:color w:val="auto"/>
        </w:rPr>
        <w:t>(Mark One)</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REGISTRATION STATEMENT PURSUANT TO SECTION 12(b) OR (g)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OR</w:t>
      </w:r>
    </w:p>
    <w:p>
      <w:pPr>
        <w:spacing w:after="0" w:line="25" w:lineRule="exact"/>
        <w:rPr>
          <w:sz w:val="24"/>
          <w:szCs w:val="24"/>
          <w:color w:val="auto"/>
        </w:rPr>
      </w:pPr>
    </w:p>
    <w:p>
      <w:pPr>
        <w:ind w:left="1380" w:hanging="238"/>
        <w:spacing w:after="0"/>
        <w:tabs>
          <w:tab w:leader="none" w:pos="13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ANNUAL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 the fiscal year ended December 31, 2021</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OR</w:t>
      </w:r>
    </w:p>
    <w:p>
      <w:pPr>
        <w:spacing w:after="0" w:line="29" w:lineRule="exact"/>
        <w:rPr>
          <w:sz w:val="24"/>
          <w:szCs w:val="24"/>
          <w:color w:val="auto"/>
        </w:rPr>
      </w:pPr>
    </w:p>
    <w:p>
      <w:pPr>
        <w:ind w:left="1340" w:hanging="212"/>
        <w:spacing w:after="0"/>
        <w:tabs>
          <w:tab w:leader="none" w:pos="13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TRANSITION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OR</w:t>
      </w:r>
    </w:p>
    <w:p>
      <w:pPr>
        <w:spacing w:after="0" w:line="35" w:lineRule="exact"/>
        <w:rPr>
          <w:sz w:val="24"/>
          <w:szCs w:val="24"/>
          <w:color w:val="auto"/>
        </w:rPr>
      </w:pPr>
    </w:p>
    <w:p>
      <w:pPr>
        <w:ind w:left="1340" w:hanging="212"/>
        <w:spacing w:after="0"/>
        <w:tabs>
          <w:tab w:leader="none" w:pos="134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SHELL COMPANY REPORT PURSUANT TO SECTION 13 OR 15(d) 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 of event requiring this shell company report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560" w:type="dxa"/>
            <w:vAlign w:val="bottom"/>
            <w:gridSpan w:val="4"/>
          </w:tcPr>
          <w:p>
            <w:pPr>
              <w:ind w:left="380"/>
              <w:spacing w:after="0"/>
              <w:rPr>
                <w:sz w:val="20"/>
                <w:szCs w:val="20"/>
                <w:color w:val="auto"/>
              </w:rPr>
            </w:pPr>
            <w:r>
              <w:rPr>
                <w:rFonts w:ascii="Times New Roman" w:cs="Times New Roman" w:eastAsia="Times New Roman" w:hAnsi="Times New Roman"/>
                <w:sz w:val="13"/>
                <w:szCs w:val="13"/>
                <w:color w:val="auto"/>
              </w:rPr>
              <w:t>For the transition period from</w:t>
            </w:r>
          </w:p>
        </w:tc>
        <w:tc>
          <w:tcPr>
            <w:tcW w:w="2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5"/>
          </w:tcPr>
          <w:p>
            <w:pPr>
              <w:jc w:val="center"/>
              <w:ind w:right="1613"/>
              <w:spacing w:after="0" w:line="126" w:lineRule="exact"/>
              <w:rPr>
                <w:sz w:val="20"/>
                <w:szCs w:val="20"/>
                <w:color w:val="auto"/>
              </w:rPr>
            </w:pPr>
            <w:r>
              <w:rPr>
                <w:rFonts w:ascii="Times New Roman" w:cs="Times New Roman" w:eastAsia="Times New Roman" w:hAnsi="Times New Roman"/>
                <w:sz w:val="13"/>
                <w:szCs w:val="13"/>
                <w:color w:val="auto"/>
                <w:w w:val="96"/>
              </w:rPr>
              <w:t>Commission file number 001-40401</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3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5"/>
          </w:tcPr>
          <w:p>
            <w:pPr>
              <w:jc w:val="center"/>
              <w:ind w:right="1613"/>
              <w:spacing w:after="0"/>
              <w:rPr>
                <w:sz w:val="20"/>
                <w:szCs w:val="20"/>
                <w:color w:val="auto"/>
              </w:rPr>
            </w:pPr>
            <w:r>
              <w:rPr>
                <w:rFonts w:ascii="Times New Roman" w:cs="Times New Roman" w:eastAsia="Times New Roman" w:hAnsi="Times New Roman"/>
                <w:sz w:val="25"/>
                <w:szCs w:val="25"/>
                <w:b w:val="1"/>
                <w:bCs w:val="1"/>
                <w:color w:val="auto"/>
                <w:w w:val="93"/>
              </w:rPr>
              <w:t>Oatly Group AB</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4620" w:type="dxa"/>
            <w:vAlign w:val="bottom"/>
            <w:gridSpan w:val="7"/>
          </w:tcPr>
          <w:p>
            <w:pPr>
              <w:jc w:val="center"/>
              <w:ind w:right="713"/>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Not Applicable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4620" w:type="dxa"/>
            <w:vAlign w:val="bottom"/>
            <w:gridSpan w:val="7"/>
          </w:tcPr>
          <w:p>
            <w:pPr>
              <w:jc w:val="center"/>
              <w:ind w:right="713"/>
              <w:spacing w:after="0"/>
              <w:rPr>
                <w:sz w:val="20"/>
                <w:szCs w:val="20"/>
                <w:color w:val="auto"/>
              </w:rPr>
            </w:pPr>
            <w:r>
              <w:rPr>
                <w:rFonts w:ascii="Times New Roman" w:cs="Times New Roman" w:eastAsia="Times New Roman" w:hAnsi="Times New Roman"/>
                <w:sz w:val="13"/>
                <w:szCs w:val="13"/>
                <w:color w:val="auto"/>
                <w:w w:val="95"/>
              </w:rPr>
              <w:t>(Translation of Registrant’s name into English)</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Sweden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4620" w:type="dxa"/>
            <w:vAlign w:val="bottom"/>
            <w:gridSpan w:val="7"/>
          </w:tcPr>
          <w:p>
            <w:pPr>
              <w:jc w:val="center"/>
              <w:ind w:right="713"/>
              <w:spacing w:after="0"/>
              <w:rPr>
                <w:sz w:val="20"/>
                <w:szCs w:val="20"/>
                <w:color w:val="auto"/>
              </w:rPr>
            </w:pPr>
            <w:r>
              <w:rPr>
                <w:rFonts w:ascii="Times New Roman" w:cs="Times New Roman" w:eastAsia="Times New Roman" w:hAnsi="Times New Roman"/>
                <w:sz w:val="13"/>
                <w:szCs w:val="13"/>
                <w:color w:val="auto"/>
                <w:w w:val="97"/>
              </w:rPr>
              <w:t>(Jurisdiction of incorporation or organization)</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Oatly Group AB</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Jagaregatan 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211 19 Malmö</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Sweden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gridSpan w:val="5"/>
          </w:tcPr>
          <w:p>
            <w:pPr>
              <w:jc w:val="center"/>
              <w:ind w:right="1633"/>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Christian Hanke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gridSpan w:val="5"/>
          </w:tcPr>
          <w:p>
            <w:pPr>
              <w:jc w:val="center"/>
              <w:ind w:right="1613"/>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5"/>
          </w:tcPr>
          <w:p>
            <w:pPr>
              <w:jc w:val="center"/>
              <w:ind w:right="1633"/>
              <w:spacing w:after="0"/>
              <w:rPr>
                <w:sz w:val="20"/>
                <w:szCs w:val="20"/>
                <w:color w:val="auto"/>
              </w:rPr>
            </w:pPr>
            <w:r>
              <w:rPr>
                <w:rFonts w:ascii="Times New Roman" w:cs="Times New Roman" w:eastAsia="Times New Roman" w:hAnsi="Times New Roman"/>
                <w:sz w:val="14"/>
                <w:szCs w:val="14"/>
                <w:b w:val="1"/>
                <w:bCs w:val="1"/>
                <w:color w:val="auto"/>
              </w:rPr>
              <w:t>Telephone: +46 418 47 5500</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left="282"/>
              <w:spacing w:after="0" w:line="160" w:lineRule="exact"/>
              <w:rPr>
                <w:sz w:val="20"/>
                <w:szCs w:val="20"/>
                <w:color w:val="auto"/>
              </w:rPr>
            </w:pPr>
            <w:r>
              <w:rPr>
                <w:rFonts w:ascii="Times New Roman" w:cs="Times New Roman" w:eastAsia="Times New Roman" w:hAnsi="Times New Roman"/>
                <w:sz w:val="14"/>
                <w:szCs w:val="14"/>
                <w:b w:val="1"/>
                <w:bCs w:val="1"/>
                <w:color w:val="auto"/>
              </w:rPr>
              <w:t>investors@oatly.com</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Oatly Group AB</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Jagaregatan 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211 19 Malmö</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Sweden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320" w:type="dxa"/>
            <w:vAlign w:val="bottom"/>
            <w:gridSpan w:val="8"/>
          </w:tcPr>
          <w:p>
            <w:pPr>
              <w:jc w:val="center"/>
              <w:ind w:left="2876"/>
              <w:spacing w:after="0"/>
              <w:rPr>
                <w:sz w:val="20"/>
                <w:szCs w:val="20"/>
                <w:color w:val="auto"/>
              </w:rPr>
            </w:pPr>
            <w:r>
              <w:rPr>
                <w:rFonts w:ascii="Times New Roman" w:cs="Times New Roman" w:eastAsia="Times New Roman" w:hAnsi="Times New Roman"/>
                <w:sz w:val="13"/>
                <w:szCs w:val="13"/>
                <w:color w:val="auto"/>
                <w:w w:val="96"/>
              </w:rPr>
              <w:t>(Name, Telephone, E-mail and/or Facsimile number and Address of Company Contact Person)</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4620" w:type="dxa"/>
            <w:vAlign w:val="bottom"/>
            <w:gridSpan w:val="7"/>
          </w:tcPr>
          <w:p>
            <w:pPr>
              <w:jc w:val="center"/>
              <w:ind w:right="713"/>
              <w:spacing w:after="0" w:line="144" w:lineRule="exact"/>
              <w:rPr>
                <w:sz w:val="20"/>
                <w:szCs w:val="20"/>
                <w:color w:val="auto"/>
              </w:rPr>
            </w:pPr>
            <w:r>
              <w:rPr>
                <w:rFonts w:ascii="Times New Roman" w:cs="Times New Roman" w:eastAsia="Times New Roman" w:hAnsi="Times New Roman"/>
                <w:sz w:val="13"/>
                <w:szCs w:val="13"/>
                <w:color w:val="auto"/>
                <w:w w:val="96"/>
              </w:rPr>
              <w:t>Securities registered or to be registered, pursuant to Section 12(b) of the Act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1"/>
        </w:trPr>
        <w:tc>
          <w:tcPr>
            <w:tcW w:w="3700" w:type="dxa"/>
            <w:vAlign w:val="bottom"/>
          </w:tcPr>
          <w:p>
            <w:pPr>
              <w:ind w:left="840"/>
              <w:spacing w:after="0" w:line="151" w:lineRule="exact"/>
              <w:rPr>
                <w:sz w:val="20"/>
                <w:szCs w:val="20"/>
                <w:color w:val="auto"/>
              </w:rPr>
            </w:pPr>
            <w:r>
              <w:rPr>
                <w:rFonts w:ascii="Times New Roman" w:cs="Times New Roman" w:eastAsia="Times New Roman" w:hAnsi="Times New Roman"/>
                <w:sz w:val="14"/>
                <w:szCs w:val="14"/>
                <w:b w:val="1"/>
                <w:bCs w:val="1"/>
                <w:color w:val="auto"/>
              </w:rPr>
              <w:t>Ordinary shares, par value $0.00018 per share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OTLY</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gridSpan w:val="4"/>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r>
        <w:trPr>
          <w:trHeight w:val="164"/>
        </w:trPr>
        <w:tc>
          <w:tcPr>
            <w:tcW w:w="62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12(g) of the Act: None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Securities for which there is a reporting obligation pursuant to Section 15(d) of the Act: None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8320" w:type="dxa"/>
            <w:vAlign w:val="bottom"/>
            <w:gridSpan w:val="8"/>
          </w:tcPr>
          <w:p>
            <w:pPr>
              <w:spacing w:after="0"/>
              <w:rPr>
                <w:sz w:val="20"/>
                <w:szCs w:val="20"/>
                <w:color w:val="auto"/>
              </w:rPr>
            </w:pPr>
            <w:r>
              <w:rPr>
                <w:rFonts w:ascii="Times New Roman" w:cs="Times New Roman" w:eastAsia="Times New Roman" w:hAnsi="Times New Roman"/>
                <w:sz w:val="13"/>
                <w:szCs w:val="13"/>
                <w:color w:val="auto"/>
                <w:w w:val="97"/>
              </w:rPr>
              <w:t>Indicate the number of outstanding shares of each of the issuer’s classes of capital stock or common stock as of the close of the period covered by the annual report.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591,777,001</w:t>
            </w:r>
          </w:p>
        </w:tc>
        <w:tc>
          <w:tcPr>
            <w:tcW w:w="80" w:type="dxa"/>
            <w:vAlign w:val="bottom"/>
            <w:tcBorders>
              <w:bottom w:val="single" w:sz="8" w:color="auto"/>
            </w:tcBorders>
          </w:tcPr>
          <w:p>
            <w:pPr>
              <w:spacing w:after="0"/>
              <w:rPr>
                <w:sz w:val="13"/>
                <w:szCs w:val="13"/>
                <w:color w:val="auto"/>
              </w:rPr>
            </w:pPr>
          </w:p>
        </w:tc>
        <w:tc>
          <w:tcPr>
            <w:tcW w:w="16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ordinary shares</w:t>
            </w:r>
          </w:p>
        </w:tc>
        <w:tc>
          <w:tcPr>
            <w:tcW w:w="0" w:type="dxa"/>
            <w:vAlign w:val="bottom"/>
          </w:tcPr>
          <w:p>
            <w:pPr>
              <w:spacing w:after="0"/>
              <w:rPr>
                <w:sz w:val="1"/>
                <w:szCs w:val="1"/>
                <w:color w:val="auto"/>
              </w:rPr>
            </w:pPr>
          </w:p>
        </w:tc>
      </w:tr>
      <w:tr>
        <w:trPr>
          <w:trHeight w:val="194"/>
        </w:trPr>
        <w:tc>
          <w:tcPr>
            <w:tcW w:w="626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7"/>
              </w:rPr>
              <w:t>Indicate by check mark if the registrant is a well-known seasoned issuer, as defined in Rule 405 of the Securities Act.  Yes</w:t>
            </w:r>
          </w:p>
        </w:tc>
        <w:tc>
          <w:tcPr>
            <w:tcW w:w="2060" w:type="dxa"/>
            <w:vAlign w:val="bottom"/>
            <w:gridSpan w:val="3"/>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1160" w:type="dxa"/>
            <w:vAlign w:val="bottom"/>
          </w:tcPr>
          <w:p>
            <w:pPr>
              <w:spacing w:after="0"/>
              <w:rPr>
                <w:sz w:val="16"/>
                <w:szCs w:val="16"/>
                <w:color w:val="auto"/>
              </w:rPr>
            </w:pPr>
          </w:p>
        </w:tc>
        <w:tc>
          <w:tcPr>
            <w:tcW w:w="1760" w:type="dxa"/>
            <w:vAlign w:val="bottom"/>
            <w:gridSpan w:val="2"/>
            <w:vMerge w:val="restart"/>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87"/>
        </w:trPr>
        <w:tc>
          <w:tcPr>
            <w:tcW w:w="9480" w:type="dxa"/>
            <w:vAlign w:val="bottom"/>
            <w:gridSpan w:val="9"/>
          </w:tcPr>
          <w:p>
            <w:pPr>
              <w:spacing w:after="0"/>
              <w:rPr>
                <w:sz w:val="20"/>
                <w:szCs w:val="20"/>
                <w:color w:val="auto"/>
              </w:rPr>
            </w:pPr>
            <w:r>
              <w:rPr>
                <w:rFonts w:ascii="Times New Roman" w:cs="Times New Roman" w:eastAsia="Times New Roman" w:hAnsi="Times New Roman"/>
                <w:sz w:val="13"/>
                <w:szCs w:val="13"/>
                <w:color w:val="auto"/>
                <w:w w:val="97"/>
              </w:rPr>
              <w:t>If this report is an annual or transition report, indicate by check mark if the registrant is not required to file reports pursuant to Section 13 or 15(d) of the Securities Exchange Act of 1934.</w:t>
            </w: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Note—Checking the box above will not relieve any registrant required to file reports pursuant to Section 13 or 15(d) of the Securities Exchange Act of 1934 from their obligations under those Sections.</w:t>
      </w:r>
    </w:p>
    <w:p>
      <w:pPr>
        <w:spacing w:after="0" w:line="12" w:lineRule="exact"/>
        <w:rPr>
          <w:sz w:val="24"/>
          <w:szCs w:val="24"/>
          <w:color w:val="auto"/>
        </w:rPr>
      </w:pPr>
    </w:p>
    <w:p>
      <w:pPr>
        <w:ind w:right="18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22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2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5" w:lineRule="exact"/>
        <w:rPr>
          <w:sz w:val="24"/>
          <w:szCs w:val="24"/>
          <w:color w:val="auto"/>
        </w:rPr>
      </w:pPr>
    </w:p>
    <w:p>
      <w:pPr>
        <w:spacing w:after="0" w:line="150" w:lineRule="exact"/>
        <w:tabs>
          <w:tab w:leader="none" w:pos="2740" w:val="left"/>
          <w:tab w:leader="none" w:pos="5640" w:val="left"/>
          <w:tab w:leader="none" w:pos="836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Large accelerated filer</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Emerging growth company</w:t>
      </w:r>
    </w:p>
    <w:p>
      <w:pPr>
        <w:spacing w:after="0" w:line="49" w:lineRule="exact"/>
        <w:rPr>
          <w:sz w:val="24"/>
          <w:szCs w:val="24"/>
          <w:color w:val="auto"/>
        </w:rPr>
      </w:pPr>
    </w:p>
    <w:p>
      <w:pPr>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2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tbl>
      <w:tblPr>
        <w:tblLayout w:type="fixed"/>
        <w:tblInd w:w="0" w:type="dxa"/>
        <w:tblCellMar>
          <w:top w:w="0" w:type="dxa"/>
          <w:left w:w="0" w:type="dxa"/>
          <w:bottom w:w="0" w:type="dxa"/>
          <w:right w:w="0" w:type="dxa"/>
        </w:tblCellMar>
      </w:tblPr>
      <w:tr>
        <w:trPr>
          <w:trHeight w:val="154"/>
        </w:trPr>
        <w:tc>
          <w:tcPr>
            <w:tcW w:w="7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tc>
        <w:tc>
          <w:tcPr>
            <w:tcW w:w="3380" w:type="dxa"/>
            <w:vAlign w:val="bottom"/>
          </w:tcPr>
          <w:p>
            <w:pPr>
              <w:spacing w:after="0"/>
              <w:rPr>
                <w:sz w:val="13"/>
                <w:szCs w:val="13"/>
                <w:color w:val="auto"/>
              </w:rPr>
            </w:pPr>
          </w:p>
        </w:tc>
      </w:tr>
      <w:tr>
        <w:trPr>
          <w:trHeight w:val="189"/>
        </w:trPr>
        <w:tc>
          <w:tcPr>
            <w:tcW w:w="134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U.S. GAAP</w:t>
            </w:r>
          </w:p>
        </w:tc>
        <w:tc>
          <w:tcPr>
            <w:tcW w:w="6520" w:type="dxa"/>
            <w:vAlign w:val="bottom"/>
            <w:gridSpan w:val="3"/>
          </w:tcPr>
          <w:p>
            <w:pPr>
              <w:ind w:left="5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International Financial Reporting Standards as issued by the International Accounting Standards Board</w:t>
            </w:r>
          </w:p>
        </w:tc>
        <w:tc>
          <w:tcPr>
            <w:tcW w:w="3380" w:type="dxa"/>
            <w:vAlign w:val="bottom"/>
          </w:tcPr>
          <w:p>
            <w:pPr>
              <w:ind w:left="22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Other</w:t>
            </w:r>
          </w:p>
        </w:tc>
      </w:tr>
      <w:tr>
        <w:trPr>
          <w:trHeight w:val="189"/>
        </w:trPr>
        <w:tc>
          <w:tcPr>
            <w:tcW w:w="78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If “Other” has been checked in response to the previous question indicate by check mark which financial statement item the registrant has elected to follow.</w:t>
            </w:r>
          </w:p>
        </w:tc>
        <w:tc>
          <w:tcPr>
            <w:tcW w:w="338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Item 17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18 </w:t>
            </w:r>
            <w:r>
              <w:rPr>
                <w:rFonts w:ascii="MS PGothic" w:cs="MS PGothic" w:eastAsia="MS PGothic" w:hAnsi="MS PGothic"/>
                <w:sz w:val="13"/>
                <w:szCs w:val="13"/>
                <w:color w:val="auto"/>
              </w:rPr>
              <w:t>☐</w:t>
            </w:r>
          </w:p>
        </w:tc>
      </w:tr>
      <w:tr>
        <w:trPr>
          <w:trHeight w:val="199"/>
        </w:trPr>
        <w:tc>
          <w:tcPr>
            <w:tcW w:w="786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w w:val="99"/>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w w:val="99"/>
              </w:rPr>
              <w:t>☐</w:t>
            </w:r>
            <w:r>
              <w:rPr>
                <w:rFonts w:ascii="Times New Roman" w:cs="Times New Roman" w:eastAsia="Times New Roman" w:hAnsi="Times New Roman"/>
                <w:sz w:val="13"/>
                <w:szCs w:val="13"/>
                <w:color w:val="auto"/>
                <w:w w:val="99"/>
              </w:rPr>
              <w:t xml:space="preserve"> No</w:t>
            </w:r>
          </w:p>
        </w:tc>
        <w:tc>
          <w:tcPr>
            <w:tcW w:w="33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r>
      <w:tr>
        <w:trPr>
          <w:trHeight w:val="29"/>
        </w:trPr>
        <w:tc>
          <w:tcPr>
            <w:tcW w:w="13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380" w:type="dxa"/>
            <w:vAlign w:val="bottom"/>
          </w:tcPr>
          <w:p>
            <w:pPr>
              <w:spacing w:after="0"/>
              <w:rPr>
                <w:sz w:val="2"/>
                <w:szCs w:val="2"/>
                <w:color w:val="auto"/>
              </w:rPr>
            </w:pPr>
          </w:p>
        </w:tc>
      </w:tr>
      <w:tr>
        <w:trPr>
          <w:trHeight w:val="703"/>
        </w:trPr>
        <w:tc>
          <w:tcPr>
            <w:tcW w:w="13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4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580" w:type="dxa"/>
            <w:vAlign w:val="bottom"/>
          </w:tcPr>
          <w:p>
            <w:pPr>
              <w:spacing w:after="0"/>
              <w:rPr>
                <w:sz w:val="17"/>
                <w:szCs w:val="17"/>
                <w:color w:val="auto"/>
              </w:rPr>
            </w:pPr>
          </w:p>
        </w:tc>
      </w:tr>
      <w:tr>
        <w:trPr>
          <w:trHeight w:val="668"/>
        </w:trPr>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580" w:type="dxa"/>
            <w:vAlign w:val="bottom"/>
          </w:tcPr>
          <w:p>
            <w:pPr>
              <w:spacing w:after="0"/>
              <w:rPr>
                <w:sz w:val="24"/>
                <w:szCs w:val="24"/>
                <w:color w:val="auto"/>
              </w:rPr>
            </w:pPr>
          </w:p>
        </w:tc>
      </w:tr>
      <w:tr>
        <w:trPr>
          <w:trHeight w:val="338"/>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70"/>
        </w:trPr>
        <w:tc>
          <w:tcPr>
            <w:tcW w:w="8660" w:type="dxa"/>
            <w:vAlign w:val="bottom"/>
            <w:gridSpan w:val="4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ABOUT THIS ANNUAL REPORT</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91"/>
        </w:trPr>
        <w:tc>
          <w:tcPr>
            <w:tcW w:w="26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MARKET AND INDUSTRY DATA</w:t>
              </w:r>
            </w:hyperlink>
          </w:p>
        </w:tc>
        <w:tc>
          <w:tcPr>
            <w:tcW w:w="6000" w:type="dxa"/>
            <w:vAlign w:val="bottom"/>
            <w:gridSpan w:val="22"/>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0"/>
        </w:trPr>
        <w:tc>
          <w:tcPr>
            <w:tcW w:w="452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TRADEMARKS, SERVICE MARKS AND TRADE NAMES</w:t>
              </w:r>
            </w:hyperlink>
          </w:p>
        </w:tc>
        <w:tc>
          <w:tcPr>
            <w:tcW w:w="4140" w:type="dxa"/>
            <w:vAlign w:val="bottom"/>
            <w:gridSpan w:val="9"/>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1"/>
        </w:trPr>
        <w:tc>
          <w:tcPr>
            <w:tcW w:w="8660" w:type="dxa"/>
            <w:vAlign w:val="bottom"/>
            <w:gridSpan w:val="4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PRESENTATION OF FINANCIAL AND OTHER INFORMATION</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90"/>
        </w:trPr>
        <w:tc>
          <w:tcPr>
            <w:tcW w:w="8660" w:type="dxa"/>
            <w:vAlign w:val="bottom"/>
            <w:gridSpan w:val="4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CAUTIONARY STATEMENT REGARDING FORWARD-LOOKING STATEMENTS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1"/>
        </w:trPr>
        <w:tc>
          <w:tcPr>
            <w:tcW w:w="6340" w:type="dxa"/>
            <w:vAlign w:val="bottom"/>
            <w:tcBorders>
              <w:top w:val="single" w:sz="8" w:color="0000EE"/>
            </w:tcBorders>
            <w:gridSpan w:val="43"/>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RISK FACTOR SUMMARY</w:t>
              </w:r>
            </w:hyperlink>
          </w:p>
        </w:tc>
        <w:tc>
          <w:tcPr>
            <w:tcW w:w="2320" w:type="dxa"/>
            <w:vAlign w:val="bottom"/>
            <w:gridSpan w:val="2"/>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0"/>
        </w:trPr>
        <w:tc>
          <w:tcPr>
            <w:tcW w:w="21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PART I</w:t>
              </w:r>
            </w:hyperlink>
          </w:p>
        </w:tc>
        <w:tc>
          <w:tcPr>
            <w:tcW w:w="6540" w:type="dxa"/>
            <w:vAlign w:val="bottom"/>
            <w:gridSpan w:val="28"/>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90"/>
        </w:trPr>
        <w:tc>
          <w:tcPr>
            <w:tcW w:w="140" w:type="dxa"/>
            <w:vAlign w:val="bottom"/>
          </w:tcPr>
          <w:p>
            <w:pPr>
              <w:spacing w:after="0"/>
              <w:rPr>
                <w:sz w:val="24"/>
                <w:szCs w:val="24"/>
                <w:color w:val="auto"/>
              </w:rPr>
            </w:pPr>
          </w:p>
        </w:tc>
        <w:tc>
          <w:tcPr>
            <w:tcW w:w="8520" w:type="dxa"/>
            <w:vAlign w:val="bottom"/>
            <w:gridSpan w:val="44"/>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ITEM 1. IDENTITY OF DIRECTORS, SENIOR MANAGEMENT AND ADVISERS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40" w:type="dxa"/>
            <w:vAlign w:val="bottom"/>
          </w:tcPr>
          <w:p>
            <w:pPr>
              <w:spacing w:after="0"/>
              <w:rPr>
                <w:sz w:val="21"/>
                <w:szCs w:val="21"/>
                <w:color w:val="auto"/>
              </w:rPr>
            </w:pPr>
          </w:p>
        </w:tc>
        <w:tc>
          <w:tcPr>
            <w:tcW w:w="6300" w:type="dxa"/>
            <w:vAlign w:val="bottom"/>
            <w:tcBorders>
              <w:top w:val="single" w:sz="8" w:color="0000EE"/>
            </w:tcBorders>
            <w:gridSpan w:val="43"/>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ITEM 2. OFFER STATISTICS AND EXPECTED TIMETABLE</w:t>
              </w:r>
            </w:hyperlink>
          </w:p>
        </w:tc>
        <w:tc>
          <w:tcPr>
            <w:tcW w:w="222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40" w:type="dxa"/>
            <w:vAlign w:val="bottom"/>
          </w:tcPr>
          <w:p>
            <w:pPr>
              <w:spacing w:after="0"/>
              <w:rPr>
                <w:sz w:val="21"/>
                <w:szCs w:val="21"/>
                <w:color w:val="auto"/>
              </w:rPr>
            </w:pPr>
          </w:p>
        </w:tc>
        <w:tc>
          <w:tcPr>
            <w:tcW w:w="236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ITEM 3. KEY INFORMATION</w:t>
              </w:r>
            </w:hyperlink>
          </w:p>
        </w:tc>
        <w:tc>
          <w:tcPr>
            <w:tcW w:w="2360" w:type="dxa"/>
            <w:vAlign w:val="bottom"/>
            <w:tcBorders>
              <w:top w:val="single" w:sz="8" w:color="0000EE"/>
            </w:tcBorders>
            <w:gridSpan w:val="17"/>
          </w:tcPr>
          <w:p>
            <w:pPr>
              <w:spacing w:after="0"/>
              <w:rPr>
                <w:sz w:val="21"/>
                <w:szCs w:val="21"/>
                <w:color w:val="auto"/>
              </w:rPr>
            </w:pPr>
          </w:p>
        </w:tc>
        <w:tc>
          <w:tcPr>
            <w:tcW w:w="3800" w:type="dxa"/>
            <w:vAlign w:val="bottom"/>
            <w:gridSpan w:val="7"/>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A. [Reserved.]</w:t>
              </w:r>
            </w:hyperlink>
          </w:p>
        </w:tc>
        <w:tc>
          <w:tcPr>
            <w:tcW w:w="7300" w:type="dxa"/>
            <w:vAlign w:val="bottom"/>
            <w:gridSpan w:val="37"/>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B. Capitalization and Indebtedness</w:t>
              </w:r>
            </w:hyperlink>
          </w:p>
        </w:tc>
        <w:tc>
          <w:tcPr>
            <w:tcW w:w="5840" w:type="dxa"/>
            <w:vAlign w:val="bottom"/>
            <w:gridSpan w:val="1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42"/>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 Reasons for the Offer and Use of Proceeds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D. Risk Factors</w:t>
              </w:r>
            </w:hyperlink>
          </w:p>
        </w:tc>
        <w:tc>
          <w:tcPr>
            <w:tcW w:w="5080" w:type="dxa"/>
            <w:vAlign w:val="bottom"/>
            <w:gridSpan w:val="1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60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ITEM 4. INFORMATION ON THE COMPANY.</w:t>
              </w:r>
            </w:hyperlink>
          </w:p>
        </w:tc>
        <w:tc>
          <w:tcPr>
            <w:tcW w:w="4920" w:type="dxa"/>
            <w:vAlign w:val="bottom"/>
            <w:gridSpan w:val="12"/>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0" w:type="dxa"/>
            <w:vAlign w:val="bottom"/>
            <w:gridSpan w:val="42"/>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A. History and Development of the Company</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B. Business Overview</w:t>
              </w:r>
            </w:hyperlink>
          </w:p>
        </w:tc>
        <w:tc>
          <w:tcPr>
            <w:tcW w:w="5080" w:type="dxa"/>
            <w:vAlign w:val="bottom"/>
            <w:gridSpan w:val="1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42"/>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 Organizational Structure</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D. Property, Plant and Equipment</w:t>
              </w:r>
            </w:hyperlink>
          </w:p>
        </w:tc>
        <w:tc>
          <w:tcPr>
            <w:tcW w:w="5920" w:type="dxa"/>
            <w:vAlign w:val="bottom"/>
            <w:gridSpan w:val="2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50"/>
        </w:trPr>
        <w:tc>
          <w:tcPr>
            <w:tcW w:w="140" w:type="dxa"/>
            <w:vAlign w:val="bottom"/>
          </w:tcPr>
          <w:p>
            <w:pPr>
              <w:spacing w:after="0"/>
              <w:rPr>
                <w:sz w:val="21"/>
                <w:szCs w:val="21"/>
                <w:color w:val="auto"/>
              </w:rPr>
            </w:pPr>
          </w:p>
        </w:tc>
        <w:tc>
          <w:tcPr>
            <w:tcW w:w="366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ITEM 4A. UNRESOLVED STAFF COMMENTS</w:t>
              </w:r>
            </w:hyperlink>
          </w:p>
        </w:tc>
        <w:tc>
          <w:tcPr>
            <w:tcW w:w="4860" w:type="dxa"/>
            <w:vAlign w:val="bottom"/>
            <w:gridSpan w:val="11"/>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140" w:type="dxa"/>
            <w:vAlign w:val="bottom"/>
          </w:tcPr>
          <w:p>
            <w:pPr>
              <w:spacing w:after="0"/>
              <w:rPr>
                <w:sz w:val="21"/>
                <w:szCs w:val="21"/>
                <w:color w:val="auto"/>
              </w:rPr>
            </w:pPr>
          </w:p>
        </w:tc>
        <w:tc>
          <w:tcPr>
            <w:tcW w:w="8520" w:type="dxa"/>
            <w:vAlign w:val="bottom"/>
            <w:gridSpan w:val="44"/>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5. OPERATING AND FINANCIAL REVIEW AND PROSPECTS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14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5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A. Operating Results</w:t>
              </w:r>
            </w:hyperlink>
          </w:p>
        </w:tc>
        <w:tc>
          <w:tcPr>
            <w:tcW w:w="3680" w:type="dxa"/>
            <w:vAlign w:val="bottom"/>
            <w:tcBorders>
              <w:top w:val="single" w:sz="8" w:color="0000EE"/>
            </w:tcBorders>
            <w:gridSpan w:val="27"/>
          </w:tcPr>
          <w:p>
            <w:pPr>
              <w:spacing w:after="0"/>
              <w:rPr>
                <w:sz w:val="21"/>
                <w:szCs w:val="21"/>
                <w:color w:val="auto"/>
              </w:rPr>
            </w:pPr>
          </w:p>
        </w:tc>
        <w:tc>
          <w:tcPr>
            <w:tcW w:w="3160" w:type="dxa"/>
            <w:vAlign w:val="bottom"/>
            <w:gridSpan w:val="5"/>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B. Liquidity and Capital Resources</w:t>
              </w:r>
            </w:hyperlink>
          </w:p>
        </w:tc>
        <w:tc>
          <w:tcPr>
            <w:tcW w:w="5820" w:type="dxa"/>
            <w:vAlign w:val="bottom"/>
            <w:gridSpan w:val="1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42"/>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C. Research and Development, Patents and Licenses, etc.</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D. Trend Information</w:t>
              </w:r>
            </w:hyperlink>
          </w:p>
        </w:tc>
        <w:tc>
          <w:tcPr>
            <w:tcW w:w="4240" w:type="dxa"/>
            <w:vAlign w:val="bottom"/>
            <w:gridSpan w:val="1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E. Critical Accounting Estimates</w:t>
              </w:r>
            </w:hyperlink>
          </w:p>
        </w:tc>
        <w:tc>
          <w:tcPr>
            <w:tcW w:w="5980" w:type="dxa"/>
            <w:vAlign w:val="bottom"/>
            <w:gridSpan w:val="21"/>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40" w:type="dxa"/>
            <w:vAlign w:val="bottom"/>
            <w:tcBorders>
              <w:bottom w:val="single" w:sz="8" w:color="0000EE"/>
            </w:tcBorders>
            <w:gridSpan w:val="39"/>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ITEM 6. DIRECTORS, SENIOR MANAGEMENT AND EMPLOYEES</w:t>
              </w:r>
            </w:hyperlink>
          </w:p>
        </w:tc>
        <w:tc>
          <w:tcPr>
            <w:tcW w:w="3140" w:type="dxa"/>
            <w:vAlign w:val="bottom"/>
            <w:gridSpan w:val="4"/>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A. Directors and Senior Management</w:t>
              </w:r>
            </w:hyperlink>
          </w:p>
        </w:tc>
        <w:tc>
          <w:tcPr>
            <w:tcW w:w="5660" w:type="dxa"/>
            <w:vAlign w:val="bottom"/>
            <w:gridSpan w:val="15"/>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B. Compensation</w:t>
              </w:r>
            </w:hyperlink>
          </w:p>
        </w:tc>
        <w:tc>
          <w:tcPr>
            <w:tcW w:w="7100" w:type="dxa"/>
            <w:vAlign w:val="bottom"/>
            <w:gridSpan w:val="3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42"/>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 Board Practices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D. Employees</w:t>
              </w:r>
            </w:hyperlink>
          </w:p>
        </w:tc>
        <w:tc>
          <w:tcPr>
            <w:tcW w:w="7020" w:type="dxa"/>
            <w:vAlign w:val="bottom"/>
            <w:gridSpan w:val="3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E.  Share Ownership</w:t>
              </w:r>
            </w:hyperlink>
          </w:p>
        </w:tc>
        <w:tc>
          <w:tcPr>
            <w:tcW w:w="6860" w:type="dxa"/>
            <w:vAlign w:val="bottom"/>
            <w:gridSpan w:val="3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50"/>
        </w:trPr>
        <w:tc>
          <w:tcPr>
            <w:tcW w:w="140" w:type="dxa"/>
            <w:vAlign w:val="bottom"/>
          </w:tcPr>
          <w:p>
            <w:pPr>
              <w:spacing w:after="0"/>
              <w:rPr>
                <w:sz w:val="21"/>
                <w:szCs w:val="21"/>
                <w:color w:val="auto"/>
              </w:rPr>
            </w:pPr>
          </w:p>
        </w:tc>
        <w:tc>
          <w:tcPr>
            <w:tcW w:w="6080" w:type="dxa"/>
            <w:vAlign w:val="bottom"/>
            <w:tcBorders>
              <w:bottom w:val="single" w:sz="8" w:color="0000EE"/>
            </w:tcBorders>
            <w:gridSpan w:val="41"/>
          </w:tcPr>
          <w:p>
            <w:pPr>
              <w:spacing w:after="0"/>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ITEM 7. MAJOR SHAREHOLDERS AND RELATED PARTY TRANSACTIONS</w:t>
              </w:r>
            </w:hyperlink>
          </w:p>
        </w:tc>
        <w:tc>
          <w:tcPr>
            <w:tcW w:w="2440" w:type="dxa"/>
            <w:vAlign w:val="bottom"/>
            <w:gridSpan w:val="3"/>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A. Major Shareholders</w:t>
              </w:r>
            </w:hyperlink>
          </w:p>
        </w:tc>
        <w:tc>
          <w:tcPr>
            <w:tcW w:w="6700" w:type="dxa"/>
            <w:vAlign w:val="bottom"/>
            <w:gridSpan w:val="30"/>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42"/>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B. Related Party Transactions</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10"/>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 Interests of Experts and Counsel</w:t>
              </w:r>
            </w:hyperlink>
          </w:p>
        </w:tc>
        <w:tc>
          <w:tcPr>
            <w:tcW w:w="5800" w:type="dxa"/>
            <w:vAlign w:val="bottom"/>
            <w:gridSpan w:val="1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50"/>
        </w:trPr>
        <w:tc>
          <w:tcPr>
            <w:tcW w:w="140" w:type="dxa"/>
            <w:vAlign w:val="bottom"/>
          </w:tcPr>
          <w:p>
            <w:pPr>
              <w:spacing w:after="0"/>
              <w:rPr>
                <w:sz w:val="21"/>
                <w:szCs w:val="21"/>
                <w:color w:val="auto"/>
              </w:rPr>
            </w:pPr>
          </w:p>
        </w:tc>
        <w:tc>
          <w:tcPr>
            <w:tcW w:w="29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ITEM 8. FINANCIAL INFORMATION</w:t>
              </w:r>
            </w:hyperlink>
          </w:p>
        </w:tc>
        <w:tc>
          <w:tcPr>
            <w:tcW w:w="5560" w:type="dxa"/>
            <w:vAlign w:val="bottom"/>
            <w:gridSpan w:val="14"/>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0" w:type="dxa"/>
            <w:vAlign w:val="bottom"/>
            <w:gridSpan w:val="42"/>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A. Consolidated Statements and Other Financial Information</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2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B. Significant Changes</w:t>
              </w:r>
            </w:hyperlink>
          </w:p>
        </w:tc>
        <w:tc>
          <w:tcPr>
            <w:tcW w:w="3980" w:type="dxa"/>
            <w:vAlign w:val="bottom"/>
            <w:gridSpan w:val="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5680" w:type="dxa"/>
            <w:vAlign w:val="bottom"/>
            <w:gridSpan w:val="16"/>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8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ITEM 9. THE OFFER AND LISTING</w:t>
              </w:r>
            </w:hyperlink>
          </w:p>
        </w:tc>
        <w:tc>
          <w:tcPr>
            <w:tcW w:w="5680" w:type="dxa"/>
            <w:vAlign w:val="bottom"/>
            <w:gridSpan w:val="16"/>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0" w:type="dxa"/>
            <w:vAlign w:val="bottom"/>
            <w:gridSpan w:val="42"/>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A. Offer and Listing Details</w:t>
              </w:r>
            </w:hyperlink>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B. Plan of Distribution</w:t>
              </w:r>
            </w:hyperlink>
          </w:p>
        </w:tc>
        <w:tc>
          <w:tcPr>
            <w:tcW w:w="6340" w:type="dxa"/>
            <w:vAlign w:val="bottom"/>
            <w:gridSpan w:val="2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 Markets</w:t>
              </w:r>
            </w:hyperlink>
          </w:p>
        </w:tc>
        <w:tc>
          <w:tcPr>
            <w:tcW w:w="6700" w:type="dxa"/>
            <w:vAlign w:val="bottom"/>
            <w:gridSpan w:val="3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40" w:type="dxa"/>
            <w:vAlign w:val="bottom"/>
            <w:gridSpan w:val="2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D. Selling Shareholders</w:t>
              </w:r>
            </w:hyperlink>
          </w:p>
        </w:tc>
        <w:tc>
          <w:tcPr>
            <w:tcW w:w="6640" w:type="dxa"/>
            <w:vAlign w:val="bottom"/>
            <w:gridSpan w:val="2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E. Dilution</w:t>
              </w:r>
            </w:hyperlink>
          </w:p>
        </w:tc>
        <w:tc>
          <w:tcPr>
            <w:tcW w:w="7560" w:type="dxa"/>
            <w:vAlign w:val="bottom"/>
            <w:gridSpan w:val="4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42"/>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F. Expenses of the Issue</w:t>
              </w:r>
            </w:hyperlink>
          </w:p>
        </w:tc>
        <w:tc>
          <w:tcPr>
            <w:tcW w:w="2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80" w:type="dxa"/>
            <w:vAlign w:val="bottom"/>
            <w:gridSpan w:val="3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360" w:type="dxa"/>
            <w:vAlign w:val="bottom"/>
          </w:tcPr>
          <w:p>
            <w:pPr>
              <w:spacing w:after="0"/>
              <w:rPr>
                <w:sz w:val="17"/>
                <w:szCs w:val="17"/>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696"/>
        </w:trPr>
        <w:tc>
          <w:tcPr>
            <w:tcW w:w="140" w:type="dxa"/>
            <w:vAlign w:val="bottom"/>
          </w:tcPr>
          <w:p>
            <w:pPr>
              <w:spacing w:after="0"/>
              <w:rPr>
                <w:sz w:val="24"/>
                <w:szCs w:val="24"/>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ITEM 10. ADDITIONAL INFORMATION</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140" w:type="dxa"/>
            <w:vAlign w:val="bottom"/>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A. Share Capital</w:t>
              </w:r>
            </w:hyperlink>
          </w:p>
        </w:tc>
        <w:tc>
          <w:tcPr>
            <w:tcW w:w="1820" w:type="dxa"/>
            <w:vAlign w:val="bottom"/>
            <w:tcBorders>
              <w:top w:val="single" w:sz="8" w:color="0000EE"/>
            </w:tcBorders>
            <w:gridSpan w:val="15"/>
          </w:tcPr>
          <w:p>
            <w:pPr>
              <w:spacing w:after="0"/>
              <w:rPr>
                <w:sz w:val="21"/>
                <w:szCs w:val="21"/>
                <w:color w:val="auto"/>
              </w:rPr>
            </w:pPr>
          </w:p>
        </w:tc>
        <w:tc>
          <w:tcPr>
            <w:tcW w:w="6560" w:type="dxa"/>
            <w:vAlign w:val="bottom"/>
            <w:gridSpan w:val="15"/>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B. Memorandum and Articles of Association</w:t>
              </w:r>
            </w:hyperlink>
          </w:p>
        </w:tc>
        <w:tc>
          <w:tcPr>
            <w:tcW w:w="6320" w:type="dxa"/>
            <w:vAlign w:val="bottom"/>
            <w:gridSpan w:val="11"/>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C. Material Contracts</w:t>
              </w:r>
            </w:hyperlink>
          </w:p>
        </w:tc>
        <w:tc>
          <w:tcPr>
            <w:tcW w:w="8060" w:type="dxa"/>
            <w:vAlign w:val="bottom"/>
            <w:gridSpan w:val="2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D. Exchange Controls</w:t>
              </w:r>
            </w:hyperlink>
          </w:p>
        </w:tc>
        <w:tc>
          <w:tcPr>
            <w:tcW w:w="7980" w:type="dxa"/>
            <w:vAlign w:val="bottom"/>
            <w:gridSpan w:val="25"/>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35"/>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E. Taxation</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35"/>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F. Dividends and Paying Agents</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G. Statement by Experts</w:t>
              </w:r>
            </w:hyperlink>
          </w:p>
        </w:tc>
        <w:tc>
          <w:tcPr>
            <w:tcW w:w="7260" w:type="dxa"/>
            <w:vAlign w:val="bottom"/>
            <w:gridSpan w:val="1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H. Documents on Display</w:t>
              </w:r>
            </w:hyperlink>
          </w:p>
        </w:tc>
        <w:tc>
          <w:tcPr>
            <w:tcW w:w="7700" w:type="dxa"/>
            <w:vAlign w:val="bottom"/>
            <w:gridSpan w:val="2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35"/>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I. Subsidiary Information</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ITEM 11. QUANTITATIVE AND QUALITATIVE DISCLOSURES ABOUT MARKET RISK</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140" w:type="dxa"/>
            <w:vAlign w:val="bottom"/>
          </w:tcPr>
          <w:p>
            <w:pPr>
              <w:spacing w:after="0"/>
              <w:rPr>
                <w:sz w:val="21"/>
                <w:szCs w:val="21"/>
                <w:color w:val="auto"/>
              </w:rPr>
            </w:pPr>
          </w:p>
        </w:tc>
        <w:tc>
          <w:tcPr>
            <w:tcW w:w="6280" w:type="dxa"/>
            <w:vAlign w:val="bottom"/>
            <w:tcBorders>
              <w:top w:val="single" w:sz="8" w:color="0000EE"/>
              <w:bottom w:val="single" w:sz="8" w:color="0000EE"/>
            </w:tcBorders>
            <w:gridSpan w:val="30"/>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ITEM 12. DESCRIPTION OF SECURITIES OTHER THAN EQUITY SECURITIES</w:t>
              </w:r>
            </w:hyperlink>
          </w:p>
        </w:tc>
        <w:tc>
          <w:tcPr>
            <w:tcW w:w="640" w:type="dxa"/>
            <w:vAlign w:val="bottom"/>
            <w:tcBorders>
              <w:top w:val="single" w:sz="8" w:color="0000EE"/>
            </w:tcBorders>
          </w:tcPr>
          <w:p>
            <w:pPr>
              <w:spacing w:after="0"/>
              <w:rPr>
                <w:sz w:val="21"/>
                <w:szCs w:val="21"/>
                <w:color w:val="auto"/>
              </w:rPr>
            </w:pPr>
          </w:p>
        </w:tc>
        <w:tc>
          <w:tcPr>
            <w:tcW w:w="2820" w:type="dxa"/>
            <w:vAlign w:val="bottom"/>
            <w:gridSpan w:val="5"/>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0"/>
        </w:trPr>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20" w:type="dxa"/>
            <w:vAlign w:val="bottom"/>
            <w:gridSpan w:val="35"/>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A. Debt Securities</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B. Warrants and Rights</w:t>
              </w:r>
            </w:hyperlink>
          </w:p>
        </w:tc>
        <w:tc>
          <w:tcPr>
            <w:tcW w:w="7900" w:type="dxa"/>
            <w:vAlign w:val="bottom"/>
            <w:gridSpan w:val="2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C. Other Securities</w:t>
              </w:r>
            </w:hyperlink>
          </w:p>
        </w:tc>
        <w:tc>
          <w:tcPr>
            <w:tcW w:w="8200" w:type="dxa"/>
            <w:vAlign w:val="bottom"/>
            <w:gridSpan w:val="2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35"/>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D. American Depositary Shares</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2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91"/>
        </w:trPr>
        <w:tc>
          <w:tcPr>
            <w:tcW w:w="9880" w:type="dxa"/>
            <w:vAlign w:val="bottom"/>
            <w:gridSpan w:val="37"/>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PART II</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ITEM 13. DEFAULTS, DIVIDEND ARREARAGES AND DELINQUENCIES</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66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ITEM 14. MATERIAL MODIFICATIONS TO THE RIGHTS OF SECURITY HOLDERS AND USE OF PROCEEDS</w:t>
              </w:r>
            </w:hyperlink>
          </w:p>
        </w:tc>
        <w:tc>
          <w:tcPr>
            <w:tcW w:w="10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0"/>
        </w:trPr>
        <w:tc>
          <w:tcPr>
            <w:tcW w:w="140" w:type="dxa"/>
            <w:vAlign w:val="bottom"/>
          </w:tcPr>
          <w:p>
            <w:pPr>
              <w:spacing w:after="0"/>
              <w:rPr>
                <w:sz w:val="21"/>
                <w:szCs w:val="21"/>
                <w:color w:val="auto"/>
              </w:rPr>
            </w:pPr>
          </w:p>
        </w:tc>
        <w:tc>
          <w:tcPr>
            <w:tcW w:w="34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ITEM 15. CONTROLS AND PROCEDURES</w:t>
              </w:r>
            </w:hyperlink>
          </w:p>
        </w:tc>
        <w:tc>
          <w:tcPr>
            <w:tcW w:w="6340" w:type="dxa"/>
            <w:vAlign w:val="bottom"/>
            <w:gridSpan w:val="12"/>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0"/>
        </w:trPr>
        <w:tc>
          <w:tcPr>
            <w:tcW w:w="140" w:type="dxa"/>
            <w:vAlign w:val="bottom"/>
          </w:tcPr>
          <w:p>
            <w:pPr>
              <w:spacing w:after="0"/>
              <w:rPr>
                <w:sz w:val="21"/>
                <w:szCs w:val="21"/>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ITEM 16. [RESERVED]</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3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ITEM 16A. AUDIT COMMITTEE FINANCIAL EXPERT</w:t>
              </w:r>
            </w:hyperlink>
          </w:p>
        </w:tc>
        <w:tc>
          <w:tcPr>
            <w:tcW w:w="5420" w:type="dxa"/>
            <w:vAlign w:val="bottom"/>
            <w:gridSpan w:val="10"/>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140" w:type="dxa"/>
            <w:vAlign w:val="bottom"/>
          </w:tcPr>
          <w:p>
            <w:pPr>
              <w:spacing w:after="0"/>
              <w:rPr>
                <w:sz w:val="21"/>
                <w:szCs w:val="21"/>
                <w:color w:val="auto"/>
              </w:rPr>
            </w:pPr>
          </w:p>
        </w:tc>
        <w:tc>
          <w:tcPr>
            <w:tcW w:w="2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16B. CODE OF ETHICS</w:t>
              </w:r>
            </w:hyperlink>
          </w:p>
        </w:tc>
        <w:tc>
          <w:tcPr>
            <w:tcW w:w="7380" w:type="dxa"/>
            <w:vAlign w:val="bottom"/>
            <w:gridSpan w:val="19"/>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0"/>
        </w:trPr>
        <w:tc>
          <w:tcPr>
            <w:tcW w:w="140" w:type="dxa"/>
            <w:vAlign w:val="bottom"/>
          </w:tcPr>
          <w:p>
            <w:pPr>
              <w:spacing w:after="0"/>
              <w:rPr>
                <w:sz w:val="21"/>
                <w:szCs w:val="21"/>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16C. PRINCIPAL ACCOUNTING FEES AND SERVICES</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16D. EXEMPTIONS FROM THE LISTING STANDARDS FOR AUDIT COMMITTEES</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06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ITEM 16E. PURCHASES OF EQUITY SECURITIES BY THE ISSUER AND AFFILIATED PURCHASERS</w:t>
              </w:r>
            </w:hyperlink>
          </w:p>
        </w:tc>
        <w:tc>
          <w:tcPr>
            <w:tcW w:w="1680" w:type="dxa"/>
            <w:vAlign w:val="bottom"/>
            <w:gridSpan w:val="2"/>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140" w:type="dxa"/>
            <w:vAlign w:val="bottom"/>
          </w:tcPr>
          <w:p>
            <w:pPr>
              <w:spacing w:after="0"/>
              <w:rPr>
                <w:sz w:val="21"/>
                <w:szCs w:val="21"/>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ITEM 16F. CHANGE IN REGISTRANT’S CERTIFYING ACCOUNTANT</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140" w:type="dxa"/>
            <w:vAlign w:val="bottom"/>
          </w:tcPr>
          <w:p>
            <w:pPr>
              <w:spacing w:after="0"/>
              <w:rPr>
                <w:sz w:val="21"/>
                <w:szCs w:val="21"/>
                <w:color w:val="auto"/>
              </w:rPr>
            </w:pPr>
          </w:p>
        </w:tc>
        <w:tc>
          <w:tcPr>
            <w:tcW w:w="3260" w:type="dxa"/>
            <w:vAlign w:val="bottom"/>
            <w:tcBorders>
              <w:top w:val="single" w:sz="8" w:color="0000EE"/>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ITEM 16G. CORPORATE GOVERNANCE</w:t>
              </w:r>
            </w:hyperlink>
          </w:p>
        </w:tc>
        <w:tc>
          <w:tcPr>
            <w:tcW w:w="2300" w:type="dxa"/>
            <w:vAlign w:val="bottom"/>
            <w:tcBorders>
              <w:top w:val="single" w:sz="8" w:color="0000EE"/>
            </w:tcBorders>
            <w:gridSpan w:val="5"/>
          </w:tcPr>
          <w:p>
            <w:pPr>
              <w:spacing w:after="0"/>
              <w:rPr>
                <w:sz w:val="21"/>
                <w:szCs w:val="21"/>
                <w:color w:val="auto"/>
              </w:rPr>
            </w:pPr>
          </w:p>
        </w:tc>
        <w:tc>
          <w:tcPr>
            <w:tcW w:w="4180" w:type="dxa"/>
            <w:vAlign w:val="bottom"/>
            <w:gridSpan w:val="8"/>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140" w:type="dxa"/>
            <w:vAlign w:val="bottom"/>
          </w:tcPr>
          <w:p>
            <w:pPr>
              <w:spacing w:after="0"/>
              <w:rPr>
                <w:sz w:val="21"/>
                <w:szCs w:val="21"/>
                <w:color w:val="auto"/>
              </w:rPr>
            </w:pPr>
          </w:p>
        </w:tc>
        <w:tc>
          <w:tcPr>
            <w:tcW w:w="32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ITEM 16H. MINE SAFETY DISCLOSURE</w:t>
              </w:r>
            </w:hyperlink>
          </w:p>
        </w:tc>
        <w:tc>
          <w:tcPr>
            <w:tcW w:w="6520" w:type="dxa"/>
            <w:vAlign w:val="bottom"/>
            <w:gridSpan w:val="14"/>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140" w:type="dxa"/>
            <w:vAlign w:val="bottom"/>
          </w:tcPr>
          <w:p>
            <w:pPr>
              <w:spacing w:after="0"/>
              <w:rPr>
                <w:sz w:val="21"/>
                <w:szCs w:val="21"/>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ITEM 16I. DISCLOSURE REGARDING FOREIGN JURISDICTIONS THAT PREVENT INSPECTIONS</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3440" w:type="dxa"/>
            <w:vAlign w:val="bottom"/>
            <w:gridSpan w:val="7"/>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90"/>
        </w:trPr>
        <w:tc>
          <w:tcPr>
            <w:tcW w:w="9880" w:type="dxa"/>
            <w:vAlign w:val="bottom"/>
            <w:gridSpan w:val="37"/>
          </w:tcPr>
          <w:p>
            <w:pPr>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PART III</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ITEM 17. FINANCIAL STATEMENTS</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740" w:type="dxa"/>
            <w:vAlign w:val="bottom"/>
            <w:gridSpan w:val="36"/>
          </w:tcPr>
          <w:p>
            <w:pPr>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ITEM 18. FINANCIAL STATEMENTS</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50"/>
        </w:trPr>
        <w:tc>
          <w:tcPr>
            <w:tcW w:w="140" w:type="dxa"/>
            <w:vAlign w:val="bottom"/>
          </w:tcPr>
          <w:p>
            <w:pPr>
              <w:spacing w:after="0"/>
              <w:rPr>
                <w:sz w:val="21"/>
                <w:szCs w:val="21"/>
                <w:color w:val="auto"/>
              </w:rPr>
            </w:pPr>
          </w:p>
        </w:tc>
        <w:tc>
          <w:tcPr>
            <w:tcW w:w="16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ITEM 19. EXHIBITS</w:t>
              </w:r>
            </w:hyperlink>
          </w:p>
        </w:tc>
        <w:tc>
          <w:tcPr>
            <w:tcW w:w="1320" w:type="dxa"/>
            <w:vAlign w:val="bottom"/>
            <w:tcBorders>
              <w:top w:val="single" w:sz="8" w:color="0000EE"/>
            </w:tcBorders>
            <w:gridSpan w:val="11"/>
          </w:tcPr>
          <w:p>
            <w:pPr>
              <w:spacing w:after="0"/>
              <w:rPr>
                <w:sz w:val="21"/>
                <w:szCs w:val="21"/>
                <w:color w:val="auto"/>
              </w:rPr>
            </w:pPr>
          </w:p>
        </w:tc>
        <w:tc>
          <w:tcPr>
            <w:tcW w:w="6800" w:type="dxa"/>
            <w:vAlign w:val="bottom"/>
            <w:gridSpan w:val="16"/>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90"/>
        </w:trPr>
        <w:tc>
          <w:tcPr>
            <w:tcW w:w="9880" w:type="dxa"/>
            <w:vAlign w:val="bottom"/>
            <w:gridSpan w:val="37"/>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SIGNATURES</w:t>
              </w:r>
            </w:hyperlink>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3360" w:type="dxa"/>
            <w:vAlign w:val="bottom"/>
            <w:gridSpan w:val="22"/>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91"/>
        </w:trPr>
        <w:tc>
          <w:tcPr>
            <w:tcW w:w="44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w:anchor="page115">
              <w:r>
                <w:rPr>
                  <w:rFonts w:ascii="Times New Roman" w:cs="Times New Roman" w:eastAsia="Times New Roman" w:hAnsi="Times New Roman"/>
                  <w:sz w:val="18"/>
                  <w:szCs w:val="18"/>
                  <w:color w:val="0000EE"/>
                  <w:w w:val="98"/>
                </w:rPr>
                <w:t>INDEX TO CONSOLIDATED FINANCIAL STATEMENTS</w:t>
              </w:r>
            </w:hyperlink>
          </w:p>
        </w:tc>
        <w:tc>
          <w:tcPr>
            <w:tcW w:w="5420" w:type="dxa"/>
            <w:vAlign w:val="bottom"/>
            <w:gridSpan w:val="10"/>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ANNUAL REPORT</w:t>
      </w:r>
    </w:p>
    <w:p>
      <w:pPr>
        <w:spacing w:after="0" w:line="189" w:lineRule="exact"/>
        <w:rPr>
          <w:sz w:val="20"/>
          <w:szCs w:val="20"/>
          <w:color w:val="auto"/>
        </w:rPr>
      </w:pPr>
    </w:p>
    <w:p>
      <w:pPr>
        <w:ind w:right="40" w:firstLine="864"/>
        <w:spacing w:after="0" w:line="261" w:lineRule="auto"/>
        <w:rPr>
          <w:sz w:val="20"/>
          <w:szCs w:val="20"/>
          <w:color w:val="auto"/>
        </w:rPr>
      </w:pPr>
      <w:r>
        <w:rPr>
          <w:rFonts w:ascii="Times New Roman" w:cs="Times New Roman" w:eastAsia="Times New Roman" w:hAnsi="Times New Roman"/>
          <w:sz w:val="18"/>
          <w:szCs w:val="18"/>
          <w:color w:val="auto"/>
        </w:rPr>
        <w:t>Except where the context otherwise requires or where otherwise indicated in this Annual Report, on Form 20-F (the “Annual Report”), the terms “Oatly,” the “Company,” the “Group,” “we,” “us,” “our,” “our company” and “our business” refer to Oatly Group AB, together with its consolidated subsidiaries as a consolidated entity. When we refer to “plant-based dairy” throughout this Annual Report, we are referring to “plant-based dairy alternatives.”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right="20" w:firstLine="864"/>
        <w:spacing w:after="0" w:line="254" w:lineRule="auto"/>
        <w:rPr>
          <w:sz w:val="20"/>
          <w:szCs w:val="20"/>
          <w:color w:val="auto"/>
        </w:rPr>
      </w:pPr>
      <w:r>
        <w:rPr>
          <w:rFonts w:ascii="Times New Roman" w:cs="Times New Roman" w:eastAsia="Times New Roman" w:hAnsi="Times New Roman"/>
          <w:sz w:val="18"/>
          <w:szCs w:val="18"/>
          <w:color w:val="auto"/>
        </w:rPr>
        <w:t>Within this Annual Report, we reference information and statistics regarding the industries in which we operate, including the dairy industry. We are responsible for these statements included in this Annual Report. We have obtained this information and statistics from various independent third-party sources, such as Euromonitor International Limited (“Euromonitor”) and the other third-party sources stated below. Some data and other information contained in this Annual Report are also based on our own estimates and calculations, which are derived from our review and interpretation of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w:t>
      </w:r>
    </w:p>
    <w:p>
      <w:pPr>
        <w:spacing w:after="0" w:line="151" w:lineRule="exact"/>
        <w:rPr>
          <w:sz w:val="20"/>
          <w:szCs w:val="20"/>
          <w:color w:val="auto"/>
        </w:rPr>
      </w:pPr>
    </w:p>
    <w:p>
      <w:pPr>
        <w:ind w:left="88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 Infoscan, IRI Milk Alternatives, Value Share, 52, 12 and 4 w/e 01/01/22, Total Market (inc Ocado). IRI Milk Alternatives, Stores Selling, 4 w/e 01/01/22, Major Multiples. (“IRI”);</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NielsenIQ MarketTrack, Dairy Alternatives Drinks, Value Sales, Germany Grocery excl. hard discount, Full Year 2021 (“Nielsen”);</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Nielsen ScanTrack, Sweden Grocery, Plant-based Milk, Value % share, MAT, W52 2021 (Copyright © Nielsen) (“Nielsen”);</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NielsenIQ Scan Data. Milk/Dairy Alternatives, Total US xAOC, Data ending 1/1/22 (“Nielsen”);</w:t>
      </w:r>
    </w:p>
    <w:p>
      <w:pPr>
        <w:spacing w:after="0" w:line="211"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Lancet’s “Country, regional, and global estimates for lactose malabsorption in adults: a systematic review and meta-analysis,” which was published in October 2017 (“Lancet”); and</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Zeno Group’s “The 2020 Strength of Purpose Study,” which was published June 17, 2020 (the “Zeno Study”).</w:t>
      </w:r>
    </w:p>
    <w:p>
      <w:pPr>
        <w:spacing w:after="0" w:line="212"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In addition, assumptions and estimates of our and our industries’ future performance are necessarily subject to a high degree of uncertainty and risk due to a variety of factors. These and other factors could cause our future performance to differ materially from our assumptions and estimates. As a result, you should be aware that market, ranking and other similar industry data included in this Annual Report, and estimates and beliefs based on that data, may not be reliable. We cannot guarantee the accuracy or completeness of any such information contained in this Annual Report. Forecasts and other forward-looking information obtained from these sources are subject to the same qualifications and uncertainties as the other forward-looking statements in this Annual Report. See Item 3.D. “Risk Factors—Risks Related to our Business and Industry—</w:t>
      </w:r>
      <w:r>
        <w:rPr>
          <w:rFonts w:ascii="Times New Roman" w:cs="Times New Roman" w:eastAsia="Times New Roman" w:hAnsi="Times New Roman"/>
          <w:sz w:val="18"/>
          <w:szCs w:val="18"/>
          <w:i w:val="1"/>
          <w:iCs w:val="1"/>
          <w:color w:val="auto"/>
        </w:rPr>
        <w:t>Our estimates of market opportunity and forecasts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growth may prove to be inaccurate, and even if the market in which we compete achieves the forecasted growth, our business could fail to grow at similar rates, if at all</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89" w:lineRule="exact"/>
        <w:rPr>
          <w:sz w:val="20"/>
          <w:szCs w:val="20"/>
          <w:color w:val="auto"/>
        </w:rPr>
      </w:pPr>
    </w:p>
    <w:p>
      <w:pPr>
        <w:ind w:right="320" w:firstLine="864"/>
        <w:spacing w:after="0" w:line="282" w:lineRule="auto"/>
        <w:rPr>
          <w:sz w:val="20"/>
          <w:szCs w:val="20"/>
          <w:color w:val="auto"/>
        </w:rPr>
      </w:pPr>
      <w:r>
        <w:rPr>
          <w:rFonts w:ascii="Times New Roman" w:cs="Times New Roman" w:eastAsia="Times New Roman" w:hAnsi="Times New Roman"/>
          <w:sz w:val="18"/>
          <w:szCs w:val="18"/>
          <w:color w:val="auto"/>
        </w:rPr>
        <w:t>We have proprietary rights to trademarks used in this Annual Report that are important to our business, many of which are registered under applicable intellectual property laws.</w:t>
      </w:r>
    </w:p>
    <w:p>
      <w:pPr>
        <w:spacing w:after="0" w:line="121" w:lineRule="exact"/>
        <w:rPr>
          <w:sz w:val="20"/>
          <w:szCs w:val="20"/>
          <w:color w:val="auto"/>
        </w:rPr>
      </w:pPr>
    </w:p>
    <w:p>
      <w:pPr>
        <w:ind w:right="320" w:firstLine="864"/>
        <w:spacing w:after="0" w:line="266" w:lineRule="auto"/>
        <w:rPr>
          <w:sz w:val="20"/>
          <w:szCs w:val="20"/>
          <w:color w:val="auto"/>
        </w:rPr>
      </w:pPr>
      <w:r>
        <w:rPr>
          <w:rFonts w:ascii="Times New Roman" w:cs="Times New Roman" w:eastAsia="Times New Roman" w:hAnsi="Times New Roman"/>
          <w:sz w:val="18"/>
          <w:szCs w:val="18"/>
          <w:color w:val="auto"/>
        </w:rPr>
        <w:t>Solely for convenience, the trademarks, service marks, logos and trade names referred to in this Annual Report are without the ® and ™ symbols, but such references are not intended to indicate, in any way, that we will not assert, to the fullest extent under applicable law, our rights or the rights of the applicable licensors to these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trademarks, service marks and trade names. This Annual Report contains additional trademarks, service marks, copyrights and trade names of others, which are the property of their respective owners. All copyrights, trademarks, service marks and trade names appearing in this Annual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189" w:lineRule="exact"/>
        <w:rPr>
          <w:sz w:val="20"/>
          <w:szCs w:val="20"/>
          <w:color w:val="auto"/>
        </w:rPr>
      </w:pPr>
    </w:p>
    <w:p>
      <w:pPr>
        <w:ind w:right="320" w:firstLine="864"/>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International Financial Reporting Standards (“IFRS”), as issued by the International Accounting Standards Board (“IASB”). None of our financial statements were prepared in accordance with generally accepted accounting principles in the United States (“U.S. GAAP”).</w:t>
      </w:r>
    </w:p>
    <w:p>
      <w:pPr>
        <w:spacing w:after="0" w:line="162" w:lineRule="exact"/>
        <w:rPr>
          <w:sz w:val="20"/>
          <w:szCs w:val="20"/>
          <w:color w:val="auto"/>
        </w:rPr>
      </w:pPr>
    </w:p>
    <w:p>
      <w:pPr>
        <w:ind w:right="60" w:firstLine="864"/>
        <w:spacing w:after="0" w:line="258" w:lineRule="auto"/>
        <w:rPr>
          <w:sz w:val="20"/>
          <w:szCs w:val="20"/>
          <w:color w:val="auto"/>
        </w:rPr>
      </w:pPr>
      <w:r>
        <w:rPr>
          <w:rFonts w:ascii="Times New Roman" w:cs="Times New Roman" w:eastAsia="Times New Roman" w:hAnsi="Times New Roman"/>
          <w:sz w:val="18"/>
          <w:szCs w:val="18"/>
          <w:color w:val="auto"/>
        </w:rPr>
        <w:t>In this Annual report, we present certain financial measures that are not recognized by IFRS and that may not be permitted to appear on the face of IFRS-compliant financial statements or notes thereto. The non-IFRS financial measures used in this Annual Report are EBITDA and adjusted EBITDA. We use EBITDA and adjusted EBITDA to assess our operating performance and in our financial communications. Management believes these non-IFRS financial measures provide useful additional information to investors about current trends in our operations and are useful for period-over-period comparisons of operations.</w:t>
      </w:r>
    </w:p>
    <w:p>
      <w:pPr>
        <w:spacing w:after="0" w:line="156" w:lineRule="exact"/>
        <w:rPr>
          <w:sz w:val="20"/>
          <w:szCs w:val="20"/>
          <w:color w:val="auto"/>
        </w:rPr>
      </w:pPr>
    </w:p>
    <w:p>
      <w:pPr>
        <w:ind w:right="140" w:firstLine="864"/>
        <w:spacing w:after="0" w:line="289"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in this Annual Report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17" w:lineRule="exact"/>
        <w:rPr>
          <w:sz w:val="20"/>
          <w:szCs w:val="20"/>
          <w:color w:val="auto"/>
        </w:rPr>
      </w:pPr>
    </w:p>
    <w:p>
      <w:pPr>
        <w:ind w:right="180" w:firstLine="864"/>
        <w:spacing w:after="0" w:line="266" w:lineRule="auto"/>
        <w:rPr>
          <w:sz w:val="20"/>
          <w:szCs w:val="20"/>
          <w:color w:val="auto"/>
        </w:rPr>
      </w:pPr>
      <w:r>
        <w:rPr>
          <w:rFonts w:ascii="Times New Roman" w:cs="Times New Roman" w:eastAsia="Times New Roman" w:hAnsi="Times New Roman"/>
          <w:sz w:val="18"/>
          <w:szCs w:val="18"/>
          <w:color w:val="auto"/>
        </w:rPr>
        <w:t>All references in this Annual Report to “dollar,” “USD” or “$” refer to U.S. dollars, the terms “Swedish Kronor” and “SEK” refer to the legal currency of Sweden, the terms “euro,” “EUR” or “€” refer to the currency introduced at the start of the third stage of European economic and monetary union pursuant to the treaty establishing the European Community, as amended, and the terms “£” and “GBP” refer to pounds sterling.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relate to our current expectations and views of future events. These forward-looking statements are contained principally in Item 4. “Information on the Company” and Item 5. “Operating and Financial Review and Prospects.” These statements relate to events that involve known and unknown risks, uncertainties and other factors, including those listed under Item 3.D. “Risk Factors,” which may cause our actual results, performance or achievements to be materially different from any future results, performance or achievements expressed or implied by the forward-looking statements.</w:t>
      </w:r>
    </w:p>
    <w:p>
      <w:pPr>
        <w:spacing w:after="0" w:line="156" w:lineRule="exact"/>
        <w:rPr>
          <w:sz w:val="20"/>
          <w:szCs w:val="20"/>
          <w:color w:val="auto"/>
        </w:rPr>
      </w:pPr>
    </w:p>
    <w:p>
      <w:pPr>
        <w:ind w:right="320" w:firstLine="864"/>
        <w:spacing w:after="0" w:line="282"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“may,” “will,” “expect,” “anticipate,” “aim,” “estimate,” “intend,” “plan,” “believe,” “potential,” “continue,” “is/are likely to” or other similar expressions.</w:t>
      </w:r>
    </w:p>
    <w:p>
      <w:pPr>
        <w:spacing w:after="0" w:line="121"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“Risk Factors” and the following:</w:t>
      </w:r>
    </w:p>
    <w:p>
      <w:pPr>
        <w:spacing w:after="0" w:line="139" w:lineRule="exact"/>
        <w:rPr>
          <w:sz w:val="20"/>
          <w:szCs w:val="20"/>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and inability to achieve or sustain profitability;</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the spread of variants of the virus, on our business and the international economy;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availability of oats or other raw materials and ingredients that meet our quality standards;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additional financing to achieve our goals or failure to obtain necessary capital when needed on acceptable terms;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our production facilities;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brand and reputation as the result of real or perceived quality or food safety issues with our products;</w:t>
      </w:r>
    </w:p>
    <w:p>
      <w:pPr>
        <w:spacing w:after="0" w:line="211"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which may lead to lawsuits, product recalls or regulatory enforcement actions;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in our highly competitive markets;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 and our ability to adapt to new or changing preferences;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customers or the loss of a significant customer;</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sales of our oatmilk varieties;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existing or new environmental metrics and other risks related to sustainability and corporate social responsibility;</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actions or other legal proceedings including environmental and securities class action lawsuits;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international trade policies, treaties and tariffs;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 or assessments;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expand our manufacturing and production capacity as we grow our business;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delays, including delays in the receipt of product at factories and ports, and an increase in transportation costs;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rising commodity prices, transportation and labor costs on our cost of goods sold;</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logistics providers to deliver our products on time, or at all;</w:t>
      </w:r>
    </w:p>
    <w:p>
      <w:pPr>
        <w:spacing w:after="0" w:line="211"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ramp up operations at any of our new facilities and operate them in accordance with our expectations; failure to develop and maintain our brand;</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or successfully improve existing products;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or to attract, train and retain employees;</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or other technology disruptions; failure to protect our intellectual and proprietary technology adequately;</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weaknesses in our internal control over financial reporting;</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and</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not subject to U.S. proxy rules and our reporting obligations under the Securities Exchange Act of 1934, as amended (the “Exchange Act”), to some extent, are more lenient and less frequent than those of a U.S. domestic public company.</w:t>
      </w: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 Annual Report and have filed as exhibits to this Annual Report completely and with the understanding that our actual future results or performance may be materially different from what we expect.</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ind w:right="80" w:firstLine="86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significantly and negatively affect our business, prospects, financial conditions, or operating results. For a more complete discussion of the material risks facing our business, see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Industry</w:t>
      </w:r>
    </w:p>
    <w:p>
      <w:pPr>
        <w:spacing w:after="0" w:line="117" w:lineRule="exact"/>
        <w:rPr>
          <w:sz w:val="20"/>
          <w:szCs w:val="20"/>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achieve or sustain profitability;</w:t>
      </w:r>
    </w:p>
    <w:p>
      <w:pPr>
        <w:spacing w:after="0" w:line="36" w:lineRule="exact"/>
        <w:rPr>
          <w:rFonts w:ascii="Times New Roman" w:cs="Times New Roman" w:eastAsia="Times New Roman" w:hAnsi="Times New Roman"/>
          <w:sz w:val="18"/>
          <w:szCs w:val="18"/>
          <w:color w:val="auto"/>
        </w:rPr>
      </w:pPr>
    </w:p>
    <w:p>
      <w:pPr>
        <w:ind w:left="880" w:right="260" w:hanging="440"/>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we expect will continue to have, certain negative impacts on our business, these impacts may have a material adverse impact on our financial condition and results of operations;</w:t>
      </w:r>
    </w:p>
    <w:p>
      <w:pPr>
        <w:jc w:val="both"/>
        <w:ind w:left="880" w:right="60" w:hanging="440"/>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financial condition and results of operations may be adversely affected by reduced or limited availability of oats and other raw materials that our limited number of suppliers are able to sell to us that meet our quality standards due to inflationary pressure and current geopolitical situations;</w:t>
      </w:r>
    </w:p>
    <w:p>
      <w:pPr>
        <w:spacing w:after="0" w:line="1" w:lineRule="exact"/>
        <w:rPr>
          <w:rFonts w:ascii="Times New Roman" w:cs="Times New Roman" w:eastAsia="Times New Roman" w:hAnsi="Times New Roman"/>
          <w:sz w:val="18"/>
          <w:szCs w:val="18"/>
          <w:color w:val="auto"/>
        </w:rPr>
      </w:pPr>
    </w:p>
    <w:p>
      <w:pPr>
        <w:ind w:left="880" w:right="180" w:hanging="440"/>
        <w:spacing w:after="0" w:line="265" w:lineRule="auto"/>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financing to achieve our goals, and a failure to obtain this necessary capital when needed on acceptable terms, or at all, may force us to delay, limit, reduce or terminate our product manufacturing and development and other operations;</w:t>
      </w:r>
    </w:p>
    <w:p>
      <w:pPr>
        <w:ind w:left="880" w:right="180" w:hanging="440"/>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components of all our products are manufactured in our six production facilities, and any damage or disruption at these facilities has harmed and may in the future harm our business;</w:t>
      </w:r>
    </w:p>
    <w:p>
      <w:pPr>
        <w:ind w:left="880" w:right="420" w:hanging="440"/>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and reputation may be diminished due to real or perceived quality or food safety issues with our products, which could have an adverse effect on our business, reputation, financial condition and results of operations;</w:t>
      </w:r>
    </w:p>
    <w:p>
      <w:pPr>
        <w:ind w:left="880" w:hanging="440"/>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have led to product recalls and such events may in the future materially adversely affect our business by exposing us to lawsuits or regulatory enforcement actions, increasing our operating costs and reducing demand for our product offerings;</w:t>
      </w:r>
    </w:p>
    <w:p>
      <w:pPr>
        <w:spacing w:after="0" w:line="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17" w:lineRule="exact"/>
        <w:rPr>
          <w:rFonts w:ascii="Times New Roman" w:cs="Times New Roman" w:eastAsia="Times New Roman" w:hAnsi="Times New Roman"/>
          <w:sz w:val="18"/>
          <w:szCs w:val="18"/>
          <w:color w:val="auto"/>
        </w:rPr>
      </w:pPr>
    </w:p>
    <w:p>
      <w:pPr>
        <w:ind w:left="880" w:right="520" w:hanging="440"/>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oatmilk varieties contribute a significant portion of our revenue. A reduction in sales of our oatmilk varieties would have an adverse effect on our financial condition;</w:t>
      </w:r>
    </w:p>
    <w:p>
      <w:pPr>
        <w:ind w:left="880" w:right="400" w:hanging="440"/>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expand our processing, manufacturing and production capacity, as we continue to grow and scale our business to a steady operating level, our business, results of operations and our brand reputation could be harmed;</w:t>
      </w:r>
    </w:p>
    <w:p>
      <w:pPr>
        <w:ind w:left="880" w:right="940" w:hanging="440"/>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ramp up operations at any of our new facilities, or these facilities may not operate in accordance with our expectations;</w:t>
      </w: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introduce new products or successfully improve existing products may adversely affect our ability to continue to grow;</w:t>
      </w:r>
    </w:p>
    <w:p>
      <w:pPr>
        <w:spacing w:after="0" w:line="17" w:lineRule="exact"/>
        <w:rPr>
          <w:rFonts w:ascii="Times New Roman" w:cs="Times New Roman" w:eastAsia="Times New Roman" w:hAnsi="Times New Roman"/>
          <w:sz w:val="18"/>
          <w:szCs w:val="18"/>
          <w:color w:val="auto"/>
        </w:rPr>
      </w:pPr>
    </w:p>
    <w:p>
      <w:pPr>
        <w:ind w:left="880" w:right="380" w:hanging="440"/>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for our products are difficult to predict and may change, and, if we are unable to respond quickly to new trends, our business may be adversely affected;</w:t>
      </w:r>
    </w:p>
    <w:p>
      <w:pPr>
        <w:ind w:left="880" w:right="120" w:hanging="440"/>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spacing w:after="0" w:line="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or other technology disruptions could negatively impact our business and our relationships with customers;</w:t>
      </w:r>
    </w:p>
    <w:p>
      <w:pPr>
        <w:spacing w:after="0" w:line="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customers or the loss of a significant customer could negatively impact our sales and profitability;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could expose us to significant liabilities and have a negative impact on our reputation or business;</w:t>
      </w:r>
    </w:p>
    <w:p>
      <w:pPr>
        <w:spacing w:after="0" w:line="36" w:lineRule="exact"/>
        <w:rPr>
          <w:rFonts w:ascii="Times New Roman" w:cs="Times New Roman" w:eastAsia="Times New Roman" w:hAnsi="Times New Roman"/>
          <w:sz w:val="18"/>
          <w:szCs w:val="18"/>
          <w:color w:val="auto"/>
        </w:rPr>
      </w:pPr>
    </w:p>
    <w:p>
      <w:pPr>
        <w:ind w:left="880" w:right="400" w:hanging="440"/>
        <w:spacing w:after="0" w:line="261"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or to attract, train and retain employees may adversely affect our operations or our ability to grow successfully;</w:t>
      </w: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worldwide economy may adversely affect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Regulation</w:t>
      </w:r>
    </w:p>
    <w:p>
      <w:pPr>
        <w:spacing w:after="0" w:line="117" w:lineRule="exact"/>
        <w:rPr>
          <w:sz w:val="20"/>
          <w:szCs w:val="20"/>
          <w:color w:val="auto"/>
        </w:rPr>
      </w:pPr>
    </w:p>
    <w:p>
      <w:pPr>
        <w:ind w:left="880" w:right="20" w:hanging="440"/>
        <w:spacing w:after="0" w:line="261"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U.S., European and the People’s Republic of China laws and regulations, and there is no assurance that we will be in compliance with all regulations;</w:t>
      </w:r>
    </w:p>
    <w:p>
      <w:pPr>
        <w:ind w:left="880" w:right="140" w:hanging="440"/>
        <w:spacing w:after="0" w:line="250"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 or the adoption of new laws or regulations, may increase our costs and otherwise adversely affect our business, financial condition and results of operations;</w:t>
      </w:r>
    </w:p>
    <w:p>
      <w:pPr>
        <w:ind w:left="880" w:right="140" w:hanging="440"/>
        <w:spacing w:after="0" w:line="250"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of raw materials or co-producers to comply with food safety, environmental or other laws and regulations, or with the specifications and requirements of our products, may disrupt our supply of products and adversely affect our business;</w:t>
      </w: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environmental regulation and potentially subject to environmental litigation, proceedings and investigations;</w:t>
      </w:r>
    </w:p>
    <w:p>
      <w:pPr>
        <w:spacing w:after="0" w:line="17"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international trade policies, treaties and tariffs, including as a result of the United Kingdom’s withdrawal from the European Union (the “EU”), or the emergence of a trade war could adversely impact our business, financial condition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Intellectual Property</w:t>
      </w:r>
    </w:p>
    <w:p>
      <w:pPr>
        <w:spacing w:after="0" w:line="117"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proprietary technology adequately, which may impact our commercial success;</w:t>
      </w:r>
    </w:p>
    <w:p>
      <w:pPr>
        <w:spacing w:after="0" w:line="211"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has been and is being challenged, and we may not be able to protect our intellectual property adequately, which may harm the value of our brand;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the Ownership of Our American Depositary Shares (“ADSs”)</w:t>
      </w:r>
    </w:p>
    <w:p>
      <w:pPr>
        <w:spacing w:after="0" w:line="117" w:lineRule="exact"/>
        <w:rPr>
          <w:sz w:val="20"/>
          <w:szCs w:val="20"/>
          <w:color w:val="auto"/>
        </w:rPr>
      </w:pPr>
    </w:p>
    <w:p>
      <w:pPr>
        <w:ind w:left="880" w:right="80" w:hanging="440"/>
        <w:spacing w:after="0" w:line="257"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identified material weaknesses in our internal control environment.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1" w:lineRule="exact"/>
        <w:rPr>
          <w:rFonts w:ascii="Times New Roman" w:cs="Times New Roman" w:eastAsia="Times New Roman" w:hAnsi="Times New Roman"/>
          <w:sz w:val="18"/>
          <w:szCs w:val="18"/>
          <w:color w:val="auto"/>
        </w:rPr>
      </w:pPr>
    </w:p>
    <w:p>
      <w:pPr>
        <w:ind w:left="880" w:right="920" w:hanging="440"/>
        <w:spacing w:after="0" w:line="250"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 has significant influence over us, including significant influence over decisions that require the approval of shareholders;</w:t>
      </w: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the market price of our ADSs have been, and may be, volatile, and you may lose all or part of your investment;</w:t>
      </w:r>
    </w:p>
    <w:p>
      <w:pPr>
        <w:spacing w:after="0" w:line="17" w:lineRule="exact"/>
        <w:rPr>
          <w:rFonts w:ascii="Times New Roman" w:cs="Times New Roman" w:eastAsia="Times New Roman" w:hAnsi="Times New Roman"/>
          <w:sz w:val="18"/>
          <w:szCs w:val="18"/>
          <w:color w:val="auto"/>
        </w:rPr>
      </w:pPr>
    </w:p>
    <w:p>
      <w:pPr>
        <w:ind w:left="880" w:right="140" w:hanging="440"/>
        <w:spacing w:after="0" w:line="261"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defendants in securities class action litigation and could be defendants in future securities class action litigation in the United States or elsewhere that could negatively impact our business, including resulting in substantial costs and liabilities;</w:t>
      </w:r>
    </w:p>
    <w:p>
      <w:pPr>
        <w:ind w:left="880" w:right="40" w:hanging="440"/>
        <w:spacing w:after="0" w:line="250"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as defined in the Securities Act of 1933, as amended (the “Securities Act”), and we cannot be certain if the reduced disclosure requirements applicable to emerging growth companies will make our ADSs less attractive to investors because we may rely on these reduced disclosure requirements;</w:t>
      </w:r>
    </w:p>
    <w:p>
      <w:pPr>
        <w:spacing w:after="0" w:line="1" w:lineRule="exact"/>
        <w:rPr>
          <w:rFonts w:ascii="Times New Roman" w:cs="Times New Roman" w:eastAsia="Times New Roman" w:hAnsi="Times New Roman"/>
          <w:sz w:val="18"/>
          <w:szCs w:val="18"/>
          <w:color w:val="auto"/>
        </w:rPr>
      </w:pPr>
    </w:p>
    <w:p>
      <w:pPr>
        <w:ind w:left="880" w:hanging="440"/>
        <w:spacing w:after="0" w:line="250"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and, as a result, are not be subject to U.S. proxy rules and are subject to Exchange Act reporting obligations that, to some extent, are more lenient and less frequent than those of a U.S. domestic public company;</w:t>
      </w: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exercise your right to vote the ordinary shares underlying your ADSs;</w:t>
      </w:r>
    </w:p>
    <w:p>
      <w:pPr>
        <w:spacing w:after="0" w:line="17" w:lineRule="exact"/>
        <w:rPr>
          <w:rFonts w:ascii="Times New Roman" w:cs="Times New Roman" w:eastAsia="Times New Roman" w:hAnsi="Times New Roman"/>
          <w:sz w:val="18"/>
          <w:szCs w:val="18"/>
          <w:color w:val="auto"/>
        </w:rPr>
      </w:pPr>
    </w:p>
    <w:p>
      <w:pPr>
        <w:ind w:left="880" w:right="80" w:hanging="440"/>
        <w:spacing w:after="0" w:line="261"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dividends on our ADSs in the future and, consequently, your ability to achieve a return on your investment will depend on the appreciation in the price of our ADSs;</w:t>
      </w:r>
    </w:p>
    <w:p>
      <w:pPr>
        <w:ind w:left="880" w:right="40" w:hanging="440"/>
        <w:spacing w:after="0" w:line="260"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 or assessments could affect our profitability, and audits by tax authorities could result in additional tax payments;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117" w:lineRule="exact"/>
        <w:rPr>
          <w:sz w:val="20"/>
          <w:szCs w:val="20"/>
          <w:color w:val="auto"/>
        </w:rPr>
      </w:pPr>
    </w:p>
    <w:p>
      <w:pPr>
        <w:ind w:left="880" w:right="20" w:hanging="440"/>
        <w:spacing w:after="0" w:line="261"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a market for our ADSs will be sustained to provide adequate liquidity, and public trading markets have experienced, and may continue to experience, volatility. Investors may not be able to resell their ADSs at or above the price they pay;</w:t>
      </w:r>
    </w:p>
    <w:p>
      <w:pPr>
        <w:ind w:left="880" w:right="1040" w:hanging="440"/>
        <w:spacing w:after="0" w:line="250"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publishing research or reports about us, our business or our market, or if they change their recommendations regarding our ADSs adversely, the price and trading volume of our ADSs could decline; and</w:t>
      </w:r>
    </w:p>
    <w:p>
      <w:pPr>
        <w:ind w:left="880" w:hanging="440"/>
        <w:spacing w:after="0" w:line="260"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incur increased costs as a result of operating as a public company, and our management is required to devote substantial time to new compliance initiatives and corporate governance practices.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85"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84" w:lineRule="exact"/>
        <w:rPr>
          <w:rFonts w:ascii="Times New Roman" w:cs="Times New Roman" w:eastAsia="Times New Roman" w:hAnsi="Times New Roman"/>
          <w:sz w:val="18"/>
          <w:szCs w:val="18"/>
          <w:b w:val="1"/>
          <w:bCs w:val="1"/>
          <w:color w:val="auto"/>
        </w:rPr>
      </w:pPr>
    </w:p>
    <w:p>
      <w:pPr>
        <w:ind w:left="880" w:right="8500" w:hanging="872"/>
        <w:spacing w:after="0" w:line="488" w:lineRule="auto"/>
        <w:tabs>
          <w:tab w:leader="none" w:pos="271"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880" w:right="7720" w:hanging="872"/>
        <w:spacing w:after="0" w:line="461" w:lineRule="auto"/>
        <w:tabs>
          <w:tab w:leader="none" w:pos="281"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ind w:right="120" w:firstLine="864"/>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before making an investment decision. Additional risks not presently known to us or that we currently deem immaterial may also impair our business operations. Our business, financial condition or results of operations could be materially and adversely affected by any of these risks. The trading price and value of our ADSs could decline due to any of these risks, and you may lose all or part of your investment. This Annual Report also contains forward- 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be unable to achieve or sustain profitability.</w:t>
      </w:r>
    </w:p>
    <w:p>
      <w:pPr>
        <w:spacing w:after="0" w:line="202"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We have experienced net losses over the last several years. In the years ended December 31, 2021 and 2020, we incurred net losses of $212.4 million and $60.4 million, respectively. We anticipate that our operating expenses and capital expenditures will increase substantially in the foreseeable future as we continue to invest to meet demand for our products, increase our customer base, network of suppliers and co-manufacturers, expand our marketing channels and end markets, invest in our distribution and manufacturing facilities, hire additional employees, implement new manufacturing and distribution systems, expand our research and development activities, obtain and store ingredients and other products and enhance our technology and production capabilities. Our expansion efforts may take longer or prove more expensive than we anticipate, particularly in light of the COVID-19 pandemic and current inflationary pressure across the broader economy, and we may not succeed in increasing our revenue and margins sufficiently to offset any potential increased expenses. For example, we have experienced higher inflationary pressures, including higher logistic expenses in Europe, the Middle East, Africa and Australia (“EMEA”), higher container rates for shipments from EMEA to Asia, unusual energy costs in EMEA due to the disruption of European energy markets, and higher commodity prices in the United States and EMEA. In addition, many of our expenses, including the costs associated with operating our existing and any future production and manufacturing facilities, are fixed. Accordingly, we may not be able to achieve or sustain profitability, and we may incur significant losses for the foreseeable future.</w:t>
      </w:r>
    </w:p>
    <w:p>
      <w:pPr>
        <w:spacing w:after="0" w:line="1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had, and we expect will continue to have, certain negative impacts on our business, and these impacts may have a material adverse impact on our financial condition and results of operations.</w:t>
      </w:r>
    </w:p>
    <w:p>
      <w:pPr>
        <w:spacing w:after="0" w:line="118" w:lineRule="exact"/>
        <w:rPr>
          <w:sz w:val="20"/>
          <w:szCs w:val="20"/>
          <w:color w:val="auto"/>
        </w:rPr>
      </w:pPr>
    </w:p>
    <w:p>
      <w:pPr>
        <w:ind w:right="360" w:firstLine="864"/>
        <w:spacing w:after="0" w:line="282" w:lineRule="auto"/>
        <w:rPr>
          <w:sz w:val="20"/>
          <w:szCs w:val="20"/>
          <w:color w:val="auto"/>
        </w:rPr>
      </w:pPr>
      <w:r>
        <w:rPr>
          <w:rFonts w:ascii="Times New Roman" w:cs="Times New Roman" w:eastAsia="Times New Roman" w:hAnsi="Times New Roman"/>
          <w:sz w:val="18"/>
          <w:szCs w:val="18"/>
          <w:color w:val="auto"/>
        </w:rPr>
        <w:t>The global spread and unprecedented impact of the ongoing COVID-19 pandemic continues to create significant volatility, uncertainty and economic disruption. The pandemic has led governments and other authorities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around the world to implement significant measures intended to control the spread of the virus, including shelter-in-place orders, social distancing measures, business closures or restrictions on operations, quarantines, travel bans and restrictions and multi-step policies with the goal of re-opening these markets. While some of these restrictions have been lifted or eased in many jurisdictions as the rates of COVID-19 infections have decreased or stabilized, a resurgence of the pandemic in some markets has slowed, halted or reversed the reopening process altogether. For example, during 2021, various jurisdictions in the EU reinstated restrictive measures, including, among other things, restaurant and bar closures or prohibitions on indoor dining, shelter-in-place orders and limitations on social gatherings. China has also instituted various degrees of restrictive measures in response to the</w:t>
      </w:r>
    </w:p>
    <w:p>
      <w:pPr>
        <w:spacing w:after="0" w:line="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pandemic. Governments and other authorities in many of our markets have temporarily closed bars and restaurants, or limited or prohibited indoor dining and social gatherings, and limited the operations of many of our coffee shop and restaurant customers. Although certain of these restrictions have begun to be lifted and certain exceptions to these restrictions have allowed for takeaway and delivery, which have enabled certain of our customers to continue to generate business, we experienced a deterioration in sales to coffee shops and restaurant customers in certain markets during periods in 2021 when stay-at-home orders became more widespread. Even after these restrictions are lifted, demand from our coffee shop and restaurant customers may continue to be negatively impacted due to continuing consumer concerns regarding the risk of COVID-19 transmission, decreased consumer confidence and spending and changes in consumer habits, among other things. This may impact our overall market and our market and demand estimates may be different than actual demand.</w:t>
      </w:r>
    </w:p>
    <w:p>
      <w:pPr>
        <w:spacing w:after="0" w:line="167" w:lineRule="exact"/>
        <w:rPr>
          <w:sz w:val="20"/>
          <w:szCs w:val="20"/>
          <w:color w:val="auto"/>
        </w:rPr>
      </w:pPr>
    </w:p>
    <w:p>
      <w:pPr>
        <w:ind w:right="80" w:firstLine="864"/>
        <w:spacing w:after="0" w:line="253" w:lineRule="auto"/>
        <w:rPr>
          <w:sz w:val="20"/>
          <w:szCs w:val="20"/>
          <w:color w:val="auto"/>
        </w:rPr>
      </w:pPr>
      <w:r>
        <w:rPr>
          <w:rFonts w:ascii="Times New Roman" w:cs="Times New Roman" w:eastAsia="Times New Roman" w:hAnsi="Times New Roman"/>
          <w:sz w:val="18"/>
          <w:szCs w:val="18"/>
          <w:color w:val="auto"/>
        </w:rPr>
        <w:t>The environment remains highly uncertain, and it is unclear how long it will take for consumer demand to return to pre-pandemic levels, if at all. If COVID-19 infection rates resurge and the pandemic intensifies and expands geographically, its negative impacts on our business, particularly on our revenue from coffee shops and restaurants, our operating expenses, gross profit and gross margin, and our sales could be more prolonged and may become more severe. Even if not required by governments and other authorities, companies are also taking precautions, such as requiring employees to work remotely, imposing travel restrictions, reducing operating hours, imposing operating restrictions and temporarily closing businesses. These continuing restrictions and future prevention, mitigation measures and reopening policies imposed by governments and companies are likely to continue to have an adverse impact on global economic conditions and consumer confidence and spending (including lower discretionary income due to unemployment or reduced or limited work opportunities as a result of the measures taken in response to the pandemic), which has had, and is expected to continue to have, a material adverse impact on our customers and the demand for our products. Furthermore, sustained market-wide turmoil and business disruption due to the COVID-19 pandemic have negatively impacted, and are expected to continue to negatively impact, our business, financial condition and results of operations.</w:t>
      </w:r>
    </w:p>
    <w:p>
      <w:pPr>
        <w:spacing w:after="0" w:line="151"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It is also unclear how the COVID-19 pandemic may affect our industry in the long term, such as any changes to how our products fit into any potential fundamental changes to the lifestyle of our consumers and customers, whether the increase in retail demand will continue, or any potential consolidation within our industry that could affect the foodservice industry and/or our distribution channels as a result of the financial strain resulting from the COVID-19 pandemic. We expect revenue from our foodservice customers, such as those in China, will continue to be significantly negatively impacted in 2022. It is, however, difficult to predict foodservice customer and retail demand going forward, and if the COVID-19 pandemic continues, it could impact our future sales developments and planning. The pandemic has also negatively impacted our rate of research and innovation, as we have experienced delays in tests and launches of our new products. Less in-person shopping, fewer trials and in-person events may affect future product launches and may impact our portfolio pipeline over time. Moreover, as a result of an increase in retail demand beginning in the second quarter of 2020 as consumers shifted toward more at-home consumption, we transitioned our distribution to meet this shift. Given the unpredictable nature of the COVID-19 pandemic and consumption behavior, it is difficult to predict the impact of these retail channel investments on our results of operations.</w:t>
      </w:r>
    </w:p>
    <w:p>
      <w:pPr>
        <w:spacing w:after="0" w:line="154"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We could also suffer product inventory losses or markdowns and lost revenue in the event of the loss or a shutdown of a major supplier, co-manufacturer or distributor or disruption of our distribution network. We source ingredients from several suppliers around the world. The impact of COVID-19 on any of our suppliers, co-manufacturers, distributors or transportation or logistics providers, including problems with their respective businesses, finances, labor matters (including illness or absenteeism in workforce), ability to import raw materials, product quality issues, costs, production, insurance and reputation, may negatively affect the price and availability of our ingredients and/or packaging materials and impact our supply chain. If the disruptions caused by COVID-19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continue for an extended period of time or there are one or more resurgences of COVID-19 or the emergence of another pandemic, our ability to meet the demand for our products may be materially impacted. We may also be required to write off excess or obsolete inventory as a result of the COVID-19 pandemic’s impacts on our business or any of our suppliers, co-manufacturers, distributors or transportation or logistics providers.</w:t>
      </w:r>
    </w:p>
    <w:p>
      <w:pPr>
        <w:spacing w:after="0" w:line="149" w:lineRule="exact"/>
        <w:rPr>
          <w:sz w:val="20"/>
          <w:szCs w:val="20"/>
          <w:color w:val="auto"/>
        </w:rPr>
      </w:pPr>
    </w:p>
    <w:p>
      <w:pPr>
        <w:ind w:right="140" w:firstLine="864"/>
        <w:spacing w:after="0" w:line="254" w:lineRule="auto"/>
        <w:rPr>
          <w:sz w:val="20"/>
          <w:szCs w:val="20"/>
          <w:color w:val="auto"/>
        </w:rPr>
      </w:pPr>
      <w:r>
        <w:rPr>
          <w:rFonts w:ascii="Times New Roman" w:cs="Times New Roman" w:eastAsia="Times New Roman" w:hAnsi="Times New Roman"/>
          <w:sz w:val="18"/>
          <w:szCs w:val="18"/>
          <w:color w:val="auto"/>
        </w:rPr>
        <w:t>Additionally, we operate production facilities in Landskrona, Sweden, Millville, New Jersey, Vlissingen, the Netherlands, Ogden, Utah, Ma’anshan, China and Singapore and currently have facilities under construction or in the planning stages in Peterborough, the United Kingdom, Dallas-Fort Worth, Texas, and China (Asia III). We also have an ongoing expansion project in Millville, U.S. We have implemented and continue to practice a series of physical distancing and safety practices at these facilities, which may result in increases in long-term operating costs. If we are forced to make further modifications or scale back hours of production in response to the pandemic, we expect our business, financial condition and results of operations would be materially adversely affected. Additionally, it has become more difficult to source and procure spare parts for repair and maintenance of our facilities and equipment and materials for our new facilities in the United Kingdom, United States and China, which has resulted in production being slowed or halted at certain facilities. If these sourcing difficulties for spare parts continue, it may impact our production levels and our business, financial condition and results of operations may be materially adversely affected.</w:t>
      </w:r>
    </w:p>
    <w:p>
      <w:pPr>
        <w:spacing w:after="0" w:line="148"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Furthermore, our activities may be adversely affected by unforeseeable and unquantifiable health risks, such as the COVID-19 pandemic, and matters outside our control may prevent us from executing on our expansion plans and limit travel in conducting our business. Decisions beyond our control, such as restricted travel, barriers to entry or other factors have affected or may affect our ability to accomplish our strategic growth goals and other needs that would normally be accomplished without such limitations. For example, COVID-19 travel limits have hindered our management’s ability to travel to our facility sites in China, Singapore, and the United States to support the ramp up of these sites with experts from EMEA. This has made it more difficult to build up our sites and thus resulted in lower-than-expected production output at our facilities in Ogden, Utah, Singapore and China and lower-than-expected sales in Asia as a result of foodservice location closures due to the COVID-19 variants.</w:t>
      </w:r>
    </w:p>
    <w:p>
      <w:pPr>
        <w:spacing w:after="0" w:line="148"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Further, if we were forced to close any of our facilities because of the pandemic or any new government regulations imposed in any of the countries in which our facilities operate, this would have a material adverse effect on our business, financial condition and results of operations. Part of our growth strategy includes increasing the expansion into additional geographies. The timing and success of our international expansion with respect to customers, co-manufacturers and/or production facilities has been and may continue to be negatively impacted by COVID-19, which could impede our anticipated growth.</w:t>
      </w:r>
    </w:p>
    <w:p>
      <w:pPr>
        <w:spacing w:after="0" w:line="156" w:lineRule="exact"/>
        <w:rPr>
          <w:sz w:val="20"/>
          <w:szCs w:val="20"/>
          <w:color w:val="auto"/>
        </w:rPr>
      </w:pPr>
    </w:p>
    <w:p>
      <w:pPr>
        <w:ind w:right="40" w:firstLine="864"/>
        <w:spacing w:after="0" w:line="258" w:lineRule="auto"/>
        <w:rPr>
          <w:sz w:val="20"/>
          <w:szCs w:val="20"/>
          <w:color w:val="auto"/>
        </w:rPr>
      </w:pPr>
      <w:r>
        <w:rPr>
          <w:rFonts w:ascii="Times New Roman" w:cs="Times New Roman" w:eastAsia="Times New Roman" w:hAnsi="Times New Roman"/>
          <w:sz w:val="18"/>
          <w:szCs w:val="18"/>
          <w:color w:val="auto"/>
        </w:rPr>
        <w:t>We have also transitioned a significant subset of our office-based employee population to a remote work environment to mitigate the spread of COVID-19, which may exacerbate certain risks to our business, including cybersecurity attacks and risk of phishing due to an increase in the number of points of potential attack, such as laptops and mobile devices (both of which are now being used in increased numbers). If an employee tests positive for COVID-19, we may have to temporarily close one or more of our facilities for cleaning and/or quarantine one or more employees, which could cause production delays and negatively impact our business, financial condition and results of operations.</w:t>
      </w:r>
    </w:p>
    <w:p>
      <w:pPr>
        <w:spacing w:after="0" w:line="143" w:lineRule="exact"/>
        <w:rPr>
          <w:sz w:val="20"/>
          <w:szCs w:val="20"/>
          <w:color w:val="auto"/>
        </w:rPr>
      </w:pPr>
    </w:p>
    <w:p>
      <w:pPr>
        <w:ind w:right="60" w:firstLine="864"/>
        <w:spacing w:after="0" w:line="256" w:lineRule="auto"/>
        <w:rPr>
          <w:sz w:val="20"/>
          <w:szCs w:val="20"/>
          <w:color w:val="auto"/>
        </w:rPr>
      </w:pPr>
      <w:r>
        <w:rPr>
          <w:rFonts w:ascii="Times New Roman" w:cs="Times New Roman" w:eastAsia="Times New Roman" w:hAnsi="Times New Roman"/>
          <w:sz w:val="18"/>
          <w:szCs w:val="18"/>
          <w:color w:val="auto"/>
        </w:rPr>
        <w:t>Additionally, the COVID-19 pandemic has created significant disruptions in the credit and financial markets, which could adversely affect our ability to access capital on favorable terms in the future, or at all. The extent of COVID-19’s effect on our operational and financial performance will depend on future developments, including the duration, spread and intensity of the pandemic (including any resurgences), all of which are uncertain and difficult to predict considering the rapidly evolving situation across the globe. Furthermore, the uncertainty created by COVID-19 significantly increases the difficulty in forecasting operating results and of strategic planning. As a result, it is not currently possible to ascertain the overall impact of COVID-19 on our business.</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impact of COVID-19 may also heighten other risks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business, results of operations and financial condition may be adversely affected by reduced or limited availability of oats and other raw materials and ingredients that our limited number of suppliers are able to sell to us that meet our quality standards.</w:t>
      </w:r>
    </w:p>
    <w:p>
      <w:pPr>
        <w:spacing w:after="0" w:line="132"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Our ability to ensure a continuing supply of high-quality oats and other raw materials for our products at competitive prices depends on many factors beyond our control. In particular, we rely on a limited number of regional suppliers that supply us with high-quality oats and maintain controls and procedures in order to meet our standards for quality and sustainability. Our financial performance depends in large part on our ability to arrange for the purchase of raw materials in sufficient quantities at competitive prices. We are not assured of continued supply or adequate pricing of raw materials. Any of our suppliers could discontinue or seek to alter their relationship with us.</w:t>
      </w:r>
    </w:p>
    <w:p>
      <w:pPr>
        <w:spacing w:after="0" w:line="143" w:lineRule="exact"/>
        <w:rPr>
          <w:sz w:val="20"/>
          <w:szCs w:val="20"/>
          <w:color w:val="auto"/>
        </w:rPr>
      </w:pPr>
    </w:p>
    <w:p>
      <w:pPr>
        <w:ind w:right="60" w:firstLine="864"/>
        <w:spacing w:after="0" w:line="258" w:lineRule="auto"/>
        <w:rPr>
          <w:sz w:val="20"/>
          <w:szCs w:val="20"/>
          <w:color w:val="auto"/>
        </w:rPr>
      </w:pPr>
      <w:r>
        <w:rPr>
          <w:rFonts w:ascii="Times New Roman" w:cs="Times New Roman" w:eastAsia="Times New Roman" w:hAnsi="Times New Roman"/>
          <w:sz w:val="18"/>
          <w:szCs w:val="18"/>
          <w:color w:val="auto"/>
        </w:rPr>
        <w:t>We currently work closely with several suppliers for the oats used in our products. We purchase our oats from farmers in Sweden, Canada, the Baltic states, Australia and Finland through millers in Sweden, Finland, China, Malaysia, the United States and Belgium, so our supply may be particularly affected by any adverse events in these countries. We have in the past experienced interruptions in the supply of oats from one supplier that resulted in delays in delivery to us. We could experience similar delays in the future from any of these suppliers. Any disruption in the supply of oats from these suppliers would have a material adverse effect on our business if we cannot replace these suppliers in a timely manner, or at all.</w:t>
      </w:r>
    </w:p>
    <w:p>
      <w:pPr>
        <w:spacing w:after="0" w:line="143"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We use a variety of enzymes throughout our production process, which we source from a few suppliers. We also rely on one supplier to produce an enzyme that we use to provide certain characteristics to some of our products, including our Barista Edition oatmilk. Any disruptions in this supplier’s production facilities or processes could have a material adverse effect on our ability to consistently produce certain products in a timely manner, which could harm our reputation and relationship with our customers, as well as materially adversely affect our business and results of operations. While we believe we maintain a good relationship with this supplier, there can be no assurance that we will be able to continue purchasing the necessary enzyme from this supplier on favorable terms, or at all, in the future. We are exploring alternative methods of achieving these product characteristics that may require us to expend a significant amount of time and effort to find alternative suppliers that meet our standards for quality, which could disrupt our operations and adversely affect our business.</w:t>
      </w:r>
    </w:p>
    <w:p>
      <w:pPr>
        <w:spacing w:after="0" w:line="165" w:lineRule="exact"/>
        <w:rPr>
          <w:sz w:val="20"/>
          <w:szCs w:val="20"/>
          <w:color w:val="auto"/>
        </w:rPr>
      </w:pPr>
    </w:p>
    <w:p>
      <w:pPr>
        <w:ind w:right="20" w:firstLine="864"/>
        <w:spacing w:after="0" w:line="254" w:lineRule="auto"/>
        <w:rPr>
          <w:sz w:val="20"/>
          <w:szCs w:val="20"/>
          <w:color w:val="auto"/>
        </w:rPr>
      </w:pPr>
      <w:r>
        <w:rPr>
          <w:rFonts w:ascii="Times New Roman" w:cs="Times New Roman" w:eastAsia="Times New Roman" w:hAnsi="Times New Roman"/>
          <w:sz w:val="18"/>
          <w:szCs w:val="18"/>
          <w:color w:val="auto"/>
        </w:rPr>
        <w:t>If we need to replace an existing supplier due to lack of adequate supply, disagreements, bankruptcy or insolvency, the supplier’s inability to adhere to our supplier standards, or any other reason, there can be no assurance that supplies of raw materials will be available when required on acceptable terms or prices, or at all, or that a new supplier would allocate sufficient capacity to us in order to meet our requirements or fill our orders in a timely manner. Finding a new supplier may take a significant amount of time and resources, and once we have identified such new supplier, we would have to ensure that they meet our standards for quality and have the necessary technical capabilities, responsiveness, high-quality service and financial stability, among other things, as well as adhere to our standards (such as having satisfactory labor, sustainability and ethical practices that align with our values and mission). Prices of raw materials are also volatile and adding a new supplier may lead to greater sourcing costs which could in turn increase our cost of sales and reduce our potential profitability.</w:t>
      </w:r>
    </w:p>
    <w:p>
      <w:pPr>
        <w:spacing w:after="0" w:line="151" w:lineRule="exact"/>
        <w:rPr>
          <w:sz w:val="20"/>
          <w:szCs w:val="20"/>
          <w:color w:val="auto"/>
        </w:rPr>
      </w:pPr>
    </w:p>
    <w:p>
      <w:pPr>
        <w:ind w:right="120" w:firstLine="864"/>
        <w:spacing w:after="0" w:line="266" w:lineRule="auto"/>
        <w:rPr>
          <w:sz w:val="20"/>
          <w:szCs w:val="20"/>
          <w:color w:val="auto"/>
        </w:rPr>
      </w:pPr>
      <w:r>
        <w:rPr>
          <w:rFonts w:ascii="Times New Roman" w:cs="Times New Roman" w:eastAsia="Times New Roman" w:hAnsi="Times New Roman"/>
          <w:sz w:val="18"/>
          <w:szCs w:val="18"/>
          <w:color w:val="auto"/>
        </w:rPr>
        <w:t>Further, any changes in our supply could result in changes in the quality of our ingredients, as we are reliant on specific biological processes, which could be adversely affected by changes in the composition of our raw materials. If we are unable to manage our supply chain effectively and ensure that our products are available to meet consumer demand, our operating costs could increase and our profit margins could decrease.</w:t>
      </w:r>
    </w:p>
    <w:p>
      <w:pPr>
        <w:spacing w:after="0" w:line="135" w:lineRule="exact"/>
        <w:rPr>
          <w:sz w:val="20"/>
          <w:szCs w:val="20"/>
          <w:color w:val="auto"/>
        </w:rPr>
      </w:pPr>
    </w:p>
    <w:p>
      <w:pPr>
        <w:ind w:right="80" w:firstLine="864"/>
        <w:spacing w:after="0" w:line="254" w:lineRule="auto"/>
        <w:rPr>
          <w:sz w:val="20"/>
          <w:szCs w:val="20"/>
          <w:color w:val="auto"/>
        </w:rPr>
      </w:pPr>
      <w:r>
        <w:rPr>
          <w:rFonts w:ascii="Times New Roman" w:cs="Times New Roman" w:eastAsia="Times New Roman" w:hAnsi="Times New Roman"/>
          <w:sz w:val="18"/>
          <w:szCs w:val="18"/>
          <w:color w:val="auto"/>
        </w:rPr>
        <w:t>Additionally, the oats from which our products are sourced are vulnerable to adverse weather conditions and natural disasters, such as floods, droughts, frosts, earthquakes, hurricanes, pestilence, wildfires and other disease, which can adversely impact quantity and quality, leading to reduced oat yields and quality, which in turn could reduce the available supply of, or increase the price of, our raw materials. For example, severe heat and droughts in 2021 significantly reduced oat growth and production in Canada, the world’s biggest oat exporter. This has tightened the available oat supply and resulted in an increase in oat prices in the United States and globally. The monocultures that we use are also sensitive to diseases, pests, insects and other external forces, which could pose either short term effects, such as result in a bad harvest one year, or long-term effects, which could require new oat varieties to be grown. We may have general difficulties in obtaining raw materials, particularly oats, due to our high-quality standards. Our suppliers may also be susceptible to interruptions in their operations, including any disruption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or related response measures and any problems with our suppliers’ businesses, finances, labor relations, ability to import raw materials, costs, production, insurance and reputation, all of which could negatively impact our ability to obtain required quantities of oats in a timely manner, or at all, which could materially reduce our net product sales and have a material adverse effect on our business and financial condition. Further, any negative publicity regarding the supply of our oats and other raw materials we use, such as rapeseed and coconut oil, including as a result of disease or any other contamination issues, as well as any negative publicity around the way our competitors or others in our industry obtain similar raw materials, could impact customer and consumer perception of our products, even if these issues do not directly impact our products.</w:t>
      </w:r>
    </w:p>
    <w:p>
      <w:pPr>
        <w:spacing w:after="0" w:line="160" w:lineRule="exact"/>
        <w:rPr>
          <w:sz w:val="20"/>
          <w:szCs w:val="20"/>
          <w:color w:val="auto"/>
        </w:rPr>
      </w:pPr>
    </w:p>
    <w:p>
      <w:pPr>
        <w:ind w:right="300" w:firstLine="864"/>
        <w:spacing w:after="0" w:line="258" w:lineRule="auto"/>
        <w:rPr>
          <w:sz w:val="20"/>
          <w:szCs w:val="20"/>
          <w:color w:val="auto"/>
        </w:rPr>
      </w:pPr>
      <w:r>
        <w:rPr>
          <w:rFonts w:ascii="Times New Roman" w:cs="Times New Roman" w:eastAsia="Times New Roman" w:hAnsi="Times New Roman"/>
          <w:sz w:val="18"/>
          <w:szCs w:val="18"/>
          <w:color w:val="auto"/>
        </w:rPr>
        <w:t>There is also the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particularly for our oat suppliers, we may be subject to decreased availability or less favorable pricing for oats and other raw materials that are necessary for our products. Due to climate change, we may also be subjected to decreased availability of water, deteriorated quality of water or less favorable pricing for water, which could adversely impact our production and distribution operations.</w:t>
      </w:r>
    </w:p>
    <w:p>
      <w:pPr>
        <w:spacing w:after="0" w:line="143"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In addition, we also compete with other food companies in the procurement of oats and other raw materials, and this competition may increase in the future if consumer demand increases for these items or products containing them or if competitors increasingly offer products in these market sectors. If supplies of oats and other raw materials that meet our quality standards are reduced or are in greater demand, we may not be able to obtain sufficient supply to meet our needs on favorable terms, or at all.</w:t>
      </w:r>
    </w:p>
    <w:p>
      <w:pPr>
        <w:spacing w:after="0" w:line="139" w:lineRule="exact"/>
        <w:rPr>
          <w:sz w:val="20"/>
          <w:szCs w:val="20"/>
          <w:color w:val="auto"/>
        </w:rPr>
      </w:pPr>
    </w:p>
    <w:p>
      <w:pPr>
        <w:ind w:right="100" w:firstLine="864"/>
        <w:spacing w:after="0" w:line="258" w:lineRule="auto"/>
        <w:rPr>
          <w:sz w:val="20"/>
          <w:szCs w:val="20"/>
          <w:color w:val="auto"/>
        </w:rPr>
      </w:pPr>
      <w:r>
        <w:rPr>
          <w:rFonts w:ascii="Times New Roman" w:cs="Times New Roman" w:eastAsia="Times New Roman" w:hAnsi="Times New Roman"/>
          <w:sz w:val="18"/>
          <w:szCs w:val="18"/>
          <w:color w:val="auto"/>
        </w:rPr>
        <w:t>Our suppliers and the availability of oats and other raw materials may also be affected by the number and size of suppliers that grow oats and other raw materials that we use, changes in global economic conditions, such as inflation, and our ability to forecast our raw materials requirements. Many of these farmers also have alternative income opportunities and the relative financial performance of growing oats or other raw materials as compared to other potentially more profitable opportunities could affect their interest in working with us. Any of these factors could impact our ability to supply our products to customers and consumers and may adversely affect our business, financial condition and results of operations.</w:t>
      </w:r>
    </w:p>
    <w:p>
      <w:pPr>
        <w:spacing w:after="0" w:line="15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will require substantial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18" w:lineRule="exact"/>
        <w:rPr>
          <w:sz w:val="20"/>
          <w:szCs w:val="20"/>
          <w:color w:val="auto"/>
        </w:rPr>
      </w:pPr>
    </w:p>
    <w:p>
      <w:pPr>
        <w:ind w:right="40" w:firstLine="864"/>
        <w:spacing w:after="0" w:line="256" w:lineRule="auto"/>
        <w:rPr>
          <w:sz w:val="20"/>
          <w:szCs w:val="20"/>
          <w:color w:val="auto"/>
        </w:rPr>
      </w:pPr>
      <w:r>
        <w:rPr>
          <w:rFonts w:ascii="Times New Roman" w:cs="Times New Roman" w:eastAsia="Times New Roman" w:hAnsi="Times New Roman"/>
          <w:sz w:val="18"/>
          <w:szCs w:val="18"/>
          <w:color w:val="auto"/>
        </w:rPr>
        <w:t>Since our inception, substantially all our resources have been dedicated to the development of our products, including purchases of property, plant and equipment, manufacturing facility improvements and purchases of additional manufacturing equipment, as we have historically focused on growing our business. We have a history of experiencing, and expect to continue to experience, negative cash flow from operations, requiring us to finance operations through capital contributions and debt financing. We believe that we will require significant amounts of capital for the foreseeable future as we continue to grow and expand our production capacity and global footprint. These expenditures are expected to include costs associated with production and supply and research and development, as well as marketing and selling existing and new products. In addition, other unanticipated costs may arise.</w:t>
      </w:r>
    </w:p>
    <w:p>
      <w:pPr>
        <w:spacing w:after="0" w:line="147"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As at December 31, 2021, we had cash and cash equivalents of $295.6 million. Our cash and cash equivalents consist of cash in bank accounts and short-term deposits. In addition to cash and cash equivalents, we have short-term investments with low risk and high liquidity. The investment portfolio consists of funds, bonds and certificates in USD and SEK with a market value equivalent of $250 million. As of December 31, 2021, we had access to $391.1 million in undrawn bank facilities.</w:t>
      </w:r>
    </w:p>
    <w:p>
      <w:pPr>
        <w:spacing w:after="0" w:line="153" w:lineRule="exact"/>
        <w:rPr>
          <w:sz w:val="20"/>
          <w:szCs w:val="20"/>
          <w:color w:val="auto"/>
        </w:rPr>
      </w:pPr>
    </w:p>
    <w:p>
      <w:pPr>
        <w:ind w:right="160" w:firstLine="864"/>
        <w:spacing w:after="0" w:line="261" w:lineRule="auto"/>
        <w:rPr>
          <w:sz w:val="20"/>
          <w:szCs w:val="20"/>
          <w:color w:val="auto"/>
        </w:rPr>
      </w:pPr>
      <w:r>
        <w:rPr>
          <w:rFonts w:ascii="Times New Roman" w:cs="Times New Roman" w:eastAsia="Times New Roman" w:hAnsi="Times New Roman"/>
          <w:sz w:val="18"/>
          <w:szCs w:val="18"/>
          <w:color w:val="auto"/>
        </w:rPr>
        <w:t>Our operating plan may change because of factors currently unknown to us, and we may need to seek additional funds sooner than planned, through public or private equity or debt financings or other sources, such as strategic collaborations. Such financing may result in dilution to shareholders or new equity that we issue could have rights, preferences or privileges superior to those of our ADSs, or impose debt covenants and repayment obligations, or other restrictions that may adversely affect our business. In addition, we may seek additional capital due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market conditions or strategic considerations even if we believe we have sufficient funds for our current or future operating plans.</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360" w:lineRule="exact"/>
        <w:rPr>
          <w:sz w:val="20"/>
          <w:szCs w:val="20"/>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increase in demand for our products;</w:t>
      </w:r>
    </w:p>
    <w:p>
      <w:pPr>
        <w:spacing w:after="0" w:line="373" w:lineRule="exact"/>
        <w:rPr>
          <w:rFonts w:ascii="Times New Roman" w:cs="Times New Roman" w:eastAsia="Times New Roman" w:hAnsi="Times New Roman"/>
          <w:sz w:val="18"/>
          <w:szCs w:val="18"/>
          <w:color w:val="auto"/>
        </w:rPr>
      </w:pPr>
    </w:p>
    <w:p>
      <w:pPr>
        <w:ind w:left="1740" w:right="180" w:hanging="436"/>
        <w:spacing w:after="0" w:line="282" w:lineRule="auto"/>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complexity and characteristics of any additional products or manufacturing processes we develop or acquire to serve new or existing markets;</w:t>
      </w:r>
    </w:p>
    <w:p>
      <w:pPr>
        <w:spacing w:after="0" w:line="310" w:lineRule="exact"/>
        <w:rPr>
          <w:rFonts w:ascii="Times New Roman" w:cs="Times New Roman" w:eastAsia="Times New Roman" w:hAnsi="Times New Roman"/>
          <w:sz w:val="18"/>
          <w:szCs w:val="18"/>
          <w:color w:val="auto"/>
        </w:rPr>
      </w:pPr>
    </w:p>
    <w:p>
      <w:pPr>
        <w:ind w:left="1740" w:right="540" w:hanging="436"/>
        <w:spacing w:after="0" w:line="282" w:lineRule="auto"/>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future products or improvements to existing products or manufacturing processes;</w:t>
      </w:r>
    </w:p>
    <w:p>
      <w:pPr>
        <w:spacing w:after="0" w:line="310"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or significant product recalls;</w:t>
      </w:r>
    </w:p>
    <w:p>
      <w:pPr>
        <w:spacing w:after="0" w:line="37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into new markets through growth or acquisitions;</w:t>
      </w:r>
    </w:p>
    <w:p>
      <w:pPr>
        <w:spacing w:after="0" w:line="373" w:lineRule="exact"/>
        <w:rPr>
          <w:rFonts w:ascii="Times New Roman" w:cs="Times New Roman" w:eastAsia="Times New Roman" w:hAnsi="Times New Roman"/>
          <w:sz w:val="18"/>
          <w:szCs w:val="18"/>
          <w:color w:val="auto"/>
        </w:rPr>
      </w:pPr>
    </w:p>
    <w:p>
      <w:pPr>
        <w:ind w:left="1740" w:right="240" w:hanging="436"/>
        <w:spacing w:after="0" w:line="282" w:lineRule="auto"/>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our regulatory and legislative landscape, particularly with respect to advertising, product safety, product labeling and privacy;</w:t>
      </w:r>
    </w:p>
    <w:p>
      <w:pPr>
        <w:spacing w:after="0" w:line="310"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utilization of production facilities;</w:t>
      </w:r>
    </w:p>
    <w:p>
      <w:pPr>
        <w:spacing w:after="0" w:line="37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or supply chain disruptions;</w:t>
      </w:r>
    </w:p>
    <w:p>
      <w:pPr>
        <w:spacing w:after="0" w:line="37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products or commenced against us;</w:t>
      </w:r>
    </w:p>
    <w:p>
      <w:pPr>
        <w:spacing w:after="0" w:line="37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w:t>
      </w:r>
    </w:p>
    <w:p>
      <w:pPr>
        <w:spacing w:after="0" w:line="37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37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currency exchange rates;</w:t>
      </w:r>
    </w:p>
    <w:p>
      <w:pPr>
        <w:spacing w:after="0" w:line="373" w:lineRule="exact"/>
        <w:rPr>
          <w:rFonts w:ascii="Times New Roman" w:cs="Times New Roman" w:eastAsia="Times New Roman" w:hAnsi="Times New Roman"/>
          <w:sz w:val="18"/>
          <w:szCs w:val="18"/>
          <w:color w:val="auto"/>
        </w:rPr>
      </w:pPr>
    </w:p>
    <w:p>
      <w:pPr>
        <w:ind w:left="1740" w:right="540" w:hanging="436"/>
        <w:spacing w:after="0" w:line="312" w:lineRule="auto"/>
        <w:tabs>
          <w:tab w:leader="none" w:pos="17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involved in preparing and filing any patents, particularly due to the speed of our expansion, as well as prosecuting, maintaining, defending and enforcing patent claims, including litigation costs and the outcome of such litigation; and</w:t>
      </w:r>
    </w:p>
    <w:p>
      <w:pPr>
        <w:spacing w:after="0" w:line="288" w:lineRule="exact"/>
        <w:rPr>
          <w:rFonts w:ascii="Times New Roman" w:cs="Times New Roman" w:eastAsia="Times New Roman" w:hAnsi="Times New Roman"/>
          <w:sz w:val="17"/>
          <w:szCs w:val="17"/>
          <w:color w:val="auto"/>
        </w:rPr>
      </w:pPr>
    </w:p>
    <w:p>
      <w:pPr>
        <w:ind w:left="1740" w:hanging="43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future approved products, if any.</w:t>
      </w:r>
    </w:p>
    <w:p>
      <w:pPr>
        <w:spacing w:after="0" w:line="374"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310" w:lineRule="exact"/>
        <w:rPr>
          <w:sz w:val="20"/>
          <w:szCs w:val="20"/>
          <w:color w:val="auto"/>
        </w:rPr>
      </w:pPr>
    </w:p>
    <w:p>
      <w:pPr>
        <w:ind w:left="1740" w:right="40" w:hanging="436"/>
        <w:spacing w:after="0" w:line="282" w:lineRule="auto"/>
        <w:tabs>
          <w:tab w:leader="none" w:pos="1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increase our production capacity, launch new products or technology and expand our markets;</w:t>
      </w:r>
    </w:p>
    <w:p>
      <w:pPr>
        <w:spacing w:after="0" w:line="310"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supply chain, manufacturing, research and development activities; or</w:t>
      </w:r>
    </w:p>
    <w:p>
      <w:pPr>
        <w:spacing w:after="0" w:line="373" w:lineRule="exact"/>
        <w:rPr>
          <w:rFonts w:ascii="Times New Roman" w:cs="Times New Roman" w:eastAsia="Times New Roman" w:hAnsi="Times New Roman"/>
          <w:sz w:val="18"/>
          <w:szCs w:val="18"/>
          <w:color w:val="auto"/>
        </w:rPr>
      </w:pPr>
    </w:p>
    <w:p>
      <w:pPr>
        <w:ind w:left="1740" w:right="200" w:hanging="436"/>
        <w:spacing w:after="0" w:line="282" w:lineRule="auto"/>
        <w:tabs>
          <w:tab w:leader="none" w:pos="1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sales and marketing capabilities or other activities that may be necessary to generate revenue and achieve profitability.</w:t>
      </w:r>
    </w:p>
    <w:p>
      <w:pPr>
        <w:spacing w:after="0" w:line="30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primary components of all our products are manufactured in our six production facilities, and damage or disruption at these facilities has in the past harmed, and may in the future harm, our business.</w:t>
      </w:r>
    </w:p>
    <w:p>
      <w:pPr>
        <w:spacing w:after="0" w:line="118"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Significant portions of our operations are located in our six production facilities as of December 31, 2021. A natural disaster, extreme weather conditions, fire, power interruption, work stoppage, labor matters (including illness or absenteeism in workforce) or other calamity at any one of these facilities and any combination thereof would significantly disrupt our ability to deliver our products and operate our business. Further, there is a concern that carbon dioxide and other greenhouse gases in the atmosphere may have an adverse impact on the frequency and</w:t>
      </w:r>
    </w:p>
    <w:p>
      <w:pPr>
        <w:sectPr>
          <w:pgSz w:w="11900" w:h="16838" w:orient="portrait"/>
          <w:cols w:equalWidth="0" w:num="1">
            <w:col w:w="11200"/>
          </w:cols>
          <w:pgMar w:left="320" w:top="121" w:right="379" w:bottom="501" w:gutter="0" w:footer="0" w:header="0"/>
        </w:sect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501"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severity of such natural disasters and extreme weather conditions. In the future, we may also experience plant shutdowns or periods of reduced production because of regulatory issues, equipment failure, employee-related incidents that result in harm or death, delays in raw material deliveries or as a result of the COVID-19 pandemic or related response measures. Any such disruption or unanticipated event may cause significant interruptions or delays in our business and the reduction or loss of inventory may render us unable to fulfill customer orders in a timely manner, or at all, and may result in lawsuits. To date, other than the closure of our Vlissingen facility in mid-April 2021 for a few days, we have not closed any of our production facilities in response to the COVID-19 pandemic. However, we have previously experienced delays in the construction of our facilities in Singapore and Ogden and the expansion of our facility in Vlissingen as a result of COVID-19 and the difficulty in sourcing new or spare parts for such facilities’ equipment. There have been additional delays in our Ogden factory compounded by the COVID-19 pandemic. We have also encountered difficulties in bringing our EMEA technical team to our Singapore and Ma’anshan facility due to the COVID-19 pandemic. There can be no assurance that there will not be closures or additional delays in the future as a result of the COVID-19 pandemic or sourcing difficulties.</w:t>
      </w:r>
    </w:p>
    <w:p>
      <w:pPr>
        <w:spacing w:after="0" w:line="167"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If any material amount of our machinery or inventory were damaged, we would be unable to meet our contractual obligations and cannot predict when, if at all, we could replace or repair such machinery, which could materially adversely affect our business, financial condition and results of operations. We have property and business disruption insurance in place for all of our facilities; however, such insurance coverage may not be sufficient to cover all of our potential losses and may not continue to be available to us on acceptable terms, or at all.</w:t>
      </w:r>
    </w:p>
    <w:p>
      <w:pPr>
        <w:spacing w:after="0" w:line="13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brand and reputation may be harmed due to real or perceived quality, food safety, or sustainability issues with our products, which could have an adverse effect on our business, reputation, financial condition and results of operations.</w:t>
      </w:r>
    </w:p>
    <w:p>
      <w:pPr>
        <w:spacing w:after="0" w:line="118"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We believe our consumers rely on us to provide them with high-quality plant-based products. Therefore, any real or perceived quality or food safety concerns or failures to comply with applicable food regulations and requirements or concerns associated with the sustainability characteristics of our products, whether or not ultimately based on fact and whether or not involving us (such as incidents involving our competitors), could cause negative publicity and reduced confidence in our company, brand or products, which could in turn harm our reputation and sales, and could materially adversely affect our business, financial condition and results of operations. Although we believe we have a rigorous quality control process, there can be no assurance that our products will always comply with the standards or expectations set for our products. For example, although we strive to keep our products free of pathogenic organisms or foreign materials, they may not be easily detected and cross-contamination can occur. There is no assurance that this health risk will always be preempted by our quality control processes. Additionally, we contract with co-manufacturers and co-packers, which may experience food quality or food safety issues for our products.</w:t>
      </w:r>
    </w:p>
    <w:p>
      <w:pPr>
        <w:spacing w:after="0" w:line="161"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In addition, we are subject to a series of complex and changing food laws and regulations which could impact the way consumers view our products. For example, new labeling laws might require us to list certain ingredients in a different way than we used in the past and that could confuse our consumers into thinking we may use different types of ingredients than they originally thought or that the quality of our ingredients is different to what they anticipated. Further, the development of food laws and regulations could make it more difficult for us to realize our goals of achieving a more integrated global supply chain due to the differences in regulations around the world.</w:t>
      </w:r>
    </w:p>
    <w:p>
      <w:pPr>
        <w:spacing w:after="0" w:line="143"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Further, concerns about sustainability issues (including climate change, environmental, and corporate responsibility matters), including disclosures related to sustainability issues, might cause consumer preferences to switch away from our products. Furthermore, we might fail to effectively address increased attention from the media, shareholders, activists and other stakeholders on sustainability matters, including land use, water use, greenhouse gas emissions, packaging, and broader corporate responsibility matters.</w:t>
      </w:r>
    </w:p>
    <w:p>
      <w:pPr>
        <w:spacing w:after="0" w:line="139"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Additionally, we have no control over our products once purchased by consumers. Accordingly, consumers may store our products improperly or for long periods of time, which may adversely affect the quality and safety of our products. While we have procedures in place to handle consumer questions and complaints, there can be no assurance that our responses will be satisfactory to consumers, which could harm our reputation. If consumers do not perceive our products to be safe or of high quality as a result of such actions outside our control or if they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believe that we did not respond to a complaint in a satisfactory manner, then the value of our brand would be diminished, and our reputation, business, financial condition and results of operations would be adversely affected.</w:t>
      </w:r>
    </w:p>
    <w:p>
      <w:pPr>
        <w:spacing w:after="0" w:line="135"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color w:val="auto"/>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products and may significantly reduce our brand value. Issues regarding the safety of any of our products, regardless of the cause, may adversely affect our business, financial condition and results of operations.</w:t>
      </w:r>
    </w:p>
    <w:p>
      <w:pPr>
        <w:spacing w:after="0" w:line="13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incidents or other safety concerns have led to product recalls, and may materially adversely affect our business by exposing us to lawsuits or regulatory enforcement actions in the future, increasing our operating costs and reducing demand for our product offerings.</w:t>
      </w:r>
    </w:p>
    <w:p>
      <w:pPr>
        <w:spacing w:after="0" w:line="118" w:lineRule="exact"/>
        <w:rPr>
          <w:sz w:val="20"/>
          <w:szCs w:val="20"/>
          <w:color w:val="auto"/>
        </w:rPr>
      </w:pPr>
    </w:p>
    <w:p>
      <w:pPr>
        <w:ind w:right="60" w:firstLine="864"/>
        <w:spacing w:after="0" w:line="254" w:lineRule="auto"/>
        <w:rPr>
          <w:sz w:val="20"/>
          <w:szCs w:val="20"/>
          <w:color w:val="auto"/>
        </w:rPr>
      </w:pPr>
      <w:r>
        <w:rPr>
          <w:rFonts w:ascii="Times New Roman" w:cs="Times New Roman" w:eastAsia="Times New Roman" w:hAnsi="Times New Roman"/>
          <w:sz w:val="18"/>
          <w:szCs w:val="18"/>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co-packers or co-manufacturers, could result in the discontinuance of sales of these products or our relationships with such suppliers and co-manufacturers, or otherwise result in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would have to be paid from our cash reserves, which would reduce our capital resources.</w:t>
      </w:r>
    </w:p>
    <w:p>
      <w:pPr>
        <w:spacing w:after="0" w:line="165"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The occurrence of food-borne illnesses or other food safety incidents could also adversely affect the price and availability of affected ingredients and raw materials, resulting in higher costs, disruptions in supply and a reduction in our sales. For example, some of our co-packing or co-manufacturing is done in facilities in the presence of multiple allergens, requiring additional efforts for us to confirm that there are no allergens contained in our products produced in such facilities. Additional testing to confirm the presence of allergens increases our costs, as well as the risks to our reputation and brand should we inadvertently fail to detect any allergens. Furthermore, any instances of food contamination or regulatory noncompliance, whether or not caused by our actions, could compel us, our suppliers, our co-manufacturers, our distributors or our customers, depending on the circumstances, to conduct a recall in accordance with United States Food and Drug Administration (the “FDA”) regulations, People’s Republic of China Food Safety Law and the Administrative Measures for Food Recall, EU regulations and comparable state laws and regulations in the other jurisdictions in which we operate. For example, in November 2021, we announced that we initiated a recall, as a precaution, in Sweden for around 500 units of our Vaniljsås (vanilla sauce) products. We notified relevant distributors and retailers and worked closely with local regulators to ensure continued safety and product quality. The recall initiated in November 2021 did not have a material impact on our revenue results for the year ended December 31, 2021. However, a similar recall in the future may have a material adverse effect on our results of operations and financial condition.</w:t>
      </w:r>
    </w:p>
    <w:p>
      <w:pPr>
        <w:spacing w:after="0" w:line="149" w:lineRule="exact"/>
        <w:rPr>
          <w:sz w:val="20"/>
          <w:szCs w:val="20"/>
          <w:color w:val="auto"/>
        </w:rPr>
      </w:pPr>
    </w:p>
    <w:p>
      <w:pPr>
        <w:ind w:right="80" w:firstLine="864"/>
        <w:spacing w:after="0" w:line="256" w:lineRule="auto"/>
        <w:rPr>
          <w:sz w:val="20"/>
          <w:szCs w:val="20"/>
          <w:color w:val="auto"/>
        </w:rPr>
      </w:pPr>
      <w:r>
        <w:rPr>
          <w:rFonts w:ascii="Times New Roman" w:cs="Times New Roman" w:eastAsia="Times New Roman" w:hAnsi="Times New Roman"/>
          <w:sz w:val="18"/>
          <w:szCs w:val="18"/>
          <w:color w:val="auto"/>
        </w:rPr>
        <w:t>Future food recalls could result in significant losses due to their associated costs, the destruction of product inventory, lost sales due to the unavailability of the product for a period of time and potential loss of existing distributors and a potential negative impact on our ability to attract new customers and maintain our current customer base due to negative consumer experiences or because of an adverse impact on our brand and reputation. We are particularly vulnerable to the impacts of allergen contaminations because a sizable amount of our target customer base is sensitive to certain food products, such as dairy and soy, and they purchase our products since they are free from such allergens. The costs of a recall could exceed or be outside the scope of our existing or future insurance policy coverage or limits.</w:t>
      </w:r>
    </w:p>
    <w:p>
      <w:pPr>
        <w:spacing w:after="0" w:line="147"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In addition to the recall risk, like other food companies, we could be a target for product tampering. Forms of tampering could include the introduction of foreign material, chemical contaminants and pathological organisms into consumer products as well as product substitution. The FDA enforces laws and regulations, such as the Food Safety Modernization Act, that require companies like us to analyze, prepare and implement mitigation strategies specifically to address tampering designed to inflict widespread public health harm. In the EU, our operations are also subject to a number of EU and EU member state regulations, in particular Regulation (EC) No 178/2002 laying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down the general principles and requirements of food law, establishing the European Food Safety Authority (“EFSA”) and laying down procedures in matters of food safety. The regulation sets forth essential requirements such as food safety and traceability requirements and a food operator’s responsibilities. Food business operators must at all stages of production, processing and distribution within the businesses under their control ensure that foods satisfy the requirements of food law, in particular as to food safety. If we do not adequately address the possibility, or any actual instance, of product tampering, we could face possible seizure or recall of our products and the imposition of civil or criminal sanctions, which could materially adversely affect our business, financial condition and results of operations. In the EU, Regulation (EU) No 2017/625 of March 15, 2017 provides the general framework for official controls and other official activities, either at EU or member state level, to ensure the application of food law including with respect to food safety.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in our highly competitive market.</w:t>
      </w:r>
    </w:p>
    <w:p>
      <w:pPr>
        <w:spacing w:after="0" w:line="189" w:lineRule="exact"/>
        <w:rPr>
          <w:sz w:val="20"/>
          <w:szCs w:val="20"/>
          <w:color w:val="auto"/>
        </w:rPr>
      </w:pPr>
    </w:p>
    <w:p>
      <w:pPr>
        <w:ind w:right="100" w:firstLine="864"/>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market. Numerous brands and products compete for limited retail, coffee shop, foodservice and restaurant customers and consumers. In our market, competition is based on, among other things, brand equity and consumer relationships, consumer trends, product experience (including taste, functionality and texture), nutritional profile and dietary attributes, sustainability of our products, including our supply chain (including raw materials), quality and type of ingredients, distribution and product availability, pricing pressure and competitiveness and product packaging. If we produce products with a slightly different taste or texture consumers may not purchase or use our products and we may not be able to sell all or some of our remaining inventory and may be required to write off excess or obsolete inventory.</w:t>
      </w:r>
    </w:p>
    <w:p>
      <w:pPr>
        <w:spacing w:after="0" w:line="147"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We compete with conventional dairy companies and brands, including Danone, Lactalis, Fonterra, Arla Foods, Chobani, Dean Foods, and Lactaid (owned by Johnson &amp; Johnson), many of whom may have substantially greater financial and other resources than us and whose dairy products are well accepted in the marketplace today. They may also have lower operational costs and higher gross margins, and as a result, may be able to offer conventional dairy products to customers at lower costs than plant-based products. This could cause us to lower our prices in order to compete, resulting in lower profitability or, in the alternative, cause us to lose market share if we fail to lower prices.</w:t>
      </w:r>
    </w:p>
    <w:p>
      <w:pPr>
        <w:spacing w:after="0" w:line="156"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We also compete with other consumer product companies that develop and sell plant-based products, including oat, but also almond, soy, cashew and hemp dairy alternatives, among others. Competitors include Blue Diamond Growers, Califia Farms, Planet Oat, Ripple Foods and Ecotone, but also potential new competitors entering our category that may be more innovative, have more resources and be able to bring new products to market faster or at a lower cost and to more quickly exploit and serve niche markets. Given our focus on international expansion, competitors who are only present in certain markets may be able to move more quickly than we do. Additionally, we may face new competition from emerging non-animal based dairy products or other non-dairy crop-based products that could compete effectively with our products.</w:t>
      </w:r>
    </w:p>
    <w:p>
      <w:pPr>
        <w:spacing w:after="0" w:line="147"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We compete with these competitors for retail customers (including grocery stores and supermarkets), foodservice customers (including coffee shops, cafes, restaurants and fast food) and e-commerce (both direct-to-consumer and through third-party platforms) customers. Consumers tend to focus on price as one of the key drivers behind their purchase of food and beverages, and consumers will only pay a premium price for a product that they believe is of premium quality and value. In order for us to not only maintain our market position, but also to continue to grow and acquire more consumers, some of which may be switching from traditional dairy to plant-based alternatives, we must continue to provide delicious, high-quality products, and consumers must believe in our vision for a food system that is better for people and the planet.</w:t>
      </w:r>
    </w:p>
    <w:p>
      <w:pPr>
        <w:spacing w:after="0" w:line="147"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Conventional food companies, which are generally multinational corporations with substantially greater resources and operations than us, may acquire our competitors or launch their own plant-based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dairy cases to effectively compete with traditional dairy products. Competitive pressures or other factors, such as high inflation, could cause us to lose market share, which may require us to lower prices, or increase prices to offset inflationary pressures, which could lead our customers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turn to our competitors, increase marketing and advertising expenditures, or increase the use of discounting or promotional campaigns each of which could adversely affect our margins and our business, financial condition and results of operations. See Item 4.B. “</w:t>
      </w:r>
      <w:r>
        <w:rPr>
          <w:rFonts w:ascii="Times New Roman" w:cs="Times New Roman" w:eastAsia="Times New Roman" w:hAnsi="Times New Roman"/>
          <w:sz w:val="18"/>
          <w:szCs w:val="18"/>
          <w:i w:val="1"/>
          <w:iCs w:val="1"/>
          <w:color w:val="auto"/>
        </w:rPr>
        <w:t>Information on the Company—Business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Overview—Competition</w:t>
      </w:r>
      <w:r>
        <w:rPr>
          <w:rFonts w:ascii="Times New Roman" w:cs="Times New Roman" w:eastAsia="Times New Roman" w:hAnsi="Times New Roman"/>
          <w:sz w:val="18"/>
          <w:szCs w:val="18"/>
          <w:color w:val="auto"/>
        </w:rPr>
        <w:t>” for more information.</w:t>
      </w:r>
    </w:p>
    <w:p>
      <w:pPr>
        <w:spacing w:after="0" w:line="1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oatmilk varieties contribute a significant portion of our revenue. A reduction in sales of our oatmilk varieties would have an adverse effect on our financial condition.</w:t>
      </w:r>
    </w:p>
    <w:p>
      <w:pPr>
        <w:spacing w:after="0" w:line="118"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Our oatmilk accounted for approximately 91% and 90% of our revenue in the years ended December 31, 2021 and 2020, respectively. Our oatmilk has been the focal point of our development and marketing efforts, as part of our strategy when entering new markets is to introduce our Barista Edition variety of oatmilk before we expand our product offerings and sales channels. As a result, we prioritize the production of our oatmilk over our other products, which could hinder our ability to provide new products in a timely manner, or at all, which could adversely affect our reputation, brand and business. We believe that sales of our oatmilk will continue to constitute a majority of our revenue, income and cash flow for the foreseeable future. Additionally, our oatmilk varieties have different pricing structures that vary by distribution channel and end market, which subjects us to the risk of overly relying upon a single large customer or a particular market. We cannot be certain that we will be able to continue to expand production and distribution of our oatmilk or that customer demand for our other existing and future products will expand to allow such products to represent a larger percentage of our revenue than they do currently. Accordingly, any factor adversely affecting sales of our oatmilk could have a material adverse effect on our business, financial condition and results of operations.</w:t>
      </w:r>
    </w:p>
    <w:p>
      <w:pPr>
        <w:spacing w:after="0" w:line="1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expand our processing, manufacturing and production capacity, as we continue to grow and scale our business to a steady operating level, our business, results of operations and our brand reputation could be harmed.</w:t>
      </w:r>
    </w:p>
    <w:p>
      <w:pPr>
        <w:spacing w:after="0" w:line="132" w:lineRule="exact"/>
        <w:rPr>
          <w:sz w:val="20"/>
          <w:szCs w:val="20"/>
          <w:color w:val="auto"/>
        </w:rPr>
      </w:pPr>
    </w:p>
    <w:p>
      <w:pPr>
        <w:ind w:right="40" w:firstLine="864"/>
        <w:spacing w:after="0" w:line="253" w:lineRule="auto"/>
        <w:rPr>
          <w:sz w:val="20"/>
          <w:szCs w:val="20"/>
          <w:color w:val="auto"/>
        </w:rPr>
      </w:pPr>
      <w:r>
        <w:rPr>
          <w:rFonts w:ascii="Times New Roman" w:cs="Times New Roman" w:eastAsia="Times New Roman" w:hAnsi="Times New Roman"/>
          <w:sz w:val="18"/>
          <w:szCs w:val="18"/>
          <w:color w:val="auto"/>
        </w:rPr>
        <w:t>Our current supply, processing and manufacturing capabilities are insufficient to meet global demand, and we need to expand these capabilities further as we continue to grow and scale our business. There is risk in our ability to effectively scale production and processing and effectively manage our supply chain requirements. We must accurately forecast long-term demand for our products in order to ensure we have adequate available processing and manufacturing capacity. Our forecasts are based on multiple assumptions that may cause our estimates to be inaccurate and affect our ability to obtain adequate processing and manufacturing capacities (whether our own processing and manufacturing capacities or co-processing and co-manufacturing capacities) in order to meet the demand for our products, which could prevent us from meeting increased customer demand. Additionally, as we expand our product portfolio, we must develop additional production solutions for new products, including expanding our use of raw ingredients beyond oats, such as pea protein, which may be difficult to integrate into our current production processes and could cause delays. If we are unable to fulfill orders in a timely manner, or at all, our reputation, brand and business could be harmed, as such failure could result in a loss of distribution channels, a delay in customer acquisition plans, limited innovation launches and loss of competitive opportunities. If we fail to meet demand for our products and, as a result, consumers who have previously purchased our products buy other brands or our retailers allocate shelf space to other brands, our business, financial condition and results of operations could be adversely affected.</w:t>
      </w:r>
    </w:p>
    <w:p>
      <w:pPr>
        <w:spacing w:after="0" w:line="149" w:lineRule="exact"/>
        <w:rPr>
          <w:sz w:val="20"/>
          <w:szCs w:val="20"/>
          <w:color w:val="auto"/>
        </w:rPr>
      </w:pPr>
    </w:p>
    <w:p>
      <w:pPr>
        <w:ind w:right="100" w:firstLine="864"/>
        <w:spacing w:after="0" w:line="255" w:lineRule="auto"/>
        <w:rPr>
          <w:sz w:val="20"/>
          <w:szCs w:val="20"/>
          <w:color w:val="auto"/>
        </w:rPr>
      </w:pPr>
      <w:r>
        <w:rPr>
          <w:rFonts w:ascii="Times New Roman" w:cs="Times New Roman" w:eastAsia="Times New Roman" w:hAnsi="Times New Roman"/>
          <w:sz w:val="18"/>
          <w:szCs w:val="18"/>
          <w:color w:val="auto"/>
        </w:rPr>
        <w:t>Our plans for addressing demand for our products include expanding operations at our facilities in Landskrona, Vlissingen, Millville, Ogden, Ma’anshan, and Singapore while constructing or in the planning stages to build additional facilities, such as our new facilities in Dallas-Fort Worth, Texas, Peterborough, the United Kingdom and China (Asia III). Nevertheless, it has been difficult to procure equipment and materials to our new facilities. Our expansion efforts may therefore take longer or prove more expensive than we anticipate, including taking a longer time for each facility to reach a steady state of production. To facilitate this expansion and increase in production, we may be unable to hire and retain skilled employees, obtain the necessary raw materials or process oats or finished goods sufficiently, which could severely hamper our expansion plans, product development and manufacturing efforts.</w:t>
      </w:r>
    </w:p>
    <w:p>
      <w:pPr>
        <w:spacing w:after="0" w:line="148" w:lineRule="exact"/>
        <w:rPr>
          <w:sz w:val="20"/>
          <w:szCs w:val="20"/>
          <w:color w:val="auto"/>
        </w:rPr>
      </w:pPr>
    </w:p>
    <w:p>
      <w:pPr>
        <w:ind w:right="140" w:firstLine="864"/>
        <w:spacing w:after="0" w:line="266" w:lineRule="auto"/>
        <w:rPr>
          <w:sz w:val="20"/>
          <w:szCs w:val="20"/>
          <w:color w:val="auto"/>
        </w:rPr>
      </w:pPr>
      <w:r>
        <w:rPr>
          <w:rFonts w:ascii="Times New Roman" w:cs="Times New Roman" w:eastAsia="Times New Roman" w:hAnsi="Times New Roman"/>
          <w:sz w:val="18"/>
          <w:szCs w:val="18"/>
          <w:color w:val="auto"/>
        </w:rPr>
        <w:t>We are also subject to the risk that as we continue to expand, our trade secrets, confidential information and the know-how related to our oat base and other proprietary products could be leaked, intentionally or unintentionally, misappropriated or stolen, which could have an adverse effect on our business and results of operations. As we continue to expand our production facilities around the world, we may need to put in place further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legal, technological and other measures to ensure that our trade secrets, confidential information and know-how are adequately protected, which could result in increased costs.</w:t>
      </w:r>
    </w:p>
    <w:p>
      <w:pPr>
        <w:spacing w:after="0" w:line="135" w:lineRule="exact"/>
        <w:rPr>
          <w:sz w:val="20"/>
          <w:szCs w:val="20"/>
          <w:color w:val="auto"/>
        </w:rPr>
      </w:pPr>
    </w:p>
    <w:p>
      <w:pPr>
        <w:ind w:right="280" w:firstLine="864"/>
        <w:spacing w:after="0" w:line="266" w:lineRule="auto"/>
        <w:rPr>
          <w:sz w:val="20"/>
          <w:szCs w:val="20"/>
          <w:color w:val="auto"/>
        </w:rPr>
      </w:pPr>
      <w:r>
        <w:rPr>
          <w:rFonts w:ascii="Times New Roman" w:cs="Times New Roman" w:eastAsia="Times New Roman" w:hAnsi="Times New Roman"/>
          <w:sz w:val="18"/>
          <w:szCs w:val="18"/>
          <w:color w:val="auto"/>
        </w:rPr>
        <w:t>On the other hand, if we overestimate our demand and overbuild our capacity, we may have significantly underutilized assets and may experience reduced margins. If we do not accurately align our processing and manufacturing capabilities with demand, our business, financial condition and results of operations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by our logistics providers to deliver our products on time, or at all, could result in lost sales.</w:t>
      </w:r>
    </w:p>
    <w:p>
      <w:pPr>
        <w:spacing w:after="0" w:line="189"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We currently rely upon third-party logistics providers for the distribution of our products. Our utilization of third parties for distribution and transportation handling is subject to risks, including increases in fuel prices, which would increase our shipping costs, and labor matters (including illness or absenteeism in workforce), port, transportation and distribution delays or interruptions, inclement weather or other disruptions, including as a result of the COVID-19 pandemic, any of which may impact the ability of these providers to provide distribution services that adequately meet our needs. For example, we currently import all our products into the United Kingdom while we build new production facilities in the country. If any of our third-party logistics providers were to fail to distribute our products to our customers in this region, this could have a material adverse effect on our relationship with our customers in the United Kingdom, which could harm our brand and reputation, and as a result, would have an adverse effect on our business and results of operations. If we were to change distribution companies, we could face logistical difficulties that could adversely affect deliveries and could incur costs and expend resources in connection with such change. Moreover, we may not be able to obtain terms as favorable as those we receive from the third-party logistics providers that we currently use, which in turn would increase our costs and thereby may adversely affect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ramp up operations at any of our new facilities, or these facilities may not operate in accordance with our expectations.</w:t>
      </w:r>
    </w:p>
    <w:p>
      <w:pPr>
        <w:spacing w:after="0" w:line="189" w:lineRule="exact"/>
        <w:rPr>
          <w:sz w:val="20"/>
          <w:szCs w:val="20"/>
          <w:color w:val="auto"/>
        </w:rPr>
      </w:pPr>
    </w:p>
    <w:p>
      <w:pPr>
        <w:ind w:right="60" w:firstLine="864"/>
        <w:spacing w:after="0" w:line="255" w:lineRule="auto"/>
        <w:rPr>
          <w:sz w:val="20"/>
          <w:szCs w:val="20"/>
          <w:color w:val="auto"/>
        </w:rPr>
      </w:pPr>
      <w:r>
        <w:rPr>
          <w:rFonts w:ascii="Times New Roman" w:cs="Times New Roman" w:eastAsia="Times New Roman" w:hAnsi="Times New Roman"/>
          <w:sz w:val="18"/>
          <w:szCs w:val="18"/>
          <w:color w:val="auto"/>
        </w:rPr>
        <w:t>We recently commenced manufacturing operations in new facilities in Singapore, Ma’anshan, China and Ogden, Utah, and we expect to open more facilities in the future to further increase our production capacity. Any substantial delay in bringing any of our new facilities up to full production on the projected schedule would put pressure on the rest of our business operations to meet demand and production schedules and may hinder our ability to produce all the product needed to meet orders and/or achieve our expected financial performance. Opening new facilities has required, and will continue to require, additional capital expenditures and the efforts and attention of our management and other personnel, which has and will continue to divert resources from our existing business or operations. Even if our new facilities are brought up to full production according to our projected schedule, they may not provide us with all the operational and financial benefits we expect to receive.</w:t>
      </w:r>
    </w:p>
    <w:p>
      <w:pPr>
        <w:spacing w:after="0" w:line="148"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Our facilities and the manufacturing equipment we use to produce our products is costly to replace or repair and may require substantial lead-time to do so. Suppliers that provide spare parts and external service engineers for maintenance, repairs and calibration face risks of disruption or disturbance to their businesses, including as a result of the COVID-19 pandemic or other related factors, which may lead to disruption in our production. In addition, our ability to procure new processing and packaging equipment may face more lengthy lead times than is typical. We may also not be able to find suitable alternatives with co-manufacturers to replace the output from such equipment on a timely basis and at a reasonable cost. If we are not able to successfully ramp up operations at any of our new facilities and increase production, our business, financial condition and results of operations could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our brand, our business could suffer.</w:t>
      </w:r>
    </w:p>
    <w:p>
      <w:pPr>
        <w:spacing w:after="0" w:line="189" w:lineRule="exact"/>
        <w:rPr>
          <w:sz w:val="20"/>
          <w:szCs w:val="20"/>
          <w:color w:val="auto"/>
        </w:rPr>
      </w:pPr>
    </w:p>
    <w:p>
      <w:pPr>
        <w:ind w:right="100" w:firstLine="864"/>
        <w:spacing w:after="0" w:line="256" w:lineRule="auto"/>
        <w:rPr>
          <w:sz w:val="20"/>
          <w:szCs w:val="20"/>
          <w:color w:val="auto"/>
        </w:rPr>
      </w:pPr>
      <w:r>
        <w:rPr>
          <w:rFonts w:ascii="Times New Roman" w:cs="Times New Roman" w:eastAsia="Times New Roman" w:hAnsi="Times New Roman"/>
          <w:sz w:val="18"/>
          <w:szCs w:val="18"/>
          <w:color w:val="auto"/>
        </w:rPr>
        <w:t>We have developed a strong and trusted brand that has contributed significantly to the success of our business, and we believe our continued success depends on our ability to maintain and grow the value of the Oatly brand. Maintaining, promoting and positioning our brand and reputation will depend on, among other factors, the success of our plant-based product offerings, food safety, quality assurance, sustainability, marketing and merchandising efforts and our ability to provide a consistent, high-quality customer experience. Any negative publicity, complaints or litigation regardless of its accuracy, or any litigation or regulatory investigation associated with sustainability, marketing and merchandising efforts associated with our products, regardless of the outcome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litigation or investigation, could materially adversely affect our business. The growing use of social and digital media by us, our consumers and third parties, increases the speed and extent that information or misinformation and opinions can be shared. Negative publicity about us, our brand or our products on social or digital media could seriously damage our brand and reputation. For example, consumer perception could be influenced by negative media attention regarding our management team, ownership structure and our products or brand, such as any advertising or media campaigns that challenge the nutritional content or sustainability of our products or our marketing efforts regarding the quality or sustainability of our products, and any negative publicity regarding the plant-based food industry as a whole could have an adverse effect on our business, brand and reputation.</w:t>
      </w:r>
    </w:p>
    <w:p>
      <w:pPr>
        <w:spacing w:after="0" w:line="160" w:lineRule="exact"/>
        <w:rPr>
          <w:sz w:val="20"/>
          <w:szCs w:val="20"/>
          <w:color w:val="auto"/>
        </w:rPr>
      </w:pPr>
    </w:p>
    <w:p>
      <w:pPr>
        <w:ind w:right="40" w:firstLine="864"/>
        <w:spacing w:after="0" w:line="253" w:lineRule="auto"/>
        <w:rPr>
          <w:sz w:val="20"/>
          <w:szCs w:val="20"/>
          <w:color w:val="auto"/>
        </w:rPr>
      </w:pPr>
      <w:r>
        <w:rPr>
          <w:rFonts w:ascii="Times New Roman" w:cs="Times New Roman" w:eastAsia="Times New Roman" w:hAnsi="Times New Roman"/>
          <w:sz w:val="18"/>
          <w:szCs w:val="18"/>
          <w:color w:val="auto"/>
        </w:rPr>
        <w:t>We have also historically engaged in provocative and unconventional marketing and advertising campaigns as part of our marketing strategy to enhance and maintain our brand, which may expose us to lawsuits and heightened scrutiny from regulators in the markets in which we operate, as well as interest groups, such as dairy lobbyists. For example, in 2014, the Swedish dairy lobby, then Svensk Mjölk ek. för., sued us for an advertising campaign that the courts found was misleading and disparaging of dairy products. The decision resulted in a ban on our further use of a number of expressions marketing our products in Sweden, under the penalty of liquidated damages of SEK 2 million per expression. More generally, cultures around the world have historically viewed dairy products and farmers as a fundamental part of the food system, and as a result, the plant-based industry’s challenges, and particularly our challenges, to this perception could result in protective measures being taken against any competitors against dairy. There can be no assurance that the provocative tone of our marketing campaigns will not provoke actions by dairy proponents and others that are against the plant-based movement, such as the damaging of our products or facilities. As we continue to challenge consumer perceptions around dairy and other animal products compared to our plant-based alternatives (including in relation to sustainability characteristics of our products), we currently face, and expect to continue to face, greater scrutiny from all stakeholders (which may include opposition from such dairy proponent interest groups and others), which could, if successful, materially adversely affect our business, financial condition and results of operations.</w:t>
      </w:r>
    </w:p>
    <w:p>
      <w:pPr>
        <w:spacing w:after="0" w:line="149"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We also rely heavily on our creative team to develop and maintain our brand. We have invested significant time and resources into creating a unique voice that speaks to consumers in a way that we believe no other competitor has been able to achieve, such as custom artwork that would be difficult to replicate, and this voice is and continues to be a crucial part of our growth strategy. If we were to lose any key individual on our creative team, it may be difficult and time consuming to replace such employee, and any new hire may not be as effective, which could have a material adverse effect on our business, financial condition and results of operations.</w:t>
      </w:r>
    </w:p>
    <w:p>
      <w:pPr>
        <w:spacing w:after="0" w:line="143"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Our brand is very important to our vision and growth strategies, particularly our focus on being a “good company” and promoting sustainability both as a company and across the foodservice industry. We will need to continue to maintain and enhance our brand and adjust our offerings to appeal to a broader audience in the future to sustain our growth, and there can be no assurance that we will be able to do so. If we do not maintain the favorable perception of our brand, our sales and profits could be negatively impacted. Brand value is based on perceptions of subjective qualities, and any incident that erodes the loyalty of our customers, suppliers or co-manufacturers, including adverse publicity or a governmental investigation or litigation, could significantly reduce the value of our brand and significantly damage our business, which would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introduce new products or successfully improve existing products may adversely affect our ability to continue to grow.</w:t>
      </w:r>
    </w:p>
    <w:p>
      <w:pPr>
        <w:spacing w:after="0" w:line="189"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8"/>
          <w:szCs w:val="18"/>
          <w:color w:val="auto"/>
        </w:rPr>
        <w:t>A key element of our growth strategy depends on our ability to develop and market new products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including complying with applicable governmental regulations, the ability to obtain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introducing and marketing new products. Our innovation staff are continuously testing alternative formulations, ingredients and process technologies to those we currently use in our products, as they seek to find additional options to our current ingredients that are more easily sourced or will help to improve our carbon footprint, and which retain and build upon the quality and appeal of our current product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offerings. Given the complex nature of our products, our development of any new products requires extensive research and development and may take longer to develop than comparable dairy products or less complex plant-based alternatives. Failure to develop and market new products that appeal to consumers may lead to a decrease in our growth, sales and profitability.</w:t>
      </w:r>
    </w:p>
    <w:p>
      <w:pPr>
        <w:spacing w:after="0" w:line="149"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Additionally, the development and introduction of new products requires substantial research, development and marketing expenditures, which we may be unable to recoup if the new products do not gain widespread market acceptance. Further, the development of new products is constrained by our production capacity and is subject to our research and development team’s technical capabilities and developments in plant-based food science. It is also constrained by our financial resources. Our competitors also may obtain patents or other similar protected formulas that may hinder our ability to develop new products or enter new categories, which could have a material adverse effect on our growth. Production capacity constraints, which are a consequence of our rapid growth, of our Barista Edition oatmilk significantly affects, and may continue to affect, our ability to develop and launch new products and enter new product categories due to the unavailability of factory space to test and ensure the quality of new products. If we cannot build enough capacity and production facilities to enable us to expand our product portfolio, we will not be able to execute on our growth strategy. Further, if we fail to ensure the efficiency and quality of new production processes and products before they launch, we may experience uneven product quality, which could negatively impact consumer acceptance of new products and negatively impact our sales and brand reputation. If we are unsuccessful in meeting our objectives with respect to new or improved products, our business, financial condition and results of operations may be adversely affected.</w:t>
      </w:r>
    </w:p>
    <w:p>
      <w:pPr>
        <w:spacing w:after="0" w:line="14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Consumer preferences for our products are difficult to predict and may change, and, if we are unable to respond quickly to new trends, our business may be adversely affected.</w:t>
      </w:r>
    </w:p>
    <w:p>
      <w:pPr>
        <w:spacing w:after="0" w:line="118" w:lineRule="exact"/>
        <w:rPr>
          <w:sz w:val="20"/>
          <w:szCs w:val="20"/>
          <w:color w:val="auto"/>
        </w:rPr>
      </w:pPr>
    </w:p>
    <w:p>
      <w:pPr>
        <w:ind w:right="180" w:firstLine="864"/>
        <w:spacing w:after="0" w:line="272" w:lineRule="auto"/>
        <w:rPr>
          <w:sz w:val="20"/>
          <w:szCs w:val="20"/>
          <w:color w:val="auto"/>
        </w:rPr>
      </w:pPr>
      <w:r>
        <w:rPr>
          <w:rFonts w:ascii="Times New Roman" w:cs="Times New Roman" w:eastAsia="Times New Roman" w:hAnsi="Times New Roman"/>
          <w:sz w:val="17"/>
          <w:szCs w:val="17"/>
          <w:color w:val="auto"/>
        </w:rPr>
        <w:t>Our business is focused on the development, manufacturing, marketing and distribution of branded plant-based, and more specifically, oat-based, products as alternatives to dairy products. Consumer demand could change based on a number of possible factors, including dietary habits and nutritional values, concerns regarding the health effects of ingredients, shifts in preference for various product attributes, changes in the science of the benefits of plant-based diets, consumer confidence in plant-based products, lack of product availability and perceived value for our products relative to alternatives. Consumer trends that we believe favor sales of our products could change based on a number of possible factors, including a shift in preference from plant-based to animal-based dairy products, economic factors such as inflation and social trends. While we continually strive to improve our products through thoughtful, innovative research and development approaches to meet consumer demands, there can be no assurance that our efforts will be successful. If consumer demand for our products decreased, our business, financial condition and results of operations may be adversely affected.</w:t>
      </w:r>
    </w:p>
    <w:p>
      <w:pPr>
        <w:spacing w:after="0" w:line="145"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color w:val="auto"/>
        </w:rPr>
        <w:t>In addition, sales of plant-based or dairy-alternative products are subject to evolving consumer preferences that we may not be able to accurately predict or respond to, and we may not be successful in identifying trends in consumer preferences and developing products that respond to such trends in a timely manner. A significant shift in consumer demand away from our products could reduce our sales or our market share and the prestige of our brand, which would harm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future growth effectively, our business could be materially adversely affected.</w:t>
      </w:r>
    </w:p>
    <w:p>
      <w:pPr>
        <w:spacing w:after="0" w:line="189" w:lineRule="exact"/>
        <w:rPr>
          <w:sz w:val="20"/>
          <w:szCs w:val="20"/>
          <w:color w:val="auto"/>
        </w:rPr>
      </w:pPr>
    </w:p>
    <w:p>
      <w:pPr>
        <w:ind w:right="60" w:firstLine="864"/>
        <w:spacing w:after="0" w:line="253" w:lineRule="auto"/>
        <w:rPr>
          <w:sz w:val="20"/>
          <w:szCs w:val="20"/>
          <w:color w:val="auto"/>
        </w:rPr>
      </w:pPr>
      <w:r>
        <w:rPr>
          <w:rFonts w:ascii="Times New Roman" w:cs="Times New Roman" w:eastAsia="Times New Roman" w:hAnsi="Times New Roman"/>
          <w:sz w:val="18"/>
          <w:szCs w:val="18"/>
          <w:color w:val="auto"/>
        </w:rPr>
        <w:t>We have grown rapidly since inception and anticipate further growth. For example, our revenue increased from $204.0 million for the year ended December 31, 2019 to $421.4 million for the year ended December 31, 2020 to $643.2 million for the year ended December 31, 2021. Our full-time employee count at December 31, 2021 (excluding contract employees) has more than tripled since December 31, 2019. This growth has placed significant demands on our management, financial, operational, technological and other resources. The anticipated growth and expansion of our business and our product offerings will place significant demands on our management and operations teams and require significant additional resources, including hiring a significant number of employees with no institutional knowledge to meet our needs, which may not be available in a cost-effective manner, or at all. Further, we may be subject to reputational risks should our rapid growth jeopardize our relationships with our customers, distributors, co-manufacturers, co-packers or suppliers. Moreover, although we have grown rapidly over the last several years, our revenue growth rates may slow over time due to a number of reasons, including increasing competition, market saturation, slowing demand for our product offerings, increasing regulatory restrictions and challenges and failure to capitalize on growth opportunities. If we fail to meet increased consumer demand as a</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result of our growth, our competitors may be able to meet such demand with their own products, which would diminish our growth opportunities. If we do not effectively manage our growth, we may not be able to execute on our business plan, respond to competitive pressures, take advantage of market opportunities, satisfy customer requirements or maintain high-quality product offerings, any of which could harm our business, financial condition and results of operations.</w:t>
      </w:r>
    </w:p>
    <w:p>
      <w:pPr>
        <w:spacing w:after="0" w:line="36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spacing w:after="0" w:line="140"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Our business faces increasing scrutiny related to sustainability issues, including sustainable development, product packaging, renewable resources, environmental stewardship, supply chain management, climate change, greenhouse gas emissions, diversity and inclusion, workplace conduct, human rights, philanthropy and support for local communities. The standards by which sustainability matters are measured are developing and evolving, including in respect of operational performance in greenhouse gas emissions and water usage. If we fail to meet applicable standards or stakeholder expectations with respect to these issues across all of our products and in all of our operations and activities, including the expectations we set for ourselves or mandatory requirements set by a federal, state or international regulatory body, our reputation and brand image could be harmed, and our business, financial condition and results of operations could be adversely impacted. Additionally, we have been subject to scrutiny with respect to our sustainability claims, initiatives, disclosures, and programs. For example, following a ruling by the United Kingdom's Advertising Standards Authority, we agreed to modify any potential future use of certain details and claims made in an advertising campaign that ran in the United Kingdom during early 2021. Any investigations, inquiries, complaints, stakeholder campaigns or litigation related to our sustainability impacts, initiatives, disclosures, and programs could result in substantial costs and liabilities and could divert management’s attention and resources.</w:t>
      </w:r>
    </w:p>
    <w:p>
      <w:pPr>
        <w:spacing w:after="0" w:line="151" w:lineRule="exact"/>
        <w:rPr>
          <w:sz w:val="20"/>
          <w:szCs w:val="20"/>
          <w:color w:val="auto"/>
        </w:rPr>
      </w:pPr>
    </w:p>
    <w:p>
      <w:pPr>
        <w:ind w:right="60" w:firstLine="864"/>
        <w:spacing w:after="0" w:line="254" w:lineRule="auto"/>
        <w:rPr>
          <w:sz w:val="20"/>
          <w:szCs w:val="20"/>
          <w:color w:val="auto"/>
        </w:rPr>
      </w:pPr>
      <w:r>
        <w:rPr>
          <w:rFonts w:ascii="Times New Roman" w:cs="Times New Roman" w:eastAsia="Times New Roman" w:hAnsi="Times New Roman"/>
          <w:sz w:val="18"/>
          <w:szCs w:val="18"/>
          <w:color w:val="auto"/>
        </w:rPr>
        <w:t>Additional information and data are continuing to be published regarding the benefits of a plant-based diet. Any changes in the understanding of the sustainability impact of a plant-based diet could materially impact our estimates and assumptions regarding our business and could materially negatively impact our reputation, brand image, financial condition and results of operations. Additionally, policies regarding climate change, and the long-term effects of climate change, could pose additional legal or regulatory requirements related to greenhouse gas emissions reporting, carbon pricing, and mandatory emission reduction targets. Unforeseen or changing circumstances could also adversely affect any reduction in our greenhouse gas emissions. Consumers and businesses also may voluntarily change their behavior as a result of these concerns. We and our customers will also be required to respond to new laws and regulations as well as consumer and business preferences resulting from climate change concerns. We and our customers may face cost increases, including increased costs of sourcing, production and transportation, asset value reductions, operating process changes and negative reputational impacts, if we fail to meet such requirements and expectations.</w:t>
      </w:r>
    </w:p>
    <w:p>
      <w:pPr>
        <w:spacing w:after="0" w:line="161" w:lineRule="exact"/>
        <w:rPr>
          <w:sz w:val="20"/>
          <w:szCs w:val="20"/>
          <w:color w:val="auto"/>
        </w:rPr>
      </w:pPr>
    </w:p>
    <w:p>
      <w:pPr>
        <w:ind w:right="80" w:firstLine="864"/>
        <w:spacing w:after="0" w:line="255" w:lineRule="auto"/>
        <w:rPr>
          <w:sz w:val="20"/>
          <w:szCs w:val="20"/>
          <w:color w:val="auto"/>
        </w:rPr>
      </w:pPr>
      <w:r>
        <w:rPr>
          <w:rFonts w:ascii="Times New Roman" w:cs="Times New Roman" w:eastAsia="Times New Roman" w:hAnsi="Times New Roman"/>
          <w:sz w:val="18"/>
          <w:szCs w:val="18"/>
          <w:color w:val="auto"/>
        </w:rPr>
        <w:t>We seek to conduct our business in an ethical and socially responsible way, through sustainable business practices and various programs committed to sustainability, human rights and compliance, which we regard as important to maximizing stakeholder value, while enhancing community quality, environmental stewardship and furthering the plant-based movement around the world. Implementation of our sustainability initiatives, including the preparation of our annual sustainability report, may require moderate financial expenditures and employee resources, and there is no certainty that we will achieve our sustainability goals. Failure to meet such goals, initiatives and standards or meet the expectations of our customers and consumers or failure to accurately disclose sustainability matters could have a material adverse effect on our reputation and brand and negatively impact our relationship with our employees, customers and consumers.</w:t>
      </w:r>
    </w:p>
    <w:p>
      <w:pPr>
        <w:spacing w:after="0" w:line="148"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color w:val="auto"/>
        </w:rPr>
        <w:t>Additionally, a number of governments globally are increasingly considering a variety of mandatory legal requirements or voluntary initiatives in relation to climate-change issues (including in response to the Paris Agreement). Additionally, entities across many sectors in private industry are considering and introducing climate change (as well as broader sustainability) criteria as a factor or commercial term in decisions relating to activities including lending, insurance, investing, and purchasing. We are unable to predict what climate-change (or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sustainability) criteria or requirements may be adopted or supported by governments and private sector entities in the future, or the impacts of such initiatives on its financial condition, results of operations, access to and cost of capital and cash flows and stock price, which may be materially adverse. In particular, as we grow our business and increase production, it may be difficult to estimate our sustainability impact, including greenhouse gas emissions, and our actual results may materially differ from our estimates. It may also take additional time to assess and quantify the carbon footprint of our business due to our expansion. Furthermore, our estimates regarding “scope 3” emissions, or indirect emissions that are the result of our activities across our value chain, are difficult to track and estimate, and our estimates may be materially different from actual emissions. Failure to accurately estimate such emissions could have a material adverse effect on our reputation and brand and negatively impact our relationship with our employees, customers and consumers. There is also a concern that carbon dioxide and other greenhouse gases in the atmosphere may have an adverse impact on the frequency and severity of severe weather conditions. Our business activities may be impacted by the effects of such weather conditions and any other climate change impacts in future years, although it is currently impossible to predict with accuracy the scale of such impact. These resulting impacts could have a material adverse effect on our business, results of operations, and financial condition.</w:t>
      </w:r>
    </w:p>
    <w:p>
      <w:pPr>
        <w:spacing w:after="0" w:line="16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and any inadequacy, failure, interruption or security breaches of those systems may harm our reputation and ability to effectively operate our business.</w:t>
      </w:r>
    </w:p>
    <w:p>
      <w:pPr>
        <w:spacing w:after="0" w:line="118" w:lineRule="exact"/>
        <w:rPr>
          <w:sz w:val="20"/>
          <w:szCs w:val="20"/>
          <w:color w:val="auto"/>
        </w:rPr>
      </w:pPr>
    </w:p>
    <w:p>
      <w:pPr>
        <w:ind w:right="60" w:firstLine="864"/>
        <w:spacing w:after="0" w:line="253" w:lineRule="auto"/>
        <w:rPr>
          <w:sz w:val="20"/>
          <w:szCs w:val="20"/>
          <w:color w:val="auto"/>
        </w:rPr>
      </w:pPr>
      <w:r>
        <w:rPr>
          <w:rFonts w:ascii="Times New Roman" w:cs="Times New Roman" w:eastAsia="Times New Roman" w:hAnsi="Times New Roman"/>
          <w:sz w:val="18"/>
          <w:szCs w:val="18"/>
          <w:color w:val="auto"/>
        </w:rPr>
        <w:t>We are dependent on various information technology systems, including, but not limited to, cloud services, networks, applications and other outsourced services in connection with the operation of our business. A failure of our information technology systems to perform as we anticipate could disrupt our business and result in transaction errors, processing inefficiencies and loss of production or sales, causing our business and reputation to suffer. Our information technology systems may be vulnerable to damage or interruption from circumstances beyond our control, including fire, natural disasters, systems failures, computer viruses, external and internal security breaches or other security incidents and external factors, such as trade wars, political tensions or armed conflicts including the conflict between Russia and Ukraine that could make it more difficult for us to access information stored in other countries. Our third-party information technology providers are also subject to these risks, which could impact our ability to access these systems and any data outside of our physical control. We may also be impacted by market consolidation in the information technology and cloud services market, as we are applying a new cloud digital strategy in order to improve our agility, scalability and flexibility. Further, as we continue to grow, we may be unable to efficiently adapt and expand our information technology systems to meet future growth needs. Any such damage, incident, interruption or inadequacy of our information technology systems could damage our reputation and credibility, result in violations of data privacy laws and regulations and have a material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incident or other technology disruptions could negatively impact our business and our relationships with customers.</w:t>
      </w:r>
    </w:p>
    <w:p>
      <w:pPr>
        <w:spacing w:after="0" w:line="202"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We use computers in substantially all aspects of our business operations. We also use mobile devices and other online activities to connect with our employees, suppliers, co-manufacturers, distributors, customers and consumers. We extensively use social media platforms such as Facebook, Instagram and Twitter and may use other social media platforms in the future for online collaboration and consumer interaction. Such uses give rise to cybersecurity risks, including security breaches, espionage, system disruption, theft and inadvertent release of information. For example, we have noticed a significant increase in the number of cybersecurity attacks as a result of the remote working environment due to the COVID-19 pandemic and the conflict between Russia and Ukraine, and any successful attacks could lead to reputational and financial harm to our business, damage our relationships with our customers and subject us to regulatory scrutiny that could lead to fines and penalties.</w:t>
      </w:r>
    </w:p>
    <w:p>
      <w:pPr>
        <w:spacing w:after="0" w:line="148" w:lineRule="exact"/>
        <w:rPr>
          <w:sz w:val="20"/>
          <w:szCs w:val="20"/>
          <w:color w:val="auto"/>
        </w:rPr>
      </w:pPr>
    </w:p>
    <w:p>
      <w:pPr>
        <w:ind w:right="140" w:firstLine="864"/>
        <w:spacing w:after="0" w:line="255" w:lineRule="auto"/>
        <w:rPr>
          <w:sz w:val="20"/>
          <w:szCs w:val="20"/>
          <w:color w:val="auto"/>
        </w:rPr>
      </w:pPr>
      <w:r>
        <w:rPr>
          <w:rFonts w:ascii="Times New Roman" w:cs="Times New Roman" w:eastAsia="Times New Roman" w:hAnsi="Times New Roman"/>
          <w:sz w:val="18"/>
          <w:szCs w:val="18"/>
          <w:color w:val="auto"/>
        </w:rPr>
        <w:t>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new initiatives that improve our operations and cost structure, we will also be expanding and improving our information technologies, resulting in a larger technological presence and corresponding exposure to cybersecurity risk. As we increase and improve our technology footprint, our information technology systems will become increasingly more complex and become more difficult to monitor. If we fail to assess and identify cybersecurity risks associated with new initiatives, we may become increasingly vulnerable to such risks. Additionally, while we have implemented measures to prevent security breaches and cyber incidents, our preventative measures and incident response efforts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may not be entirely effective and could result in violations of data privacy laws and regulations and subject us to significant fines and harm our reputation. For example, in order to more quickly scale a regional office, we may provide basic information technology systems to cover the short-term growth of that particular office, but this could be overlooked as we continue to rapidly grow and scale our business and more sophisticated information systems may not be implemented for a significant time thereafter, which could subject such office to the heightened risk of cybersecurity and other attacks.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damage to reputation and credibility, violation of privacy laws and regulations, loss of customers, potential liability and competitive disadvantage, any of which could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generally are not obligated to continue purchasing products from us.</w:t>
      </w:r>
    </w:p>
    <w:p>
      <w:pPr>
        <w:spacing w:after="0" w:line="189" w:lineRule="exact"/>
        <w:rPr>
          <w:sz w:val="20"/>
          <w:szCs w:val="20"/>
          <w:color w:val="auto"/>
        </w:rPr>
      </w:pPr>
    </w:p>
    <w:p>
      <w:pPr>
        <w:ind w:right="120" w:firstLine="864"/>
        <w:spacing w:after="0" w:line="261" w:lineRule="auto"/>
        <w:rPr>
          <w:sz w:val="20"/>
          <w:szCs w:val="20"/>
          <w:color w:val="auto"/>
        </w:rPr>
      </w:pPr>
      <w:r>
        <w:rPr>
          <w:rFonts w:ascii="Times New Roman" w:cs="Times New Roman" w:eastAsia="Times New Roman" w:hAnsi="Times New Roman"/>
          <w:sz w:val="18"/>
          <w:szCs w:val="18"/>
          <w:color w:val="auto"/>
        </w:rPr>
        <w:t>Many of our customers buy from us under purchase orders, and we generally do not have long-term agreements with or commitments from these customers for the purchase of products. We cannot provide assurance that our customers will maintain or increase their sales volumes or orders for the products supplied by us or that we will be able to maintain or add to our existing customer base. Decreases in our customers’ sales volumes or product orders may have a material adverse effect on our business, financial condition or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customers or the loss of a significant customer could negatively impact our sales and profitability.</w:t>
      </w:r>
    </w:p>
    <w:p>
      <w:pPr>
        <w:spacing w:after="0" w:line="202" w:lineRule="exact"/>
        <w:rPr>
          <w:sz w:val="20"/>
          <w:szCs w:val="20"/>
          <w:color w:val="auto"/>
        </w:rPr>
      </w:pPr>
    </w:p>
    <w:p>
      <w:pPr>
        <w:ind w:right="180" w:firstLine="864"/>
        <w:spacing w:after="0" w:line="258" w:lineRule="auto"/>
        <w:rPr>
          <w:sz w:val="20"/>
          <w:szCs w:val="20"/>
          <w:color w:val="auto"/>
        </w:rPr>
      </w:pPr>
      <w:r>
        <w:rPr>
          <w:rFonts w:ascii="Times New Roman" w:cs="Times New Roman" w:eastAsia="Times New Roman" w:hAnsi="Times New Roman"/>
          <w:sz w:val="18"/>
          <w:szCs w:val="18"/>
          <w:color w:val="auto"/>
        </w:rPr>
        <w:t>Supermarkets, grocers and other retailers in North America, the EU and Asia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 financial condition and results of operations.</w:t>
      </w:r>
    </w:p>
    <w:p>
      <w:pPr>
        <w:spacing w:after="0" w:line="143"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2021, one customer in the foodservice channel accounted for 14% of our total revenue. The loss of any large customer, the reduction of purchasing levels or prices paid for our products or the cancellation of any business from a large customer for an extended length of time could negatively impact our sales and profitability, as well as expose us to credit risks.</w:t>
      </w:r>
    </w:p>
    <w:p>
      <w:pPr>
        <w:spacing w:after="0" w:line="135"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Furthermore, as retailers consolidate, they may reduce the number of branded products they offer in order to accommodate private label products and generate more competitive terms from branded suppliers. Consequently, our financial results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 competing products or the perceived quality of our products. Despite operating in different channels, our retailers sometimes compete for the same consumers. Because of actual or perceived conflicts resulting from this competition, retailers may take actions that negatively affect us. Any of the foregoing risks as a result of consolidation of our retail customers could have a material adverse effect on our business, financial condition and results of operations.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spacing w:after="0" w:line="118" w:lineRule="exact"/>
        <w:rPr>
          <w:sz w:val="20"/>
          <w:szCs w:val="20"/>
          <w:color w:val="auto"/>
        </w:rPr>
      </w:pPr>
    </w:p>
    <w:p>
      <w:pPr>
        <w:ind w:right="40" w:firstLine="864"/>
        <w:spacing w:after="0" w:line="256" w:lineRule="auto"/>
        <w:rPr>
          <w:sz w:val="20"/>
          <w:szCs w:val="20"/>
          <w:color w:val="auto"/>
        </w:rPr>
      </w:pPr>
      <w:r>
        <w:rPr>
          <w:rFonts w:ascii="Times New Roman" w:cs="Times New Roman" w:eastAsia="Times New Roman" w:hAnsi="Times New Roman"/>
          <w:sz w:val="18"/>
          <w:szCs w:val="18"/>
          <w:color w:val="auto"/>
        </w:rPr>
        <w:t>Our success, and our ability to increase revenue and operate profitably, depends in part on our ability to cost-effectively acquire new customers and consumers and to retain and keep existing customers and consumers engaged so that they continue to purchase products from us. Our efforts to acquire and retain customers and consumers include increasing product supply, increasing our household penetration, expanding the number of products sold through existing retail customers, growing within the coffee shop and foodservice channels and strengthening our product offerings through innovation in both new and existing categories. Any strategies we employ to pursue this growth are subject to numerous factors outside of our control. For example, retailers continue to aggressively market their private label products, which could reduce consumer demand for our products. As we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continue to focus on increasing our supply to meet the increase in consumer and customer demand, we are also subject to risks in the disruption of our supply chain, as any delays or interruptions in our supply chain that resulted in our inability to deliver products in a timely manner or at all could have a material adverse effect on our customer relationships, brand, reputation and business. If we fail to deliver our products to our customers in a timely manner or fail to meet other similar performance obligations, they may be able to charge us additional fees, impose penalties, delist us from their list of approved suppliers or other negative consequences, which would harm our ability to work with any such customers in the future and could have a material adverse effect on our brand and reputation. The expansion of our business also depends on our ability to increase consumer awareness of dairy alternatives and expand our distribution channels in new and existing markets, such as new foodservice and retail locations. Additionally, we may need to increase or reallocate spending on marketing and promotional activities, such as rebates, temporary price reductions, retailer advertisements, product coupons and other trade activities, and these expenditures are subject to risks, including related to consumer acceptance of our efforts. If we are unable to cost-effectively acquire new customers and consumers, retain and keep existing customers and consumers engaged, our business, financial condition and results of operations would be materially adversely affected. Further, if customers do not perceive our product offerings to be of sufficient value and quality, or if we fail to offer new and relevant product offerings, we may not be able to attract or retain customers and consumers or engage existing customers and consumers so that they continue to purchase products from us. We may lose loyal customers and consumers to our competitors if we are unable to meet customers’ orders in a timely manner, and our business, financial condition and results of operations may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as we expand our operations into countries in which we have no prior operating experience.</w:t>
      </w:r>
    </w:p>
    <w:p>
      <w:pPr>
        <w:spacing w:after="0" w:line="189" w:lineRule="exact"/>
        <w:rPr>
          <w:sz w:val="20"/>
          <w:szCs w:val="20"/>
          <w:color w:val="auto"/>
        </w:rPr>
      </w:pPr>
    </w:p>
    <w:p>
      <w:pPr>
        <w:ind w:firstLine="864"/>
        <w:spacing w:after="0" w:line="252" w:lineRule="auto"/>
        <w:rPr>
          <w:sz w:val="20"/>
          <w:szCs w:val="20"/>
          <w:color w:val="auto"/>
        </w:rPr>
      </w:pPr>
      <w:r>
        <w:rPr>
          <w:rFonts w:ascii="Times New Roman" w:cs="Times New Roman" w:eastAsia="Times New Roman" w:hAnsi="Times New Roman"/>
          <w:sz w:val="18"/>
          <w:szCs w:val="18"/>
          <w:color w:val="auto"/>
        </w:rPr>
        <w:t>We intend to continue to expand our global footprint in order to enter into new markets. While we currently enter new markets in ways that allow us to maintain control over building the distribution and launching of our brand, as we continue to expand our global footprint, this may involve expanding into countries beyond those in which we currently operate and may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If we fail to accurately predict taste preferences and purchasing habits of consumers or our new facilities produce products that have a different sensory experience, we may not be able to sell all or some of our product inventory and may be required to write off excess or obsolete inventory. Further, our current go to market strategies may not be the optimal approach in certain markets due to these factors, which may require us to consider, develop and implement alternative entry and marketing strategies that we have not used before, and this could be more costly to implement or use additional resources that our other strategies do not require, which could have an adverse effect on our results of operations. It is costly to establish, develop and maintain international operations and develop and promote our brand in international markets. Additionally, as we expand into new countries, we may rely on local partners and distributors who may not fully understand our business or our vision. As we expand our business into new countries, we may encounter regulatory, legal, personnel, technological, consumer preference variations, competitive and other difficulties that increase our expenses and/or delay our ability to become profitable in such countries, which may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international nature of our business subjects us to additional risks.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are subject to a number of risks related to doing business internationally, any of which could significantly harm our business. These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342" w:lineRule="exact"/>
        <w:rPr>
          <w:sz w:val="20"/>
          <w:szCs w:val="20"/>
          <w:color w:val="auto"/>
        </w:rPr>
      </w:pPr>
    </w:p>
    <w:p>
      <w:pPr>
        <w:ind w:left="1740" w:hanging="436"/>
        <w:spacing w:after="0"/>
        <w:tabs>
          <w:tab w:leader="none" w:pos="1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potentially negative tax consequences;</w:t>
      </w:r>
    </w:p>
    <w:p>
      <w:pPr>
        <w:spacing w:after="0" w:line="373" w:lineRule="exact"/>
        <w:rPr>
          <w:rFonts w:ascii="Times New Roman" w:cs="Times New Roman" w:eastAsia="Times New Roman" w:hAnsi="Times New Roman"/>
          <w:sz w:val="18"/>
          <w:szCs w:val="18"/>
          <w:color w:val="auto"/>
        </w:rPr>
      </w:pPr>
    </w:p>
    <w:p>
      <w:pPr>
        <w:ind w:left="1740" w:right="520" w:hanging="436"/>
        <w:spacing w:after="0" w:line="282" w:lineRule="auto"/>
        <w:tabs>
          <w:tab w:leader="none" w:pos="1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tariffs, quotas, trade barriers or other export or import restrictions, including navigating the changing relationships between countries such as the United States and China;</w:t>
      </w:r>
    </w:p>
    <w:p>
      <w:pPr>
        <w:spacing w:after="0" w:line="310"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exchange controls and currency exchange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40" w:hanging="436"/>
        <w:spacing w:after="0"/>
        <w:tabs>
          <w:tab w:leader="none" w:pos="1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international market and economic conditions;</w:t>
      </w:r>
    </w:p>
    <w:p>
      <w:pPr>
        <w:spacing w:after="0" w:line="373" w:lineRule="exact"/>
        <w:rPr>
          <w:rFonts w:ascii="Times New Roman" w:cs="Times New Roman" w:eastAsia="Times New Roman" w:hAnsi="Times New Roman"/>
          <w:sz w:val="18"/>
          <w:szCs w:val="18"/>
          <w:color w:val="auto"/>
        </w:rPr>
      </w:pPr>
    </w:p>
    <w:p>
      <w:pPr>
        <w:ind w:left="1740" w:right="40" w:hanging="436"/>
        <w:spacing w:after="0" w:line="282" w:lineRule="auto"/>
        <w:tabs>
          <w:tab w:leader="none" w:pos="1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volatility including armed conflicts such as the current conflict between Russia and Ukraine and related sanctions;</w:t>
      </w:r>
    </w:p>
    <w:p>
      <w:pPr>
        <w:spacing w:after="0" w:line="310" w:lineRule="exact"/>
        <w:rPr>
          <w:rFonts w:ascii="Times New Roman" w:cs="Times New Roman" w:eastAsia="Times New Roman" w:hAnsi="Times New Roman"/>
          <w:sz w:val="18"/>
          <w:szCs w:val="18"/>
          <w:color w:val="auto"/>
        </w:rPr>
      </w:pPr>
    </w:p>
    <w:p>
      <w:pPr>
        <w:ind w:left="1740" w:right="20" w:hanging="436"/>
        <w:spacing w:after="0" w:line="289" w:lineRule="auto"/>
        <w:tabs>
          <w:tab w:leader="none" w:pos="1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penalties and litigation related to violations of a wide variety of laws, treaties and regulations, including food and beverage regulations, anti-corruption regulations (including the U.S. Foreign Corrupt Practices Act (the “FCPA”) and the United Kingdom Bribery Act) and privacy laws and regulations (including the EU’s General Data Protection Regulation);</w:t>
      </w:r>
    </w:p>
    <w:p>
      <w:pPr>
        <w:spacing w:after="0" w:line="306" w:lineRule="exact"/>
        <w:rPr>
          <w:rFonts w:ascii="Times New Roman" w:cs="Times New Roman" w:eastAsia="Times New Roman" w:hAnsi="Times New Roman"/>
          <w:sz w:val="17"/>
          <w:szCs w:val="17"/>
          <w:color w:val="auto"/>
        </w:rPr>
      </w:pPr>
    </w:p>
    <w:p>
      <w:pPr>
        <w:ind w:left="1740" w:hanging="436"/>
        <w:spacing w:after="0"/>
        <w:tabs>
          <w:tab w:leader="none" w:pos="1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regulations across international markets and the regulatory impacts on a globally integrated supply chain;</w:t>
      </w:r>
    </w:p>
    <w:p>
      <w:pPr>
        <w:spacing w:after="0" w:line="37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difficulty and costs of designing and implementing an effective control environment across diverse regions and employee bases;</w:t>
      </w:r>
    </w:p>
    <w:p>
      <w:pPr>
        <w:spacing w:after="0" w:line="385" w:lineRule="exact"/>
        <w:rPr>
          <w:rFonts w:ascii="Times New Roman" w:cs="Times New Roman" w:eastAsia="Times New Roman" w:hAnsi="Times New Roman"/>
          <w:sz w:val="17"/>
          <w:szCs w:val="17"/>
          <w:color w:val="auto"/>
        </w:rPr>
      </w:pPr>
    </w:p>
    <w:p>
      <w:pPr>
        <w:ind w:left="1740" w:hanging="436"/>
        <w:spacing w:after="0"/>
        <w:tabs>
          <w:tab w:leader="none" w:pos="1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maintaining effective data security;</w:t>
      </w:r>
    </w:p>
    <w:p>
      <w:pPr>
        <w:spacing w:after="0" w:line="37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pricing pressures; and</w:t>
      </w:r>
    </w:p>
    <w:p>
      <w:pPr>
        <w:spacing w:after="0" w:line="373"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and/or changing foreign tax treaties and policies.</w:t>
      </w:r>
    </w:p>
    <w:p>
      <w:pPr>
        <w:spacing w:after="0" w:line="374" w:lineRule="exact"/>
        <w:rPr>
          <w:sz w:val="20"/>
          <w:szCs w:val="20"/>
          <w:color w:val="auto"/>
        </w:rPr>
      </w:pPr>
    </w:p>
    <w:p>
      <w:pPr>
        <w:ind w:right="100" w:firstLine="864"/>
        <w:spacing w:after="0" w:line="266" w:lineRule="auto"/>
        <w:rPr>
          <w:sz w:val="20"/>
          <w:szCs w:val="20"/>
          <w:color w:val="auto"/>
        </w:rPr>
      </w:pPr>
      <w:r>
        <w:rPr>
          <w:rFonts w:ascii="Times New Roman" w:cs="Times New Roman" w:eastAsia="Times New Roman" w:hAnsi="Times New Roman"/>
          <w:sz w:val="18"/>
          <w:szCs w:val="18"/>
          <w:color w:val="auto"/>
        </w:rPr>
        <w:t>In addition, our financial performance on a U.S. dollar denominated basis is subject to fluctuations in currency exchange rates, as our principal exposure is to the Renminbi, Swedish Krona, Euro and Pound Sterling. See Note 3 to our consolidated financial statements included elsewhere in this Annual Report.</w:t>
      </w:r>
    </w:p>
    <w:p>
      <w:pPr>
        <w:spacing w:after="0" w:line="145"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trade compliance and economic sanctions laws and regulations of the United States, the EU and other applicable international jurisdictions could materially adversely affect our reputation and results of operations.</w:t>
      </w:r>
    </w:p>
    <w:p>
      <w:pPr>
        <w:spacing w:after="0" w:line="118" w:lineRule="exact"/>
        <w:rPr>
          <w:sz w:val="20"/>
          <w:szCs w:val="20"/>
          <w:color w:val="auto"/>
        </w:rPr>
      </w:pPr>
    </w:p>
    <w:p>
      <w:pPr>
        <w:ind w:right="140" w:firstLine="864"/>
        <w:spacing w:after="0" w:line="254"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such as EU sanctions (as implemented by EU Member States, including Sweden), and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Failure to comply with sanctions may also result in a breach of our covenants under financing agreements.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costs are volatile and may rise significantly, which may negatively impact the profitability of our business.</w:t>
      </w:r>
    </w:p>
    <w:p>
      <w:pPr>
        <w:spacing w:after="0" w:line="202"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In addition to purchasing oats, we purchase and use significant quantities of cardboard, paper and other recycled materials to package our products. Costs packaging, particularly sustainable packaging materials, are volatile and can fluctuate due to conditions that are difficult to predict, including global competition for resources, weather conditions, inflationary pressure, interest rate fluctuations, consumer demand and changes in governmental trade and agricultural programs. Moreover, we may not be able to implement price increases for our products to cover any increased costs, and any price increases we do implement may result in lower sales volumes. If we are not successful in managing our packaging costs or the higher costs of sustainable materials, if we are unable to increase our prices to cover increased costs or if such price increases reduce our sales volumes, then such increases in costs will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results of operations may impact, and may have a disproportionate effect on, our overall financial condition and results of operations.</w:t>
      </w:r>
    </w:p>
    <w:p>
      <w:pPr>
        <w:spacing w:after="0" w:line="118" w:lineRule="exact"/>
        <w:rPr>
          <w:sz w:val="20"/>
          <w:szCs w:val="20"/>
          <w:color w:val="auto"/>
        </w:rPr>
      </w:pPr>
    </w:p>
    <w:p>
      <w:pPr>
        <w:ind w:right="80" w:firstLine="864"/>
        <w:spacing w:after="0" w:line="254" w:lineRule="auto"/>
        <w:rPr>
          <w:sz w:val="20"/>
          <w:szCs w:val="20"/>
          <w:color w:val="auto"/>
        </w:rPr>
      </w:pPr>
      <w:r>
        <w:rPr>
          <w:rFonts w:ascii="Times New Roman" w:cs="Times New Roman" w:eastAsia="Times New Roman" w:hAnsi="Times New Roman"/>
          <w:sz w:val="18"/>
          <w:szCs w:val="18"/>
          <w:color w:val="auto"/>
        </w:rPr>
        <w:t>To date, we have not experienced any pronounced seasonality, but such fluctuations may have been masked by our rapid growth. Furthermore, the COVID-19 pandemic has caused significant fluctuations in our production levels. Our business may be subject to seasonal or other fluctuations that may have a disproportionate effect on our results of operations. We occasionally offer sales discounts and promotions through various programs to customers and consumers, which may result in reduced margins. These programs include rebates, temporary on-shelf price reductions, retailer advertisements, product coupons and other trade activities. In addition, as our company continues to grow, we expect to see additional seasonality effects, especially within our food retail channel, with revenue contribution from this channel tending to be linked with holiday season periods. We anticipate that, at times, these promotional activities may also cause seasonal fluctuations that can adversely impact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189"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39"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For example, we are and have been subject to various trademark lawsuits in the ordinary course of our business. 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results of operations or stock price. Any claims or litigation, even if fully indemnified or insured, could damage our reputation and potentially prevent us from selling or manufacturing our products, which would make it more difficult to compete effectively or to obtain adequate insurance in the future.</w:t>
      </w:r>
    </w:p>
    <w:p>
      <w:pPr>
        <w:spacing w:after="0" w:line="160" w:lineRule="exact"/>
        <w:rPr>
          <w:sz w:val="20"/>
          <w:szCs w:val="20"/>
          <w:color w:val="auto"/>
        </w:rPr>
      </w:pPr>
    </w:p>
    <w:p>
      <w:pPr>
        <w:ind w:right="200" w:firstLine="864"/>
        <w:spacing w:after="0" w:line="289"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 government investigations or other regulatory enforcement actions could subject us to civil and criminal penalties.</w:t>
      </w:r>
    </w:p>
    <w:p>
      <w:pPr>
        <w:spacing w:after="0" w:line="189"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We operate in a highly regulated environment with constantly evolving legal and regulatory frameworks. Consequently, we are subject to heightened risk of legal claims, government investigations or other regulatory enforcement actions. Although we have implemented policies and procedures designed to ensure compliance with existing laws and regulations, there can be no assurance that our employees, temporary workers, contractors or agents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results of operations. Even if our defense against such claims is successful, our reputation could suffer as a result of any such claim or investigation. In addition, the costs and other effects of defending potential and pending litigation and administrative actions against us may be difficult to determine and could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18"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For example, several of the reports rely on or employ projections of consumer adoption and incorporate data from secondary sources such as company websites as well as industry, trade and government publications. While our estimates of market size and expected growth of our market were made in good faith and are based on assumptions and estimates we believe to be reasonable, these estimates may not prove to be accurate given the constantly changing economy resulting from, but not limited to, the COVID-19 pandemic and ongoing Ukrainian-Russian conflict. Even if the market in which we compete meets the size estimates and growth forecast in this Annual Report, our business could fail to grow at the rate we anticipate, if at all.</w:t>
      </w:r>
    </w:p>
    <w:p>
      <w:pPr>
        <w:spacing w:after="0" w:line="15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or to attract, train and retain employees may adversely affect our operations or our ability to grow successfully.</w:t>
      </w:r>
    </w:p>
    <w:p>
      <w:pPr>
        <w:spacing w:after="0" w:line="118" w:lineRule="exact"/>
        <w:rPr>
          <w:sz w:val="20"/>
          <w:szCs w:val="20"/>
          <w:color w:val="auto"/>
        </w:rPr>
      </w:pPr>
    </w:p>
    <w:p>
      <w:pPr>
        <w:ind w:right="80" w:firstLine="864"/>
        <w:spacing w:after="0" w:line="255" w:lineRule="auto"/>
        <w:rPr>
          <w:sz w:val="20"/>
          <w:szCs w:val="20"/>
          <w:color w:val="auto"/>
        </w:rPr>
      </w:pPr>
      <w:r>
        <w:rPr>
          <w:rFonts w:ascii="Times New Roman" w:cs="Times New Roman" w:eastAsia="Times New Roman" w:hAnsi="Times New Roman"/>
          <w:sz w:val="18"/>
          <w:szCs w:val="18"/>
          <w:color w:val="auto"/>
        </w:rPr>
        <w:t>Our success is substantially dependent on the continued service of certain members of our senior management, including Toni Petersson, our Chief Executive Officer. These executives have been primarily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and key management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ADSs to decline. We do not currently carry key-person life insurance for our senior executives.</w:t>
      </w:r>
    </w:p>
    <w:p>
      <w:pPr>
        <w:spacing w:after="0" w:line="148"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Our success also depends upon our ability to attract, train and retain a sufficient number of employees who understand and appreciate our culture and can represent our brand effectively and establish credibility with our business partners and consumers.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or focus on our mission as we grow, our success and our business and competitive position may be harmed.</w:t>
      </w:r>
    </w:p>
    <w:p>
      <w:pPr>
        <w:spacing w:after="0" w:line="189" w:lineRule="exact"/>
        <w:rPr>
          <w:sz w:val="20"/>
          <w:szCs w:val="20"/>
          <w:color w:val="auto"/>
        </w:rPr>
      </w:pPr>
    </w:p>
    <w:p>
      <w:pPr>
        <w:ind w:right="240" w:firstLine="864"/>
        <w:spacing w:after="0" w:line="258" w:lineRule="auto"/>
        <w:rPr>
          <w:sz w:val="20"/>
          <w:szCs w:val="20"/>
          <w:color w:val="auto"/>
        </w:rPr>
      </w:pPr>
      <w:r>
        <w:rPr>
          <w:rFonts w:ascii="Times New Roman" w:cs="Times New Roman" w:eastAsia="Times New Roman" w:hAnsi="Times New Roman"/>
          <w:sz w:val="18"/>
          <w:szCs w:val="18"/>
          <w:color w:val="auto"/>
        </w:rPr>
        <w:t>We believe our culture and our mission have been key contributors to our success to date. Any failure to preserve our culture or focus on our mission could negatively affect our ability to retain and recruit personnel, which is critical to our growth, and to effectively focus on and pursue our corporate objectives. As we grow, and particularly as we develop the infrastructure of a public company, we may find it difficult to maintain these important values. If we fail to maintain our company culture or focus on our purpose, our business and competitive position when attracting employees may be harmed.</w:t>
      </w:r>
    </w:p>
    <w:p>
      <w:pPr>
        <w:spacing w:after="0" w:line="139"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levels of coverage against claims or we may be unable to find insurance with sufficient coverage at a reasonable cost.</w:t>
      </w:r>
    </w:p>
    <w:p>
      <w:pPr>
        <w:spacing w:after="0" w:line="132" w:lineRule="exact"/>
        <w:rPr>
          <w:sz w:val="20"/>
          <w:szCs w:val="20"/>
          <w:color w:val="auto"/>
        </w:rPr>
      </w:pPr>
    </w:p>
    <w:p>
      <w:pPr>
        <w:ind w:right="80" w:firstLine="864"/>
        <w:spacing w:after="0" w:line="256"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if we do not make policy payments on a timely basis, we could lose our insurance coverage, or if a loss is incurred that exceeds policy limits, our insurance provider could refuse to cover our claims, which could result in increased costs. If we are unable to make claims on our insurance, then we may be liable for any such claims, which could cause us to incur significant liabilities. Although we believe that we have adequate coverage, if we lose our insurance coverage and are unable to find similar coverage elsewhere or if rates continue to increase, it may have an adverse impact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the worldwide economy may adversely affect our business, financial condition and results of operations.</w:t>
      </w:r>
    </w:p>
    <w:p>
      <w:pPr>
        <w:spacing w:after="0" w:line="189"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Adverse and uncertain economic conditions, including the impact of the ongoing COVID-19 pandemic and the ongoing Ukrainian-Russian conflict, may increase prices for our raw materials and affect distributor, retailer, foodservice and consumer demand for our products. In addition, our ability to maintain commercial relationships with our suppliers, co-manufacturers, distributors, retailers, foodservice consumers and creditors may suffer. Consumers may shift purchases to lower-priced or other perceived value offerings during economic downturns. In particular, consumers may reduce the amount of plant-based food products that they purchase where there are conventional animal-based offerings, which generally have lower retail prices. In addition, consumers may choose to purchase private label products rather than branded products because they are generally less expensive. Distributors and retailers may become more conservative in response to these conditions and seek to reduce their inventories. Our results of operations depend upon, among other things, our ability to maintain and increase sales volume with our existing distributors, retailers and foodservice customers, our ability to attract new customers and consumers, the financial condition of our customers and consumers and our ability to provide products that appeal to consumers at the right price. Prolonged unfavorable economic conditions including economic depression or high inflationary pressure may have an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amortizable intangible assets become impaired, we may be required to record a significant charge to earnings.</w:t>
      </w:r>
    </w:p>
    <w:p>
      <w:pPr>
        <w:spacing w:after="0" w:line="189" w:lineRule="exact"/>
        <w:rPr>
          <w:sz w:val="20"/>
          <w:szCs w:val="20"/>
          <w:color w:val="auto"/>
        </w:rPr>
      </w:pPr>
    </w:p>
    <w:p>
      <w:pPr>
        <w:ind w:right="200" w:firstLine="864"/>
        <w:spacing w:after="0" w:line="258" w:lineRule="auto"/>
        <w:rPr>
          <w:sz w:val="20"/>
          <w:szCs w:val="20"/>
          <w:color w:val="auto"/>
        </w:rPr>
      </w:pPr>
      <w:r>
        <w:rPr>
          <w:rFonts w:ascii="Times New Roman" w:cs="Times New Roman" w:eastAsia="Times New Roman" w:hAnsi="Times New Roman"/>
          <w:sz w:val="18"/>
          <w:szCs w:val="18"/>
          <w:color w:val="auto"/>
        </w:rPr>
        <w:t>We review our goodwill and amortizable intangible assets for impairment annually and when events or changes in circumstances indicate the carrying value may not be recoverable. Changes in economic or operating conditions impacting our estimates and assumptions could result in the impairment of our goodwill or other assets. In the event that we determine our goodwill or other assets are impaired, we may be required to record a significant charge to earnings in our financial statements that could have a material adverse effect on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U.S., European and the People’s Republic of China laws and regulations, and there is no assurance that we will be in compliance with all regulations.</w:t>
      </w:r>
    </w:p>
    <w:p>
      <w:pPr>
        <w:spacing w:after="0" w:line="132"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local, national and regional laws and regulations, covering requirements related to food safety, quality, manufacturing, the environment, trade compliance, processing, storage, marketing, advertising, labeling and distribution, as well as those related to work health and workplace safety. Our activities are subject to extensive regulation in the United States, the EU and the People’s Republic of China, as well as in all other markets in which we operate and place products on the market. In general, oats and oatmilk, as well as other plant-based alternatives, are a new type of food that lacks the well-established regulations comparable to other types of food. As a result, it is difficult for us to predict what types of laws and regulations may come into effect that may impact our products, production, operations and business.</w:t>
      </w:r>
    </w:p>
    <w:p>
      <w:pPr>
        <w:spacing w:after="0" w:line="147" w:lineRule="exact"/>
        <w:rPr>
          <w:sz w:val="20"/>
          <w:szCs w:val="20"/>
          <w:color w:val="auto"/>
        </w:rPr>
      </w:pPr>
    </w:p>
    <w:p>
      <w:pPr>
        <w:ind w:right="160" w:firstLine="864"/>
        <w:spacing w:after="0" w:line="253" w:lineRule="auto"/>
        <w:rPr>
          <w:sz w:val="20"/>
          <w:szCs w:val="20"/>
          <w:color w:val="auto"/>
        </w:rPr>
      </w:pPr>
      <w:r>
        <w:rPr>
          <w:rFonts w:ascii="Times New Roman" w:cs="Times New Roman" w:eastAsia="Times New Roman" w:hAnsi="Times New Roman"/>
          <w:sz w:val="18"/>
          <w:szCs w:val="18"/>
          <w:color w:val="auto"/>
        </w:rPr>
        <w:t>In the United States, we are subject to the requirements of the Federal Food, Drug and Cosmetic Act and regulations promulgated thereunder by the FDA. This comprehensive regulatory program governs, among other things, the manufacturing, composition and ingredients, packaging, testing, labeling, marketing, promotion, advertising, storage, distribution and safety of food. In the EU, our operations are also subject to a number of EU and national (member state) regulations, in particular Regulation (EC) No 178/2002 laying down the general principles and requirements of food law, establishing the EFSA and laying down procedures in matters of food safety. This regulation sets forth essential requirements such as food safety requirements and traceability requirements, a food operator’s responsibilities and general principles that must be complied with, such as risk analysis and precautionary and transparency principles. In parallel, food products must also comply with numerous other EU regulations such as Regulation (EU) No 1169/2011 on the provision of food information to consumers, including food labeling requirements, and Regulation (EU) No 1924/2006 on nutrition and health claims and Regulation (EC) 1333/2008 on the rules on food additives (including conditions of use, labelling and procedures). In the People’s Republic of China, we are subject to the requirements of the China Food Safety Law and its implementing regulations. This law sets forth comprehensive statutory requirements governing the production, circulation, recall and import/export of food products in China. In addition, product information on our pre-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packaged products must comply with the national standards on pre-packaged food labelling (GB 7718-2011) and pre-packaged food nutrition labelling (GB 28050-2011). Oatly oatmilks are also subject to the oatmilk category standard QBT 4221.</w:t>
      </w:r>
    </w:p>
    <w:p>
      <w:pPr>
        <w:spacing w:after="0" w:line="135" w:lineRule="exact"/>
        <w:rPr>
          <w:sz w:val="20"/>
          <w:szCs w:val="20"/>
          <w:color w:val="auto"/>
        </w:rPr>
      </w:pPr>
    </w:p>
    <w:p>
      <w:pPr>
        <w:ind w:right="280" w:firstLine="864"/>
        <w:spacing w:after="0" w:line="258" w:lineRule="auto"/>
        <w:rPr>
          <w:sz w:val="20"/>
          <w:szCs w:val="20"/>
          <w:color w:val="auto"/>
        </w:rPr>
      </w:pPr>
      <w:r>
        <w:rPr>
          <w:rFonts w:ascii="Times New Roman" w:cs="Times New Roman" w:eastAsia="Times New Roman" w:hAnsi="Times New Roman"/>
          <w:sz w:val="18"/>
          <w:szCs w:val="18"/>
          <w:color w:val="auto"/>
        </w:rPr>
        <w:t>Food production is also highly regulated by food safety laws and regulations. In the United States, the FDA requires that facilities that manufacture food products comply with a range of requirements, including hazard analysis and preventative controls regulations, current good manufacturing practices (“cGMPs”) and supplier verification requirements. Our processing facilities, including those of our co-producers, are subject to periodic inspection by federal, state and local authorities. Similar requirements are set forth in the European and People’s Republic of China food safety legislation.</w:t>
      </w:r>
    </w:p>
    <w:p>
      <w:pPr>
        <w:spacing w:after="0" w:line="143"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Although we maintain consistent contact with our co-manufacturers and review and rely upon their operations, we do not control their manufacturing processes nor their compliance with cGMPs in the manufacturing of our products. If we or our co-manufacturers cannot successfully manufacture products that conform to our specifications and the strict regulatory requirements set forth in food legislation, we or they may be subject to adverse inspectional findings or enforcement actions, which could materially impact our ability to market our products, could result in our co-manufacturers’ inability to continue manufacturing for us or could result in a recall of our distributed product. In addition, we rely upon our co-producers to maintain adequate quality control, quality assurance and qualified personnel. If the FDA, or another comparable national regulatory authority, determines that we or these co-manufacturers have not complied with the applicable regulatory requirements, our business, financial condition or results of operations may be materially impacted.</w:t>
      </w:r>
    </w:p>
    <w:p>
      <w:pPr>
        <w:spacing w:after="0" w:line="151" w:lineRule="exact"/>
        <w:rPr>
          <w:sz w:val="20"/>
          <w:szCs w:val="20"/>
          <w:color w:val="auto"/>
        </w:rPr>
      </w:pPr>
    </w:p>
    <w:p>
      <w:pPr>
        <w:ind w:right="380" w:firstLine="864"/>
        <w:spacing w:after="0" w:line="261" w:lineRule="auto"/>
        <w:rPr>
          <w:sz w:val="20"/>
          <w:szCs w:val="20"/>
          <w:color w:val="auto"/>
        </w:rPr>
      </w:pPr>
      <w:r>
        <w:rPr>
          <w:rFonts w:ascii="Times New Roman" w:cs="Times New Roman" w:eastAsia="Times New Roman" w:hAnsi="Times New Roman"/>
          <w:sz w:val="18"/>
          <w:szCs w:val="18"/>
          <w:color w:val="auto"/>
        </w:rPr>
        <w:t>In the EU, we are subject to the authority of national enforcement authorities (e.g. Food Safety Authority of Ireland, Livsmedelsverket in Sweden and the Federal Office of Consumer Protection and Food Safety in Germany), environmental national agencies and consumer protection authorities. We also are regulated by similar authorities in China, including China Inspection and Quarantine, Singapore (Singapore Food Agency) and other regulatory bodies elsewhere in the world.</w:t>
      </w:r>
    </w:p>
    <w:p>
      <w:pPr>
        <w:spacing w:after="0" w:line="153" w:lineRule="exact"/>
        <w:rPr>
          <w:sz w:val="20"/>
          <w:szCs w:val="20"/>
          <w:color w:val="auto"/>
        </w:rPr>
      </w:pPr>
    </w:p>
    <w:p>
      <w:pPr>
        <w:ind w:right="60" w:firstLine="864"/>
        <w:spacing w:after="0" w:line="254" w:lineRule="auto"/>
        <w:rPr>
          <w:sz w:val="20"/>
          <w:szCs w:val="20"/>
          <w:color w:val="auto"/>
        </w:rPr>
      </w:pPr>
      <w:r>
        <w:rPr>
          <w:rFonts w:ascii="Times New Roman" w:cs="Times New Roman" w:eastAsia="Times New Roman" w:hAnsi="Times New Roman"/>
          <w:sz w:val="18"/>
          <w:szCs w:val="18"/>
          <w:color w:val="auto"/>
        </w:rPr>
        <w:t>We seek to comply with applicable regulations through a combination of employing internal experience and expert personnel to ensure safety, health, environmental and quality assurance compliance (i.e., assuring that our products are not adulterated or misbranded) and contracting with third-party laboratories that conduct analyses of products to ensure compliance with nutrition labeling requirements and to identify any potential contaminants before distribution. Failure by us or our co-producers to comply with applicable laws and regulations or maintain permits, licenses or registrations relating to our or our co-producers’ operations could subject us to civil remedies or penalties, including fines, injunctions, recalls or seizures, warning letters, restrictions on the marketing or manufacturing of products, or refusals to permit the import or export of products, as well as potential criminal sanctions, which could lead to increased operating costs resulting in a material effect on our business, financial condition and results of operations. See Item 4.B. “</w:t>
      </w:r>
      <w:r>
        <w:rPr>
          <w:rFonts w:ascii="Times New Roman" w:cs="Times New Roman" w:eastAsia="Times New Roman" w:hAnsi="Times New Roman"/>
          <w:sz w:val="18"/>
          <w:szCs w:val="18"/>
          <w:i w:val="1"/>
          <w:iCs w:val="1"/>
          <w:color w:val="auto"/>
        </w:rPr>
        <w:t>Information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Company—Business Overview—Government Regulation</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right="40" w:firstLine="864"/>
        <w:spacing w:after="0" w:line="277" w:lineRule="auto"/>
        <w:rPr>
          <w:sz w:val="20"/>
          <w:szCs w:val="20"/>
          <w:color w:val="auto"/>
        </w:rPr>
      </w:pPr>
      <w:r>
        <w:rPr>
          <w:rFonts w:ascii="Times New Roman" w:cs="Times New Roman" w:eastAsia="Times New Roman" w:hAnsi="Times New Roman"/>
          <w:sz w:val="17"/>
          <w:szCs w:val="17"/>
          <w:color w:val="auto"/>
        </w:rPr>
        <w:t>For example, due to our current production capabilities, we export many of our products from our European and American production facilities to the other markets where we operate, such as the United Kingdom. We face the risk that our products may face unexpected difficulties being exported out of their countries of production or being imported into the countries of sale, as either could result in delays in our customers receiving our products on a timely basis or at all, which could have a material adverse effect on our relationships with our customers and our global reputation. If our products were to be prevented from being exported or imported for whatever reason, this could adversely affect our business, financial condition and results of operations.</w:t>
      </w:r>
    </w:p>
    <w:p>
      <w:pPr>
        <w:spacing w:after="0" w:line="127" w:lineRule="exact"/>
        <w:rPr>
          <w:sz w:val="20"/>
          <w:szCs w:val="20"/>
          <w:color w:val="auto"/>
        </w:rPr>
      </w:pPr>
    </w:p>
    <w:p>
      <w:pPr>
        <w:ind w:right="60" w:firstLine="864"/>
        <w:spacing w:after="0" w:line="255" w:lineRule="auto"/>
        <w:rPr>
          <w:sz w:val="20"/>
          <w:szCs w:val="20"/>
          <w:color w:val="auto"/>
        </w:rPr>
      </w:pPr>
      <w:r>
        <w:rPr>
          <w:rFonts w:ascii="Times New Roman" w:cs="Times New Roman" w:eastAsia="Times New Roman" w:hAnsi="Times New Roman"/>
          <w:sz w:val="18"/>
          <w:szCs w:val="18"/>
          <w:color w:val="auto"/>
        </w:rPr>
        <w:t>We are also subject to extensive regulations internationally where we manufacture, distribute, promote and/or sell our products. Our products are subject to numerous food safety and other laws and regulations relating to the sourcing, manufacturing, storing, labeling, marketing, advertising and distribution of these products. If regulatory authorities in the jurisdictions in which we manufacture, distribute, promote and/or sell our products determine that the labeling, promotion, advertising and/or composition of any of our products is not in compliance with applicable laws or regulations, or if we or our co-manufacturers otherwise fail to comply with such applicable laws and regulations, we could be subject to civil remedies or penalties, such as fines, injunctions, recalls or seizures, warning letters, restrictions on the marketing or manufacturing of the products, or refusals to permit the import or export of products, as well as potential criminal sanctions. In the EU, applicable sanctions and penalties,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which may include criminal sanctions, are set forth in EU member state laws and enforcement measures are determined by national competent authorities, thus adding more complexity from a compliance perspective.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and results of operations.</w:t>
      </w:r>
    </w:p>
    <w:p>
      <w:pPr>
        <w:spacing w:after="0" w:line="153" w:lineRule="exact"/>
        <w:rPr>
          <w:sz w:val="20"/>
          <w:szCs w:val="20"/>
          <w:color w:val="auto"/>
        </w:rPr>
      </w:pPr>
    </w:p>
    <w:p>
      <w:pPr>
        <w:ind w:right="40" w:firstLine="864"/>
        <w:spacing w:after="0" w:line="256" w:lineRule="auto"/>
        <w:rPr>
          <w:sz w:val="20"/>
          <w:szCs w:val="20"/>
          <w:color w:val="auto"/>
        </w:rPr>
      </w:pPr>
      <w:r>
        <w:rPr>
          <w:rFonts w:ascii="Times New Roman" w:cs="Times New Roman" w:eastAsia="Times New Roman" w:hAnsi="Times New Roman"/>
          <w:sz w:val="18"/>
          <w:szCs w:val="18"/>
          <w:color w:val="auto"/>
        </w:rPr>
        <w:t>In addition, with our expanding international operations, we could be adversely affected by violations of the FCPA, the United Kingdom Bribery Act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non-compliance or reckless or criminal acts committed by our employees or agents. Violations of these laws, or allegations of such violations, could disrupt our business and result in a material adverse effect on our business, financial condition and results of operations.</w:t>
      </w:r>
    </w:p>
    <w:p>
      <w:pPr>
        <w:spacing w:after="0" w:line="14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existing laws or regulations, or the adoption of new laws or regulations may increase our costs and otherwise adversely affect our business, financial condition and results of operations.</w:t>
      </w:r>
    </w:p>
    <w:p>
      <w:pPr>
        <w:spacing w:after="0" w:line="118" w:lineRule="exact"/>
        <w:rPr>
          <w:sz w:val="20"/>
          <w:szCs w:val="20"/>
          <w:color w:val="auto"/>
        </w:rPr>
      </w:pPr>
    </w:p>
    <w:p>
      <w:pPr>
        <w:ind w:right="140" w:firstLine="864"/>
        <w:spacing w:after="0" w:line="289" w:lineRule="auto"/>
        <w:rPr>
          <w:sz w:val="20"/>
          <w:szCs w:val="20"/>
          <w:color w:val="auto"/>
        </w:rPr>
      </w:pPr>
      <w:r>
        <w:rPr>
          <w:rFonts w:ascii="Times New Roman" w:cs="Times New Roman" w:eastAsia="Times New Roman" w:hAnsi="Times New Roman"/>
          <w:sz w:val="17"/>
          <w:szCs w:val="17"/>
          <w:color w:val="auto"/>
        </w:rPr>
        <w:t>The manufacture and marketing of food products is highly regulated. We, our suppliers and co-manufacturers are subject to a variety of laws and regulations internationally, which apply to many aspects of our business, including the sourcing of raw materials, manufacturing, packaging, labeling, distribution, advertising, sale, quality and safety of our products, as well as the health and safety of our employees and the protection of the environment.</w:t>
      </w:r>
    </w:p>
    <w:p>
      <w:pPr>
        <w:spacing w:after="0" w:line="131" w:lineRule="exact"/>
        <w:rPr>
          <w:sz w:val="20"/>
          <w:szCs w:val="20"/>
          <w:color w:val="auto"/>
        </w:rPr>
      </w:pPr>
    </w:p>
    <w:p>
      <w:pPr>
        <w:ind w:right="180" w:firstLine="864"/>
        <w:spacing w:after="0" w:line="255" w:lineRule="auto"/>
        <w:rPr>
          <w:sz w:val="20"/>
          <w:szCs w:val="20"/>
          <w:color w:val="auto"/>
        </w:rPr>
      </w:pPr>
      <w:r>
        <w:rPr>
          <w:rFonts w:ascii="Times New Roman" w:cs="Times New Roman" w:eastAsia="Times New Roman" w:hAnsi="Times New Roman"/>
          <w:sz w:val="18"/>
          <w:szCs w:val="18"/>
          <w:color w:val="auto"/>
        </w:rPr>
        <w:t>In the United States, we are subject to regulation by various government agencies, including the FDA, Federal Trade Commission (“FTC”), Occupational Safety and Health Administration and the Environmental Protection Agency, as well as various state and local agencies. Outside the United States, we are subject to direct and indirect regulation by various international regulatory bodies, including the European Commission, EFSA, and the United Kingdom’s Food Standards Agency, Health and Safety Executive, Environment Agency, Environmental Health Officers and Trading Standards Officers and equivalent national competent authorities in EU member states. Following the end of the transition period on December 31, 2020, due to the United Kingdom’s withdrawal from the EU, the United Kingdom’s food and feed safety policy is no longer regulated by EU law or subject to supervision by EFSA and the European Commission.</w:t>
      </w:r>
    </w:p>
    <w:p>
      <w:pPr>
        <w:spacing w:after="0" w:line="148" w:lineRule="exact"/>
        <w:rPr>
          <w:sz w:val="20"/>
          <w:szCs w:val="20"/>
          <w:color w:val="auto"/>
        </w:rPr>
      </w:pPr>
    </w:p>
    <w:p>
      <w:pPr>
        <w:ind w:right="220" w:firstLine="864"/>
        <w:spacing w:after="0" w:line="261" w:lineRule="auto"/>
        <w:rPr>
          <w:sz w:val="20"/>
          <w:szCs w:val="20"/>
          <w:color w:val="auto"/>
        </w:rPr>
      </w:pPr>
      <w:r>
        <w:rPr>
          <w:rFonts w:ascii="Times New Roman" w:cs="Times New Roman" w:eastAsia="Times New Roman" w:hAnsi="Times New Roman"/>
          <w:sz w:val="18"/>
          <w:szCs w:val="18"/>
          <w:color w:val="auto"/>
        </w:rPr>
        <w:t>For example, the European Commission, EFSA, EU member state authorities, the FDA and the U.S. Department of Agriculture, other state regulators in the United States and/or other similar international regulatory authorities could take action to further impact our ability to use or refer to the term “milk” or dairy terms to describe our products. In the EU, Regulation (EU) No 1308/2013, establishing a common organization of the markets in agricultural products, provides specific requirements for some food products, including use of terms related to “milk” and “milk products.”</w:t>
      </w:r>
    </w:p>
    <w:p>
      <w:pPr>
        <w:spacing w:after="0" w:line="139" w:lineRule="exact"/>
        <w:rPr>
          <w:sz w:val="20"/>
          <w:szCs w:val="20"/>
          <w:color w:val="auto"/>
        </w:rPr>
      </w:pPr>
    </w:p>
    <w:p>
      <w:pPr>
        <w:ind w:right="20" w:firstLine="864"/>
        <w:spacing w:after="0" w:line="254" w:lineRule="auto"/>
        <w:rPr>
          <w:sz w:val="20"/>
          <w:szCs w:val="20"/>
          <w:color w:val="auto"/>
        </w:rPr>
      </w:pPr>
      <w:r>
        <w:rPr>
          <w:rFonts w:ascii="Times New Roman" w:cs="Times New Roman" w:eastAsia="Times New Roman" w:hAnsi="Times New Roman"/>
          <w:sz w:val="18"/>
          <w:szCs w:val="18"/>
          <w:color w:val="auto"/>
        </w:rPr>
        <w:t>In addition, a food may be deemed misbranded if its labeling is interpreted as false or misleading in any particular way, and regulators, including the European Commission, EFSA, EU member state authorities, the FDA, and other state or international regulators, could interpret the use of dairy terms to describe our plant-based products as false or misleading or likely to create an erroneous impression regarding their composition. In 2018, the FDA announced that it planned to reexamine its enforcement of the standard of identity for milk, the official definition of which involves “lacteal secretion,” which interpretation could result in the restriction of the use of the term “milk” to only those products that are animal-based, similar to the position taken by European regulators. Should regulatory authorities take action with respect to the use of the term “milk” or similar terms, such that we are unable to use those terms with respect to our plant-based products, we could be subject to enforcement action or could be required to recall our products marketed using these terms. Thus, we may be required to modify our marketing strategy, and our business, financial condition and results of operations could be adversely affected.</w:t>
      </w:r>
    </w:p>
    <w:p>
      <w:pPr>
        <w:spacing w:after="0" w:line="161"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In addition, an EFSA working group has been working on a scientific opinion in order to set a tolerable upper intake level for total/added/free dietary sugars on the basis of which national authorities may establish recommendations on the consumption of dietary sugars and plan food-based dietary guidelines. A public consultation on the draft scientific opinion took place mid-2021. EFSA published its Scientific Opinion on Tolerable upper intake level for dietary sugars in February 2022. This was a comprehensive safety assessment of sugars in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diet and their potential links to health problems. EFSA concluded that it was not possible to set a tolerable upper intake level for dietary sugars from all sources, but recommended that, based on available data and related uncertainties, the intake of added and free sugars should be as low as possible in the context of a nutritionally adequate diet. One important conclusion is that the sugars in dairy alternatives have been placed within ‘Core foods’ alongside fresh fruits and vegetables, cereals and dairy. EFSA refers to these food groups as having an overall good nutrient profile and being important for a nutritionally adequate diet. This opinion can assist EU member states in setting national goals/recommendations. Any further such changes in the product labeling could have a material adverse impact on our business, financial condition and results of operations.</w:t>
      </w:r>
    </w:p>
    <w:p>
      <w:pPr>
        <w:spacing w:after="0" w:line="160"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We are subject to certain standards, such as the Global Food Safety Initiative standards, and review by voluntary organizations, such as the Council of Better Business Bureaus’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 in the United States.</w:t>
      </w:r>
    </w:p>
    <w:p>
      <w:pPr>
        <w:spacing w:after="0" w:line="143"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The Farm to Fork Strategy (F2F) is a high-profile project of the European Commission since the Commission places it at the heart of the Green Deal with the aim of “making the European food system sustainable and a global standard”. The proposal for a legislative framework for sustainable food systems (“FSFS”) is one of the flagship initiatives of the F2F and is expected to be adopted by the European Commission by Q4 2023. Four policies are currently being assessed by the European Commission including setting up a new comprehensive framework legislation the objective of which is to define a common basis to integrate sustainability into all food policies, which would mean a combination of minimum requirements for sustainable food products and incentives for food systems’ actors to go beyond them.</w:t>
      </w:r>
    </w:p>
    <w:p>
      <w:pPr>
        <w:spacing w:after="0" w:line="147" w:lineRule="exact"/>
        <w:rPr>
          <w:sz w:val="20"/>
          <w:szCs w:val="20"/>
          <w:color w:val="auto"/>
        </w:rPr>
      </w:pPr>
    </w:p>
    <w:p>
      <w:pPr>
        <w:ind w:right="40" w:firstLine="909"/>
        <w:spacing w:after="0" w:line="266" w:lineRule="auto"/>
        <w:rPr>
          <w:sz w:val="20"/>
          <w:szCs w:val="20"/>
          <w:color w:val="auto"/>
        </w:rPr>
      </w:pPr>
      <w:r>
        <w:rPr>
          <w:rFonts w:ascii="Times New Roman" w:cs="Times New Roman" w:eastAsia="Times New Roman" w:hAnsi="Times New Roman"/>
          <w:sz w:val="18"/>
          <w:szCs w:val="18"/>
          <w:color w:val="auto"/>
        </w:rPr>
        <w:t>Before being adopted, an EC public consultation will be launched in the first half of 2022 there will be a European Commission workshop and targeted consultations. If adopted, the framework legislation will provide the basis for new legislation on sustainability and health, as well as a revision of existing food legislation.</w:t>
      </w:r>
    </w:p>
    <w:p>
      <w:pPr>
        <w:spacing w:after="0" w:line="149" w:lineRule="exact"/>
        <w:rPr>
          <w:sz w:val="20"/>
          <w:szCs w:val="20"/>
          <w:color w:val="auto"/>
        </w:rPr>
      </w:pPr>
    </w:p>
    <w:p>
      <w:pPr>
        <w:ind w:right="720" w:firstLine="864"/>
        <w:spacing w:after="0" w:line="282" w:lineRule="auto"/>
        <w:rPr>
          <w:sz w:val="20"/>
          <w:szCs w:val="20"/>
          <w:color w:val="auto"/>
        </w:rPr>
      </w:pPr>
      <w:r>
        <w:rPr>
          <w:rFonts w:ascii="Times New Roman" w:cs="Times New Roman" w:eastAsia="Times New Roman" w:hAnsi="Times New Roman"/>
          <w:sz w:val="18"/>
          <w:szCs w:val="18"/>
          <w:color w:val="auto"/>
        </w:rPr>
        <w:t>The outcome of the F2F and the FSFS strategy may impact our business if our products would not count as sustainable due to unclear definitions under-pinning misinformed discussions on ultra-processed foods.</w:t>
      </w:r>
    </w:p>
    <w:p>
      <w:pPr>
        <w:spacing w:after="0" w:line="121" w:lineRule="exact"/>
        <w:rPr>
          <w:sz w:val="20"/>
          <w:szCs w:val="20"/>
          <w:color w:val="auto"/>
        </w:rPr>
      </w:pPr>
    </w:p>
    <w:p>
      <w:pPr>
        <w:ind w:firstLine="864"/>
        <w:spacing w:after="0" w:line="252" w:lineRule="auto"/>
        <w:rPr>
          <w:sz w:val="20"/>
          <w:szCs w:val="20"/>
          <w:color w:val="auto"/>
        </w:rPr>
      </w:pPr>
      <w:r>
        <w:rPr>
          <w:rFonts w:ascii="Times New Roman" w:cs="Times New Roman" w:eastAsia="Times New Roman" w:hAnsi="Times New Roman"/>
          <w:sz w:val="18"/>
          <w:szCs w:val="18"/>
          <w:color w:val="auto"/>
        </w:rPr>
        <w:t>The regulatory environment in which we operate could change significantly and adversely in the future. Since plant-based, processed foods are still a relatively new food category, our business is subject to significant and ongoing debates and discussions regarding the nutritional value of plant-based alternatives as compared to dairy products, dietary recommendations and the treatment of fortifications and additives, all of which significantly influence the regulatory environment in which we operate and adds further costs and complexity to our operations. Any change in manufacturing, labeling or packaging requirements for our products may lead to an increase in costs, restrictive policy measures, taxes, limitations on distribution, interruptions in production or affect public perception of our products, any of which could adversely affect our operations and financial condition. For instance, any changes related to EU or national (member states) dietary guidelines, which are guiding decision makers and the public on healthy eating, may impact our business. Should plant-based products be categorized and treated as unhealthy and ultra-processed products instead of “nutritional, plant-based alternatives to dairy” by the European Commission, EFSA, EU member states authorities and/or other similar international regulatory authorities, our business, financial condition and results of operations could be impacted. Labeling and packaging are also under scrutiny by the European Commission within the context of the F2F for a fair, healthy and environmentally friendly food system. Legislative and non-legislative measures (i.e. initiatives) related to reformulation and introduction of maximum levels of certain nutrients, introducing mandatory front of pack nutrition labeling and, setting of nutrient profiles with the aim of being able to restrict promotion of food high in salt, sugars and/or fat are expected in the coming years and some of them already entered into force (e.g. the EU Code of Conduct on Responsible Food Business and Marketing Practices in July 2021), and may impact our business. For instance, an EFSA Scientific Opinion advising on the development of harmonized mandatory front-of-pack nutrition labelling and the setting of nutrient profiles for restricting nutrition and health claims on foods is expected in the second quarter of 2022. New or revised government laws and regulations could result in additional compliance costs and, in the event of non-compliance, civil remedies, including fines, injunctions, withdrawals, recalls or seizures and confiscations, as well as potential criminal sanctions, any of which may adversely affect our business, financial condition and results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operations. In particular, recent federal, state and foreign attention to the naming of plant-based dairy alternative products could result in standards or requirements that mandate changes to our current labeling.</w:t>
      </w:r>
    </w:p>
    <w:p>
      <w:pPr>
        <w:spacing w:after="0" w:line="13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our suppliers of raw materials or co-producers to comply with food safety, environmental or other laws and regulations, or with the specifications and requirements of our products, may disrupt our supply of products and adversely affect our business.</w:t>
      </w:r>
    </w:p>
    <w:p>
      <w:pPr>
        <w:spacing w:after="0" w:line="118"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If our suppliers or co-manufacturers fail to comply with food safety, environmental or other laws and regulations, or face allegations of non-compliance, their operations may be disrupted. Additionally, our co-manufacturers are required to maintain the quality of our products and to comply with our product specifications. In the event of actual or alleged non-compliance, we might be forced to find an alternative supplier or co-manufacturer, and we may be subject to lawsuits related to such non-compliance by our suppliers and co-manufacturers. As a result, our supply of raw materials or finished inventory could be disrupted or our costs could increase, which would adversely affect our business, financial condition and results of operations. The failure of any co-manufacturer to produce products that conform to our standards could adversely affect our reputation in the marketplace and result in product recalls, product liability claims and economic loss. For example, other plant-based dairy alternative companies have been significantly impacted by recalls resulting from allergen contamination at the supplier level.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environmental regulation and potentially subject to environmental litigation, proceedings and investigations.</w:t>
      </w:r>
    </w:p>
    <w:p>
      <w:pPr>
        <w:spacing w:after="0" w:line="202" w:lineRule="exact"/>
        <w:rPr>
          <w:sz w:val="20"/>
          <w:szCs w:val="20"/>
          <w:color w:val="auto"/>
        </w:rPr>
      </w:pPr>
    </w:p>
    <w:p>
      <w:pPr>
        <w:ind w:right="20" w:firstLine="864"/>
        <w:spacing w:after="0" w:line="252" w:lineRule="auto"/>
        <w:rPr>
          <w:sz w:val="20"/>
          <w:szCs w:val="20"/>
          <w:color w:val="auto"/>
        </w:rPr>
      </w:pPr>
      <w:r>
        <w:rPr>
          <w:rFonts w:ascii="Times New Roman" w:cs="Times New Roman" w:eastAsia="Times New Roman" w:hAnsi="Times New Roman"/>
          <w:sz w:val="18"/>
          <w:szCs w:val="18"/>
          <w:color w:val="auto"/>
        </w:rPr>
        <w:t>Our business operations and ownership and past and present operation of real property are subject to stringent federal, state and local environmental laws and regulations pertaining to the discharge of materials into the environment and natural resources. For example, we are required to maintain wastewater management systems at our production facilities, and should we want to expand any of our current production facilities, we would be required to obtain regulatory approval in order to expand such systems at any particular site. There can be no assurance that we will obtain any such regulatory approvals. While we undertake precautions to ensure that we comply with applicable environmental or health safety laws or regulations, there can be no assurance that we will not inadvertently release any cleaning chemicals, cooling agents or other types of materials which could violate any applicable regulations. Violation of these laws and regulations could lead to substantial liabilities, fines and penalties or to capital expenditures related to pollution control equipment that could have a material adverse effect on our business. In the future, we could also experience significant opposition from third parties with respect to our business, including non-governmental organizations, neighborhood groups and municipalities. Additionally, new matters or sites may be identified in the future that will require additional environmental investigation, assessment, or expenditures, which could cause additional capital expenditures. Future discovery of contamination of property underlying or in the vicinity of our present properties or facilities and/or waste disposal sites could require us to incur additional expenses, delays to our business and to our proposed construction. The occurrence of any of these events, the implementation of new laws and regulations, or stricter interpretation of existing laws or regulations, could adversely affect our business, financial condition and results of operations, or brand and reputation.</w:t>
      </w:r>
    </w:p>
    <w:p>
      <w:pPr>
        <w:spacing w:after="0" w:line="15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international trade policies, treaties and tariffs, including as a result of the United Kingdom’s withdrawal from the EU, or the emergence of a trade war could adversely impact our business, financial condition and results of operations.</w:t>
      </w:r>
    </w:p>
    <w:p>
      <w:pPr>
        <w:spacing w:after="0" w:line="118" w:lineRule="exact"/>
        <w:rPr>
          <w:sz w:val="20"/>
          <w:szCs w:val="20"/>
          <w:color w:val="auto"/>
        </w:rPr>
      </w:pPr>
    </w:p>
    <w:p>
      <w:pPr>
        <w:ind w:right="480" w:firstLine="864"/>
        <w:spacing w:after="0" w:line="261" w:lineRule="auto"/>
        <w:rPr>
          <w:sz w:val="20"/>
          <w:szCs w:val="20"/>
          <w:color w:val="auto"/>
        </w:rPr>
      </w:pPr>
      <w:r>
        <w:rPr>
          <w:rFonts w:ascii="Times New Roman" w:cs="Times New Roman" w:eastAsia="Times New Roman" w:hAnsi="Times New Roman"/>
          <w:sz w:val="18"/>
          <w:szCs w:val="18"/>
          <w:color w:val="auto"/>
        </w:rPr>
        <w:t>Changes to international trade policies, treaties and tariffs, or the perception that these changes could occur, could adversely impact the financial and economic conditions of some or all of the jurisdictions in which we operate. Any trade tensions or trade wars, for example, between the United States and China, or changes in Europe or the EU or news and rumors of a potential trade war, could have an adverse impact on our business, financial condition and results of operations.</w:t>
      </w:r>
    </w:p>
    <w:p>
      <w:pPr>
        <w:spacing w:after="0" w:line="153" w:lineRule="exact"/>
        <w:rPr>
          <w:sz w:val="20"/>
          <w:szCs w:val="20"/>
          <w:color w:val="auto"/>
        </w:rPr>
      </w:pPr>
    </w:p>
    <w:p>
      <w:pPr>
        <w:ind w:right="20" w:firstLine="864"/>
        <w:spacing w:after="0" w:line="266" w:lineRule="auto"/>
        <w:rPr>
          <w:sz w:val="20"/>
          <w:szCs w:val="20"/>
          <w:color w:val="auto"/>
        </w:rPr>
      </w:pPr>
      <w:r>
        <w:rPr>
          <w:rFonts w:ascii="Times New Roman" w:cs="Times New Roman" w:eastAsia="Times New Roman" w:hAnsi="Times New Roman"/>
          <w:sz w:val="18"/>
          <w:szCs w:val="18"/>
          <w:color w:val="auto"/>
        </w:rPr>
        <w:t>On December 31, 2020, the transition period following the United Kingdom’s departure from the EU (“Brexit”) ended. On December 24, 2020, the United Kingdom and the EU agreed to a trade and cooperation agreement (the “Trade and Cooperation Agreement”) in relation to the United Kingdom’s withdrawal from the EU. The Trade and Cooperation Agreement took full effect on May 1, 2021 and provided for, among other things, zero-</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rate tariffs and zero quotas on the movement of goods between the United Kingdom and the EU. We continue to monitor economic and political developments related to Brexit.</w:t>
      </w:r>
    </w:p>
    <w:p>
      <w:pPr>
        <w:spacing w:after="0" w:line="135" w:lineRule="exact"/>
        <w:rPr>
          <w:sz w:val="20"/>
          <w:szCs w:val="20"/>
          <w:color w:val="auto"/>
        </w:rPr>
      </w:pPr>
    </w:p>
    <w:p>
      <w:pPr>
        <w:ind w:right="60" w:firstLine="864"/>
        <w:spacing w:after="0" w:line="270" w:lineRule="auto"/>
        <w:rPr>
          <w:sz w:val="20"/>
          <w:szCs w:val="20"/>
          <w:color w:val="auto"/>
        </w:rPr>
      </w:pPr>
      <w:r>
        <w:rPr>
          <w:rFonts w:ascii="Times New Roman" w:cs="Times New Roman" w:eastAsia="Times New Roman" w:hAnsi="Times New Roman"/>
          <w:sz w:val="17"/>
          <w:szCs w:val="17"/>
          <w:color w:val="auto"/>
        </w:rPr>
        <w:t>While we currently do not have production facilities in the United Kingdom, we are in the process of constructing a plant in the United Kingdom. Until our plant in the United Kingdom is completed and fully operational, we import all of our products into the United Kingdom and may continue to do so depending on demand. As a result, our business in the United Kingdom could be adversely affected by changes in trade agreements between the United Kingdom and the EU. If the United Kingdom’s separation from the EU negatively impacts the United Kingdom’s economy, results in disagreements on trade terms, delays or disrupts our supply chain or distribution channels, delays or disrupts the construction and operation of our production facility in the United Kingdom or results in decreased product sales, this could have a material impact on our results of operations, financial condition, cash flows and stock price. For example, we may experience inflationary cost pressures and disruptions to our international and local supply chain and distribution, including those related to the recent transportation labor shortage in the United Kingdom. Additionally, the imposition of increased or new tariffs could increase our costs and require us to raise prices on certain products, which may adversely impact the demand for such products. If we are not successful in offsetting the impacts of any such tariffs, our business, financial condition and results of operations could be adversely impacted.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proprietary technology adequately, which may impact our commercial success.</w:t>
      </w:r>
    </w:p>
    <w:p>
      <w:pPr>
        <w:spacing w:after="0" w:line="189"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a combination of trademarks, patent protection, trade secrets and copyrights, as well as confidentiality and other contractual restrictions to protect our proprietary technology. However, these legal means afford only limited protection and may not adequately protect our proprietary technology or permit us to gain or keep any competitive advantage. Despite our efforts to protect our products and developments, unauthorized parties may attempt to copy aspects of our products or other technology, or obtain and use our trade secrets and other confidential information. Additionally, due to the highly competitive space in which we operate, competitors may file patent applications that, if granted, could hinder our ability to enter into new product categories and develop new products.</w:t>
      </w:r>
    </w:p>
    <w:p>
      <w:pPr>
        <w:spacing w:after="0" w:line="162"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We cannot offer any assurances about which, if any, patents will be issued from any of our patent applications, the breadth of any granted patents, or whether any granted patents will be found invalid and unenforceable or will be infringed or challenged by third parties. Any successful proceeding challenging the validity, enforceability or scope of these patents or any other patents owned by or, if applicable in the future, licensed to us could deprive us of rights necessary for the successful commercialization of products that we may develop. 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Further, our ability to enforce our patent or other intellectual property rights depends on our ability to detect infringement, especially process patents. It may be difficult to detect infringers who do not advertise the process that are used in connection with their products. Moreover, it may be difficult or impossible to obtain evidence of infringement in a competitor’s or potential competitor’s products.</w:t>
      </w:r>
    </w:p>
    <w:p>
      <w:pPr>
        <w:spacing w:after="0" w:line="154"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Since patent applications are confidential for a period of 18 months after a first priority filing, we cannot know, until these 18 months have lapsed, that we were the first to file on the technologies covered in one or several of our patent applications related to our technologies or products. Furthermore, at any time during the lifetime of a patent or patent application, claims on the right to the underlying invention may be raised, which could harm or otherwise hinder our possibility to exercise such invention. For example a derivation proceeding may be provoked by a third party, or instituted by the U.S. Patent and Trademark Office (“USPTO”), to determine who was the first to invent any of the subject matter covered by the patent claims of our patents or patent applications.</w:t>
      </w:r>
    </w:p>
    <w:p>
      <w:pPr>
        <w:spacing w:after="0" w:line="147" w:lineRule="exact"/>
        <w:rPr>
          <w:sz w:val="20"/>
          <w:szCs w:val="20"/>
          <w:color w:val="auto"/>
        </w:rPr>
      </w:pPr>
    </w:p>
    <w:p>
      <w:pPr>
        <w:ind w:right="300" w:firstLine="864"/>
        <w:spacing w:after="0" w:line="266" w:lineRule="auto"/>
        <w:rPr>
          <w:sz w:val="20"/>
          <w:szCs w:val="20"/>
          <w:color w:val="auto"/>
        </w:rPr>
      </w:pPr>
      <w:r>
        <w:rPr>
          <w:rFonts w:ascii="Times New Roman" w:cs="Times New Roman" w:eastAsia="Times New Roman" w:hAnsi="Times New Roman"/>
          <w:sz w:val="18"/>
          <w:szCs w:val="18"/>
          <w:color w:val="auto"/>
        </w:rPr>
        <w:t>Further, assertions by third parties of infringement or other violation by us of their intellectual property rights could harm our business, financial condition and results of operations. Third parties may in the future assert, that we have infringed, misappropriated, or otherwise violated their copyrights, patents, trademarks, and other</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intellectual property rights (including with respect to any existing registrations held by such third parties), and as we face increasing competition, the possibility of intellectual property rights claims against us grows. We could be targeted for litigation and we may not be able to assert counterclaims against parties that sue us for patent, or other intellectual property infringement. In addition, various “non-practicing entities” that own patents and other intellectual property rights may attempt to aggressively assert claims in order to extract value from us as a product company. Additionally, when we introduce new products, including in territories where we currently do not have an offering, our exposure to patent and other intellectual property claims from competitors and non-practicing entities will increase. It is difficult to predict whether assertions of third-party intellectual property rights or any infringement or misappropriation claims arising from such assertions will substantially harm our business, financial condition and results of operations. 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significant damages, which may be even greater if we are found to have willfully infringed upon a party’s intellectual property. Even if resolved in our favor, litigation or other legal proceedings relating to intellectual property claims may result in significant expenses and reputational loss and could distract our management personnel and other employees from their normal responsibilities.</w:t>
      </w:r>
    </w:p>
    <w:p>
      <w:pPr>
        <w:spacing w:after="0" w:line="163"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In addition, the European patent system is relatively stringent in the type of amendments that are allowed during prosecution, and the complexity and uncertainty of European patent laws has also increased in recent years. We cannot predict future changes in the interpretation of patent laws by U.S. and international judicial bodies or changes to patent laws that might be enacted into law by U.S. and international legislative bodies.</w:t>
      </w:r>
    </w:p>
    <w:p>
      <w:pPr>
        <w:spacing w:after="0" w:line="151"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Moreover, in the United States, the Leahy-Smith America Invents Act (the “Leahy-Smith Act”) enacted in September 2011, brought significant changes to the U.S. patent system, including a change from a “first to invent” system to a “first to file” system. Other changes in the Leahy-Smith Act affect the way patent applications are prosecuted, redefine prior art and may affect patent litigation. The USPTO developed new regulations and procedures to govern administration of the Leahy-Smith Act, and many of the substantive changes to patent law associated with the Leahy-Smith Act became effective on March 16, 2013. The Leahy-Smith Act and its implementation could increase the uncertainties and costs surrounding the prosecution of our patent applications and the enforcement or defense of our issued patents, which could have a material adverse effect on our business, financial condition and results of operations.</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intellectual property rights are being challenged. We may not be able to protect our intellectual property adequately, which may harm the value of our brand.</w:t>
      </w:r>
    </w:p>
    <w:p>
      <w:pPr>
        <w:spacing w:after="0" w:line="132" w:lineRule="exact"/>
        <w:rPr>
          <w:sz w:val="20"/>
          <w:szCs w:val="20"/>
          <w:color w:val="auto"/>
        </w:rPr>
      </w:pPr>
    </w:p>
    <w:p>
      <w:pPr>
        <w:ind w:right="100" w:firstLine="864"/>
        <w:spacing w:after="0" w:line="254" w:lineRule="auto"/>
        <w:rPr>
          <w:sz w:val="20"/>
          <w:szCs w:val="20"/>
          <w:color w:val="auto"/>
        </w:rPr>
      </w:pPr>
      <w:r>
        <w:rPr>
          <w:rFonts w:ascii="Times New Roman" w:cs="Times New Roman" w:eastAsia="Times New Roman" w:hAnsi="Times New Roman"/>
          <w:sz w:val="18"/>
          <w:szCs w:val="18"/>
          <w:color w:val="auto"/>
        </w:rPr>
        <w:t>We believe that our intellectual property has substantial value and has contributed significantly to the success of our business. Our trademarks, including “Oatly” (in various forms), “Wow No Cow” and “Post-Milk Generation,” are valuable assets that reinforce our brand and consumers’ favorable perception of our products. We cannot assure you that we will be able to register and/or enforce our trademarks in all jurisdictions as the requirement for trademarks registrability and the scope of trademark protection in different jurisdictions can be inconsistent. In addition, third parties have adopted, and may adopt, trade names or trademarks that are the same as or similar to ours, especially in a jurisdiction we have yet to cover, thereby impeding our ability to build brand identity and possibly leading to market confusion. Over the long term, if we are unable to successfully register our trademarks and trade names and establish name recognition based on our trademarks and trade names, we may not be able to compete effectively and our business may be adversely affected.</w:t>
      </w:r>
    </w:p>
    <w:p>
      <w:pPr>
        <w:spacing w:after="0" w:line="151" w:lineRule="exact"/>
        <w:rPr>
          <w:sz w:val="20"/>
          <w:szCs w:val="20"/>
          <w:color w:val="auto"/>
        </w:rPr>
      </w:pPr>
    </w:p>
    <w:p>
      <w:pPr>
        <w:ind w:right="160" w:firstLine="864"/>
        <w:spacing w:after="0" w:line="258" w:lineRule="auto"/>
        <w:rPr>
          <w:sz w:val="20"/>
          <w:szCs w:val="20"/>
          <w:color w:val="auto"/>
        </w:rPr>
      </w:pPr>
      <w:r>
        <w:rPr>
          <w:rFonts w:ascii="Times New Roman" w:cs="Times New Roman" w:eastAsia="Times New Roman" w:hAnsi="Times New Roman"/>
          <w:sz w:val="18"/>
          <w:szCs w:val="18"/>
          <w:color w:val="auto"/>
        </w:rPr>
        <w:t>We also rely on unpatented proprietary expertise, recipes and formulations and other trade secrets and copyright protection to develop and maintain our competitive position. Whether we choose to seek legal protection through patent registration or, alternatively, seek to maintain trade secrecy, involves a risk assessment that could result in a competitor gaining patent protection on something that we kept as a trade secret, which could result in the infringement of such competitor’s intellectual property after such intellectual property was made publicly available, which could negatively impact our ability to provide any products created by using such intellectual property and result in a loss of sales.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firstLine="864"/>
        <w:spacing w:after="0" w:line="255" w:lineRule="auto"/>
        <w:rPr>
          <w:sz w:val="20"/>
          <w:szCs w:val="20"/>
          <w:color w:val="auto"/>
        </w:rPr>
      </w:pPr>
      <w:r>
        <w:rPr>
          <w:rFonts w:ascii="Times New Roman" w:cs="Times New Roman" w:eastAsia="Times New Roman" w:hAnsi="Times New Roman"/>
          <w:sz w:val="18"/>
          <w:szCs w:val="18"/>
          <w:color w:val="auto"/>
        </w:rPr>
        <w:t>Our confidentiality agreements with our employees and certain of our consultants, contract employees,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w:t>
      </w:r>
    </w:p>
    <w:p>
      <w:pPr>
        <w:spacing w:after="0" w:line="162" w:lineRule="exact"/>
        <w:rPr>
          <w:sz w:val="20"/>
          <w:szCs w:val="20"/>
          <w:color w:val="auto"/>
        </w:rPr>
      </w:pPr>
    </w:p>
    <w:p>
      <w:pPr>
        <w:ind w:right="100" w:firstLine="864"/>
        <w:spacing w:after="0" w:line="253" w:lineRule="auto"/>
        <w:rPr>
          <w:sz w:val="20"/>
          <w:szCs w:val="20"/>
          <w:color w:val="auto"/>
        </w:rPr>
      </w:pPr>
      <w:r>
        <w:rPr>
          <w:rFonts w:ascii="Times New Roman" w:cs="Times New Roman" w:eastAsia="Times New Roman" w:hAnsi="Times New Roman"/>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have been, are being and may be challenged and could be canceled or narrowed. Failure to protect our trademark rights could prevent us in the future from challenging third parties who use names and logos similar to our trademarks, which may in turn cause consumer confusion or negatively affect consumers’ perception of our brand and products. In addition, if we do not keep our trade secrets confidential, others may produce products with our recipes or formulations. Moreover, intellectual property disputes and proceedings and infringement claims may result in a significant distraction for management and significant expense, which may not be recoverable regardless of whether we are successful. Attempting to protect our intellectual property may also result in negative publicity that may harm our brand.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ADSs</w:t>
      </w:r>
    </w:p>
    <w:p>
      <w:pPr>
        <w:spacing w:after="0" w:line="117"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environment.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134"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We are a public reporting company subject to the rules and regulations established from time to time by the SEC and Nasdaq. These rules and regulations require, among other things, that we establish and evaluate procedures with respect to our disclosure controls and procedures and our internal control over financial reporting. Reporting obligations as a public company place a considerable strain on our financial and management systems, processes and controls, as well as on our personnel.</w:t>
      </w:r>
    </w:p>
    <w:p>
      <w:pPr>
        <w:spacing w:after="0" w:line="153" w:lineRule="exact"/>
        <w:rPr>
          <w:sz w:val="20"/>
          <w:szCs w:val="20"/>
          <w:color w:val="auto"/>
        </w:rPr>
      </w:pPr>
    </w:p>
    <w:p>
      <w:pPr>
        <w:ind w:right="60" w:firstLine="864"/>
        <w:spacing w:after="0" w:line="254" w:lineRule="auto"/>
        <w:rPr>
          <w:sz w:val="20"/>
          <w:szCs w:val="20"/>
          <w:color w:val="auto"/>
        </w:rPr>
      </w:pPr>
      <w:r>
        <w:rPr>
          <w:rFonts w:ascii="Times New Roman" w:cs="Times New Roman" w:eastAsia="Times New Roman" w:hAnsi="Times New Roman"/>
          <w:sz w:val="18"/>
          <w:szCs w:val="18"/>
          <w:color w:val="auto"/>
        </w:rPr>
        <w:t>As previously disclosed, in the course of auditing our consolidated financial statements as of and for the years ended December 31, 2020 and 2019, we and our independent registered public accounting firm identified material weaknesses in our internal control environment. As defined in the standards established by the U.S. Public Company Accounting Oversight Board,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were driven by (i) our technology access related environment and change control processes not supporting an efficient or effective internal control framework, (ii) lack of documented policies and procedures in relation to our business processes and entity level controls as well as lack of evidence of performing controls and (iii) inadequate segregation of duties. For the year ended December 31, 2021, our disclosure controls and procedures were not effective as a result of these ongoing material weaknesses, as more fully described under Item 15,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of this Annual Report.</w:t>
      </w:r>
    </w:p>
    <w:p>
      <w:pPr>
        <w:spacing w:after="0" w:line="148" w:lineRule="exact"/>
        <w:rPr>
          <w:sz w:val="20"/>
          <w:szCs w:val="20"/>
          <w:color w:val="auto"/>
        </w:rPr>
      </w:pPr>
    </w:p>
    <w:p>
      <w:pPr>
        <w:ind w:right="100" w:firstLine="864"/>
        <w:spacing w:after="0" w:line="258" w:lineRule="auto"/>
        <w:rPr>
          <w:sz w:val="20"/>
          <w:szCs w:val="20"/>
          <w:color w:val="auto"/>
        </w:rPr>
      </w:pPr>
      <w:r>
        <w:rPr>
          <w:rFonts w:ascii="Times New Roman" w:cs="Times New Roman" w:eastAsia="Times New Roman" w:hAnsi="Times New Roman"/>
          <w:sz w:val="18"/>
          <w:szCs w:val="18"/>
          <w:color w:val="auto"/>
        </w:rPr>
        <w:t>To remedy our identified material weaknesses, we have initiated a number of measures to improve our internal control over financial reporting as well as implementing the COSO 2013 framework. While new controls are being designed and implemented, they have not operated for a sufficient period of time to demonstrate that the material weaknesses have been remediated. The material weaknesses will be considered remediated when management concludes that, through testing, the applicable remediated controls are designed, implemented and operating effectively. We expect the procedures planned for remediation to be completed during 2022. See Item 15,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of this Annual Report.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However, implementation of these measures may not fully address the material weaknesses identified in our internal control over financial reporting and we cannot assure that we will be successful in remediating the material weaknesses. Our failure to correct the material weaknesses or our failure to discover and address any other material weaknesses or deficiencies could result in inaccuracies in our financial statements and impair our ability to comply with applicable financial reporting requirements and related regulatory filings on a timely basis.</w:t>
      </w:r>
    </w:p>
    <w:p>
      <w:pPr>
        <w:spacing w:after="0" w:line="153" w:lineRule="exact"/>
        <w:rPr>
          <w:sz w:val="20"/>
          <w:szCs w:val="20"/>
          <w:color w:val="auto"/>
        </w:rPr>
      </w:pPr>
    </w:p>
    <w:p>
      <w:pPr>
        <w:ind w:right="60" w:firstLine="864"/>
        <w:spacing w:after="0" w:line="258" w:lineRule="auto"/>
        <w:rPr>
          <w:sz w:val="20"/>
          <w:szCs w:val="20"/>
          <w:color w:val="auto"/>
        </w:rPr>
      </w:pPr>
      <w:r>
        <w:rPr>
          <w:rFonts w:ascii="Times New Roman" w:cs="Times New Roman" w:eastAsia="Times New Roman" w:hAnsi="Times New Roman"/>
          <w:sz w:val="18"/>
          <w:szCs w:val="18"/>
          <w:color w:val="auto"/>
        </w:rPr>
        <w:t>Management’s initial certification under Section 404 is required with our annual report on Form 20-F for the year ending December 31, 2022. In support of such certifications, we will be required to document and make significant changes and enhancements, including hiring personnel in necessary functions with relevant experience. In addition, once we cease to be an “emerging growth company” as such term is defined in Section 2(a) of the Securities Act, as modified by the Jumpstart Our Business Startups Act (the “JOBS Act”), our independent registered public accounting firm must attest to and report on the effectiveness of our internal control over financial reporting.</w:t>
      </w:r>
    </w:p>
    <w:p>
      <w:pPr>
        <w:spacing w:after="0" w:line="143"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Moreover, in future periods,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a newly public company, our reporting obligations place a significant strain on our management, operational and financial resources and systems and will continue to do so for the foreseeable future. We may be unable to timely complete our evaluation testing and any required remediation. As a result, we anticipate investing significant resources to enhance and maintain our financial controls, reporting system and procedures over the coming years.</w:t>
      </w:r>
    </w:p>
    <w:p>
      <w:pPr>
        <w:spacing w:after="0" w:line="148"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While documenting and testing our internal control procedures, in order to satisfy the future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w:t>
      </w:r>
    </w:p>
    <w:p>
      <w:pPr>
        <w:spacing w:after="0" w:line="153" w:lineRule="exact"/>
        <w:rPr>
          <w:sz w:val="20"/>
          <w:szCs w:val="20"/>
          <w:color w:val="auto"/>
        </w:rPr>
      </w:pPr>
    </w:p>
    <w:p>
      <w:pPr>
        <w:ind w:right="80" w:firstLine="864"/>
        <w:spacing w:after="0" w:line="256" w:lineRule="auto"/>
        <w:rPr>
          <w:sz w:val="20"/>
          <w:szCs w:val="20"/>
          <w:color w:val="auto"/>
        </w:rPr>
      </w:pPr>
      <w:r>
        <w:rPr>
          <w:rFonts w:ascii="Times New Roman" w:cs="Times New Roman" w:eastAsia="Times New Roman" w:hAnsi="Times New Roman"/>
          <w:sz w:val="18"/>
          <w:szCs w:val="18"/>
          <w:color w:val="auto"/>
        </w:rPr>
        <w:t>Generally,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our issued equity instruments, including our ADSs, may be materially and adversely affected. Additionally, ineffective internal control over financial reporting could expose us to increased risk of fraud or misuse of corporate assets and subject us to potential delisting from the stock exchange, regulatory investigations and civil or criminal sanctions. We may also be required to restate our financial statements from prior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largest shareholder has significant influence over us, including significant influence over decisions that require the approval of shareholders.</w:t>
      </w:r>
    </w:p>
    <w:p>
      <w:pPr>
        <w:spacing w:after="0" w:line="189" w:lineRule="exact"/>
        <w:rPr>
          <w:sz w:val="20"/>
          <w:szCs w:val="20"/>
          <w:color w:val="auto"/>
        </w:rPr>
      </w:pPr>
    </w:p>
    <w:p>
      <w:pPr>
        <w:ind w:right="60" w:firstLine="864"/>
        <w:spacing w:after="0" w:line="253" w:lineRule="auto"/>
        <w:rPr>
          <w:sz w:val="20"/>
          <w:szCs w:val="20"/>
          <w:color w:val="auto"/>
        </w:rPr>
      </w:pPr>
      <w:r>
        <w:rPr>
          <w:rFonts w:ascii="Times New Roman" w:cs="Times New Roman" w:eastAsia="Times New Roman" w:hAnsi="Times New Roman"/>
          <w:sz w:val="18"/>
          <w:szCs w:val="18"/>
          <w:color w:val="auto"/>
        </w:rPr>
        <w:t>As of December 31, 2021, our largest shareholder, Nativus Company Limited and entities affiliated with China Resources Verlinvest Health Investment Limited (“CRVV”) owned, in the aggregate, approximately 45.9% of the voting power represented by all our outstanding ADSs. As a result, our largest shareholder exercises significant influence over certain corporate matters requiring shareholder approval under Swedish law, including the election and removal of directors and the size of our board, any amendment of our amended and restated articles of association and any approval of significant corporate transactions (including a sale of substantially all of our assets), and has significant influence over our management and policies, despite not controlling a majority of our outstanding ordinary shares. Nativus Company Limited is a wholly owned subsidiary of CRVV, which is a joint venture that is 50% owned by Verlinvest S.A. and 50% owned by Blossom Key (Hong Kong) Holdings Limited. Blossom Key (Hong Kong) Holdings Limited is indirectly and wholly owned by China Resources (Holdings) Company Limited (“CR Holdings”), and CR Holdings is indirectly and wholly owned by China Resources Company Limited.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Affiliates of CRVV are members of our Board of Directors. These board members are nominated by CRVV and can take actions that have the effect of delaying or preventing a change of control of us or discouraging others from making tender offers for our ADSs, which could prevent shareholders from receiving a premium for their ADSs.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the market price of our ADSs have been, and may be, volatile, and you may lose all or part of your investment.</w:t>
      </w:r>
    </w:p>
    <w:p>
      <w:pPr>
        <w:spacing w:after="0" w:line="189" w:lineRule="exact"/>
        <w:rPr>
          <w:sz w:val="20"/>
          <w:szCs w:val="20"/>
          <w:color w:val="auto"/>
        </w:rPr>
      </w:pPr>
    </w:p>
    <w:p>
      <w:pPr>
        <w:ind w:right="160" w:firstLine="864"/>
        <w:spacing w:after="0" w:line="258" w:lineRule="auto"/>
        <w:rPr>
          <w:sz w:val="20"/>
          <w:szCs w:val="20"/>
          <w:color w:val="auto"/>
        </w:rPr>
      </w:pPr>
      <w:r>
        <w:rPr>
          <w:rFonts w:ascii="Times New Roman" w:cs="Times New Roman" w:eastAsia="Times New Roman" w:hAnsi="Times New Roman"/>
          <w:sz w:val="18"/>
          <w:szCs w:val="18"/>
          <w:color w:val="auto"/>
        </w:rPr>
        <w:t>Our operating results are likely to fluctuate in the future in response to numerous factors, many of which are beyond our control. In addition, securities markets worldwide have experienced, and are likely to continue to experience, significant price and volume fluctuations. This market volatility, as well as general economic, market or political conditions, could subject the market price of our ADSs to wide price fluctuations regardless of our operating performance. The market for our ADSs may have, when compared to seasoned issuers, significant price volatility and we expect that our ADS price may continue to be more volatile than that of a seasoned issuer for the indefinite future.</w:t>
      </w:r>
    </w:p>
    <w:p>
      <w:pPr>
        <w:spacing w:after="0" w:line="143"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ADSs to fluctuate substantially. Fluctuations in our quarterly operating results could limit or prevent investors from readily selling their ADSs and may otherwise negatively affect the market price and liquidity of our ADSs.</w:t>
      </w:r>
    </w:p>
    <w:p>
      <w:pPr>
        <w:spacing w:after="0" w:line="1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securities class action litigation and could be subject to additional litigation in the United States or elsewhere that could negatively impact our business, including resulting in substantial costs and liabilities.</w:t>
      </w:r>
    </w:p>
    <w:p>
      <w:pPr>
        <w:spacing w:after="0" w:line="118"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a number of securities class action lawsuits in the United States alleging a failure to disclose, or misrepresentation of material facts relating to our business. One such action, captioned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xml:space="preserve">, Consolidated Civil Action No. 1:21-cv-06360-AKH, pending in the United States District Court for the Southern District of New York, was brought against the Company and certain of its officers and directors (including a former director), and alleges violations of the Exchange Act, SEC Rule 10b-5, and the Securities Act of 1933. The other, captioned </w:t>
      </w:r>
      <w:r>
        <w:rPr>
          <w:rFonts w:ascii="Times New Roman" w:cs="Times New Roman" w:eastAsia="Times New Roman" w:hAnsi="Times New Roman"/>
          <w:sz w:val="18"/>
          <w:szCs w:val="18"/>
          <w:i w:val="1"/>
          <w:iCs w:val="1"/>
          <w:color w:val="auto"/>
        </w:rPr>
        <w:t>Hipple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Oatly Group AB et al.</w:t>
      </w:r>
      <w:r>
        <w:rPr>
          <w:rFonts w:ascii="Times New Roman" w:cs="Times New Roman" w:eastAsia="Times New Roman" w:hAnsi="Times New Roman"/>
          <w:sz w:val="18"/>
          <w:szCs w:val="18"/>
          <w:color w:val="auto"/>
        </w:rPr>
        <w:t>, Index No. 151432/2022, pending in the New York County Supreme Court, was brought against the Company, certain of its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(including a former director), among others, and alleges violations of the Securities Act of 1933.</w:t>
      </w:r>
    </w:p>
    <w:p>
      <w:pPr>
        <w:spacing w:after="0" w:line="147" w:lineRule="exact"/>
        <w:rPr>
          <w:sz w:val="20"/>
          <w:szCs w:val="20"/>
          <w:color w:val="auto"/>
        </w:rPr>
      </w:pPr>
    </w:p>
    <w:p>
      <w:pPr>
        <w:jc w:val="both"/>
        <w:ind w:right="80" w:firstLine="864"/>
        <w:spacing w:after="0" w:line="261" w:lineRule="auto"/>
        <w:rPr>
          <w:sz w:val="20"/>
          <w:szCs w:val="20"/>
          <w:color w:val="auto"/>
        </w:rPr>
      </w:pPr>
      <w:r>
        <w:rPr>
          <w:rFonts w:ascii="Times New Roman" w:cs="Times New Roman" w:eastAsia="Times New Roman" w:hAnsi="Times New Roman"/>
          <w:sz w:val="18"/>
          <w:szCs w:val="18"/>
          <w:color w:val="auto"/>
        </w:rPr>
        <w:t>We may be subject to additional, similar actions in the future. These types of lawsuits could require significant management time and attention and could result in significant expenses as well as unfavorable outcomes that could have a material adverse impact on our customer relationships, business prospects, reputation, operating results, cash-flows or financial results, and our insurance may not mitigate such impact. Currently, the duration or ultimate outcome of the securities litigation cannot be predicted or estimated.</w:t>
      </w:r>
    </w:p>
    <w:p>
      <w:pPr>
        <w:spacing w:after="0" w:line="14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Securities Act, and we cannot be certain if the reduced disclosure requirements applicable to emerging growth companies will make our ADSs less attractive to investors because we rely on these reduced disclosure requirements.</w:t>
      </w:r>
    </w:p>
    <w:p>
      <w:pPr>
        <w:spacing w:after="0" w:line="118" w:lineRule="exact"/>
        <w:rPr>
          <w:sz w:val="20"/>
          <w:szCs w:val="20"/>
          <w:color w:val="auto"/>
        </w:rPr>
      </w:pPr>
    </w:p>
    <w:p>
      <w:pPr>
        <w:ind w:right="360" w:firstLine="864"/>
        <w:spacing w:after="0" w:line="289"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as modified by the JOBS Act. Under the JOBS Act, emerging growth companies can delay adopting new or revised financial accounting standards until such time as those standards apply to private companies. We are taking advantage of this extended transition period under the JOBS Act for adopting new or revised financial accounting standards.</w:t>
      </w:r>
    </w:p>
    <w:p>
      <w:pPr>
        <w:spacing w:after="0" w:line="117" w:lineRule="exact"/>
        <w:rPr>
          <w:sz w:val="20"/>
          <w:szCs w:val="20"/>
          <w:color w:val="auto"/>
        </w:rPr>
      </w:pPr>
    </w:p>
    <w:p>
      <w:pPr>
        <w:ind w:right="120" w:firstLine="864"/>
        <w:spacing w:after="0" w:line="254"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404(b) of the Sarbanes-Oxley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$1.07 billion, if we issue more than $1.0 billion in non-convertible debt securities during any three-year period, or if before that time we are a “large accelerated filer” under U.S. securities laws. We cannot predict if investors will find our ADSs less attractive as a result of relying on these exemptions. If some investors find our ADSs less attractive as a result, there may be a less active trading market for our ADSs and the market price of our ADSs may be more volatile.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18" w:lineRule="exact"/>
        <w:rPr>
          <w:sz w:val="20"/>
          <w:szCs w:val="20"/>
          <w:color w:val="auto"/>
        </w:rPr>
      </w:pPr>
    </w:p>
    <w:p>
      <w:pPr>
        <w:ind w:right="60" w:firstLine="864"/>
        <w:spacing w:after="0" w:line="253"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189"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 These expenses will relate to, among other things, the obligation to present our financial information in accordance with U.S. GAAP in the future.</w:t>
      </w:r>
    </w:p>
    <w:p>
      <w:pPr>
        <w:spacing w:after="0" w:line="14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a “foreign private issuer” and follow certain home country corporate governance practices, our shareholders may not have the same protections afforded to shareholders of companies that are subject to all Nasdaq corporate governance requirements.</w:t>
      </w:r>
    </w:p>
    <w:p>
      <w:pPr>
        <w:spacing w:after="0" w:line="132"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rely on this “foreign private issuer exemption” with respect to the Nasdaq rules for the quorum requirements applicable to the meetings of shareholders and the requirement that independent directors regularly meet in executive sessions where only independent directors are present. We may in the future elect to follow home country practices with regard to other matters. As a result, our shareholders may not have the same protections afforded to shareholders of companies that are subject to all Nasdaq corporate governance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exercise your right to vote the ordinary shares underlying your ADSs.</w:t>
      </w:r>
    </w:p>
    <w:p>
      <w:pPr>
        <w:spacing w:after="0" w:line="189" w:lineRule="exact"/>
        <w:rPr>
          <w:sz w:val="20"/>
          <w:szCs w:val="20"/>
          <w:color w:val="auto"/>
        </w:rPr>
      </w:pPr>
    </w:p>
    <w:p>
      <w:pPr>
        <w:ind w:right="100" w:firstLine="864"/>
        <w:spacing w:after="0" w:line="282" w:lineRule="auto"/>
        <w:rPr>
          <w:sz w:val="20"/>
          <w:szCs w:val="20"/>
          <w:color w:val="auto"/>
        </w:rPr>
      </w:pPr>
      <w:r>
        <w:rPr>
          <w:rFonts w:ascii="Times New Roman" w:cs="Times New Roman" w:eastAsia="Times New Roman" w:hAnsi="Times New Roman"/>
          <w:sz w:val="18"/>
          <w:szCs w:val="18"/>
          <w:color w:val="auto"/>
        </w:rPr>
        <w:t>ADS holders may only exercise voting rights with respect to the ordinary shares represented by the ADSs in accordance with the provisions of the deposit agreement, which provides that a holder may vote the ordinary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shares represented by the ADSs for any particular matter to be voted on by our shareholders either by withdrawing the ordinary shares represented by the ADSs or, to the extent permitted by applicable law and as permitted by the depositary, by requesting a temporary registration as shareholder and authorizing the depositary to act as proxy. However, you may not know about the meeting far enough in advance to withdraw those ordinary shares, and after such a withdrawal you would no longer hold ADSs, but rather you would directly hold the underlying ordinary shares. You also may not know about the meeting far enough in advance to request a temporary registration.</w:t>
      </w:r>
    </w:p>
    <w:p>
      <w:pPr>
        <w:spacing w:after="0" w:line="156" w:lineRule="exact"/>
        <w:rPr>
          <w:sz w:val="20"/>
          <w:szCs w:val="20"/>
          <w:color w:val="auto"/>
        </w:rPr>
      </w:pPr>
    </w:p>
    <w:p>
      <w:pPr>
        <w:ind w:right="100" w:firstLine="864"/>
        <w:spacing w:after="0" w:line="253" w:lineRule="auto"/>
        <w:rPr>
          <w:sz w:val="20"/>
          <w:szCs w:val="20"/>
          <w:color w:val="auto"/>
        </w:rPr>
      </w:pPr>
      <w:r>
        <w:rPr>
          <w:rFonts w:ascii="Times New Roman" w:cs="Times New Roman" w:eastAsia="Times New Roman" w:hAnsi="Times New Roman"/>
          <w:sz w:val="18"/>
          <w:szCs w:val="18"/>
          <w:color w:val="auto"/>
        </w:rPr>
        <w:t>The depositary will try, as far as practical, to vote the ordinary shares represented by the ADSs as instructed by the ADS holders. In such an instance, if we ask for your instructions, the depositary, upon timely notice from us, will notify you of the upcoming vote and arrange to deliver our voting materials to you. We cannot guarantee that you will receive the voting materials in time to ensure that you can instruct the depositary to vote your ordinary shares or to withdraw your ordinary shares so that you can vote them yourself. If the depositary does not receive timely voting instructions from you, it may give a discretionary proxy to a person designated by us to vote the ordinary shares represented by your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Voting instructions may be given only in respect of a number of ADSs representing an integral number of ordinary shares or other deposited securities. In addition, the depositary and its agents are not responsible for failing to carry out voting instructions or for the manner of carrying out voting instructions. This means that you may not be able to exercise any right to vote that you may have with respect to the underlying ordinary shares, and there may be nothing you can do if the ordinary shares represented by your ADSs are not voted as you requested. In addition, the depositary is only required to notify you of any particular vote if it receives notice from us in advance of the scheduled meeting.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of ADSs may be subject to limitations on transfer of their ADSs.</w:t>
      </w:r>
    </w:p>
    <w:p>
      <w:pPr>
        <w:spacing w:after="0" w:line="189"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1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18"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applicable law, holders and beneficial owners of ADSs irrevocably waive the right to a jury trial of any claim that they may have against us or the depositary arising from or relating to our ordinary shares, our ADSs or the deposit agreement, including any claim under the U.S. federal securities laws. The waiver continues to apply to claims that arise during the period when a holder holds the ADSs, even if the ADS holder subsequently withdraws the underlying ordinary shares.</w:t>
      </w:r>
    </w:p>
    <w:p>
      <w:pPr>
        <w:spacing w:after="0" w:line="139" w:lineRule="exact"/>
        <w:rPr>
          <w:sz w:val="20"/>
          <w:szCs w:val="20"/>
          <w:color w:val="auto"/>
        </w:rPr>
      </w:pPr>
    </w:p>
    <w:p>
      <w:pPr>
        <w:ind w:right="180" w:firstLine="864"/>
        <w:spacing w:after="0" w:line="258" w:lineRule="auto"/>
        <w:rPr>
          <w:sz w:val="20"/>
          <w:szCs w:val="20"/>
          <w:color w:val="auto"/>
        </w:rPr>
      </w:pPr>
      <w:r>
        <w:rPr>
          <w:rFonts w:ascii="Times New Roman" w:cs="Times New Roman" w:eastAsia="Times New Roman" w:hAnsi="Times New Roman"/>
          <w:sz w:val="18"/>
          <w:szCs w:val="18"/>
          <w:color w:val="auto"/>
        </w:rPr>
        <w:t>However,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 If we or the depositary opposed a demand for jury trial relying on above-mentioned jury trial waiver, it is up to the court to determine whether such waiver was enforceable considering the facts and circumstances of that case in accordance with the applicable state and federal law.</w:t>
      </w:r>
    </w:p>
    <w:p>
      <w:pPr>
        <w:spacing w:after="0" w:line="156"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or by the United States Supreme Court. Nonetheless, we believe that a jury trial waiver provision is generally enforceable under the laws of the State of New York, which govern the deposit agreement, by a federal or state court in the City of New York. In determining whether to enforce a jury trial waiver provision, New York courts will consider whether the visibility of the jury trial waiver provision within the agreement is sufficiently prominent such that a party has knowingly waived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none of which we believe are applicable in the case of the deposit agreement or the ADSs. If you or any other holders or beneficial owners of ADSs bring a claim against us or the depositary relating to the matters arising under the deposit agreement or our ADSs, including claims under federal securities laws, you or such other holder or beneficial owner may not have the right to a jury trial regarding such claims, which may limit and discourage lawsuits against us or the depositary. If a lawsuit is brought against us or the depositary according to the deposit agreement, it may be heard only by a judge or justice of the applicable trial court, which would be conducted according to different civil procedures and may have different outcomes compared to that of a jury trial, including results that could be less favorable to the plaintiff(s) in any such action.</w:t>
      </w:r>
    </w:p>
    <w:p>
      <w:pPr>
        <w:spacing w:after="0" w:line="161" w:lineRule="exact"/>
        <w:rPr>
          <w:sz w:val="20"/>
          <w:szCs w:val="20"/>
          <w:color w:val="auto"/>
        </w:rPr>
      </w:pPr>
    </w:p>
    <w:p>
      <w:pPr>
        <w:ind w:right="40" w:firstLine="864"/>
        <w:spacing w:after="0" w:line="256" w:lineRule="auto"/>
        <w:rPr>
          <w:sz w:val="20"/>
          <w:szCs w:val="20"/>
          <w:color w:val="auto"/>
        </w:rPr>
      </w:pPr>
      <w:r>
        <w:rPr>
          <w:rFonts w:ascii="Times New Roman" w:cs="Times New Roman" w:eastAsia="Times New Roman" w:hAnsi="Times New Roman"/>
          <w:sz w:val="18"/>
          <w:szCs w:val="18"/>
          <w:color w:val="auto"/>
        </w:rPr>
        <w:t>Moreover, as the jury trial waiver relates to claims arising out of or relating to the ADSs or the deposit agreement, we believe that, as a matter of construction of the clause, the waiver would likely continue to apply to ADS holders who withdraw the ordinary 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 law on the applicability of the jury trial waiver to ADS holders who withdraw the ordinary shares represented by the ADSs from the ADS facility.</w:t>
      </w:r>
    </w:p>
    <w:p>
      <w:pPr>
        <w:spacing w:after="0" w:line="14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or ordinary shares have limited choice of forum, which could limit your ability to obtain a favorable judicial forum for complaints against us, the depositary or our respective directors, officers or employees.</w:t>
      </w:r>
    </w:p>
    <w:p>
      <w:pPr>
        <w:spacing w:after="0" w:line="118" w:lineRule="exact"/>
        <w:rPr>
          <w:sz w:val="20"/>
          <w:szCs w:val="20"/>
          <w:color w:val="auto"/>
        </w:rPr>
      </w:pPr>
    </w:p>
    <w:p>
      <w:pPr>
        <w:ind w:right="40" w:firstLine="864"/>
        <w:spacing w:after="0" w:line="258" w:lineRule="auto"/>
        <w:rPr>
          <w:sz w:val="20"/>
          <w:szCs w:val="20"/>
          <w:color w:val="auto"/>
        </w:rPr>
      </w:pPr>
      <w:r>
        <w:rPr>
          <w:rFonts w:ascii="Times New Roman" w:cs="Times New Roman" w:eastAsia="Times New Roman" w:hAnsi="Times New Roman"/>
          <w:sz w:val="18"/>
          <w:szCs w:val="18"/>
          <w:color w:val="auto"/>
        </w:rPr>
        <w:t>The deposit agreement governing our ADSs provides that, (i) the deposit agreement and the ADSs will be interpreted in accordance with the laws of the State of New York, and (ii) as an owner of ADSs, you irrevocably agree that any legal action arising out of the deposit agreement and the ADSs involving us or the depositary may only be instituted in a state or federal court in the city of New York. Any person or entity purchasing or otherwise acquiring any of our ADSs, whether by transfer, sale, operation of law or otherwise, shall be deemed to have notice of and have irrevocably agreed and consented to these provisions.</w:t>
      </w:r>
    </w:p>
    <w:p>
      <w:pPr>
        <w:spacing w:after="0" w:line="156"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In connection with our initial public offering (“IPO”) in May 2021, we amended our articles of association and sought and obtained shareholder approval to add a clause that states that unless we consent in writing to the selection of an alternative forum and without infringing upon the Swedish forum provisions and without applying Chapter 7, Section 54 of the Swedish Companies Act, the U.S. District Court for the Southern District of New York shall be the sole and exclusive forum for resolving any complaint filed in the United States asserting a cause of action arising under the Securities Act. These forum provisions may increase your cost and limit your ability to bring a claim in a judicial forum that you find favorable for disputes with us, the depositary or our and the depositary’s respective directors, officers or employees, which may discourage such lawsuits against us, the depositary and our and the depositary’s respective directors, officers or employees. However, it is possible that a court could find either choice of forum provision to be inapplicable or unenforceable. The enforceability of similar choice of forum provisions has been challenged in legal proceedings.</w:t>
      </w:r>
    </w:p>
    <w:p>
      <w:pPr>
        <w:spacing w:after="0" w:line="151" w:lineRule="exact"/>
        <w:rPr>
          <w:sz w:val="20"/>
          <w:szCs w:val="20"/>
          <w:color w:val="auto"/>
        </w:rPr>
      </w:pPr>
    </w:p>
    <w:p>
      <w:pPr>
        <w:ind w:right="80" w:firstLine="864"/>
        <w:spacing w:after="0" w:line="255"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Accordingly, actions by holders of our ADSs or ordinary shares to enforce any duty or liability created by the Exchange Act, the Securities Act or the respective rules and regulations thereunder must be brought in a federal court in the city of New York. Holders of our ADSs or ordinary shares will not be deemed to have waived our compliance with the federal securities laws and the regulations promulgated thereunder.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issued and outstanding ADSs are eligible to be sold into the market, which could cause the market price of our ADSs to drop significantly, even if our business is doing well.</w:t>
      </w:r>
    </w:p>
    <w:p>
      <w:pPr>
        <w:spacing w:after="0" w:line="118"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ADSs in the public market, or the perception in the market that the holders of a large number of ADSs intend to sell, could reduce the market price of our ADSs. As of December 31, 2021, we had 591,777,001 ordinary shares (including those represented by ADSs) outstanding. All of our issued and outstanding ADSs are freely tradable without restriction under the Securities Act, except for any of our ADSs that may be held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w:t>
      </w:r>
    </w:p>
    <w:p>
      <w:pPr>
        <w:spacing w:after="0" w:line="160"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In the future, we may also issue additional securities if we need to raise capital or make acquisitions, which could constitute a material portion of our then-issued and outstanding ADSs.</w:t>
      </w:r>
    </w:p>
    <w:p>
      <w:pPr>
        <w:spacing w:after="0" w:line="11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pay dividends on our ADSs in the future and, consequently, your ability to achieve a return on your investment will depend on the appreciation in the price of our ADSs.</w:t>
      </w:r>
    </w:p>
    <w:p>
      <w:pPr>
        <w:spacing w:after="0" w:line="118"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ADSs and do not anticipate declaring or paying any cash dividends on our ADSs in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is, and may be, limited by covenants of any future outstanding indebtedness we or our subsidiaries incur. Therefore, any return on investment in our ADSs is solely dependent upon the appreciation of the price of our ADSs on the open market, which may not occur. See Item 8.A. “</w:t>
      </w:r>
      <w:r>
        <w:rPr>
          <w:rFonts w:ascii="Times New Roman" w:cs="Times New Roman" w:eastAsia="Times New Roman" w:hAnsi="Times New Roman"/>
          <w:sz w:val="18"/>
          <w:szCs w:val="18"/>
          <w:i w:val="1"/>
          <w:iCs w:val="1"/>
          <w:color w:val="auto"/>
        </w:rPr>
        <w:t>Financial Information—Consolidated Statements and Other Financial Information—Dividend Policy</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may face difficulties in protecting their interests because we are a Swedish company.</w:t>
      </w:r>
    </w:p>
    <w:p>
      <w:pPr>
        <w:spacing w:after="0" w:line="189"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8"/>
          <w:szCs w:val="18"/>
          <w:color w:val="auto"/>
        </w:rPr>
        <w:t>We are a Swedish company with limited liability. Our corporate affairs are governed by our articles of association and by the laws that govern companies incorporated in Sweden. The rights of shareholders to take legal action against our directors and us, actions by minority shareholders and the fiduciary responsibilities of our directors to us are to a large extent governed by the laws of Sweden and may be different than the rights and obligations of shareholders and boards of directors in companies governed by the laws of U.S. jurisdictions. In the performance of its duties, our board is required by Swedish law to consider the interests of our company, shareholders, employees and other stakeholders, in all cases with due observation of the principles of reasonableness and fairness. It is possible that some of these parties will have interests that are different from, or in addition to, the interests of our shareholders. Furthermore, the rights of our shareholders and the fiduciary responsibilities of our directors under the laws of Sweden may not be as clearly defined as under statutes or judicial precedent in existence in jurisdictions in the United States. Therefore, you may have more difficulty protecting your interests than would shareholders of a corporation incorporated in a jurisdiction in the United States.</w:t>
      </w:r>
    </w:p>
    <w:p>
      <w:pPr>
        <w:spacing w:after="0" w:line="148"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or members of our Board of Directors than they would as public shareholders of a company incorporated in the United States.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difficulties in enforcing foreign judgments against us, and our directors or our management.</w:t>
      </w:r>
    </w:p>
    <w:p>
      <w:pPr>
        <w:spacing w:after="0" w:line="189" w:lineRule="exact"/>
        <w:rPr>
          <w:sz w:val="20"/>
          <w:szCs w:val="20"/>
          <w:color w:val="auto"/>
        </w:rPr>
      </w:pPr>
    </w:p>
    <w:p>
      <w:pPr>
        <w:ind w:right="100" w:firstLine="864"/>
        <w:spacing w:after="0" w:line="266" w:lineRule="auto"/>
        <w:rPr>
          <w:sz w:val="20"/>
          <w:szCs w:val="20"/>
          <w:color w:val="auto"/>
        </w:rPr>
      </w:pPr>
      <w:r>
        <w:rPr>
          <w:rFonts w:ascii="Times New Roman" w:cs="Times New Roman" w:eastAsia="Times New Roman" w:hAnsi="Times New Roman"/>
          <w:sz w:val="18"/>
          <w:szCs w:val="18"/>
          <w:color w:val="auto"/>
        </w:rPr>
        <w:t>Certain of our directors and management reside outside the United States. Most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U.S. federal securities laws.</w:t>
      </w:r>
    </w:p>
    <w:p>
      <w:pPr>
        <w:spacing w:after="0" w:line="135"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In particular, investors should be aware that there is uncertainty as to whether the courts of Sweden or any other applicable jurisdictions would recognize and enforce judgments of U.S. courts obtained against us or our directors or our management predicated upon the civil liability provisions of the securities laws of the United States, or any state in the United States or entertain original actions brought in Sweden or any other applicable jurisdictions courts against us, our directors or our management predicated upon the securities laws of the United States or any state in the United States.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Oatly Group AB is a holding company with no operations of its own and, as such, it depends on its subsidiaries for cash to fund its operations and expenses, including future dividend payments, if any.</w:t>
      </w:r>
    </w:p>
    <w:p>
      <w:pPr>
        <w:spacing w:after="0" w:line="118" w:lineRule="exact"/>
        <w:rPr>
          <w:sz w:val="20"/>
          <w:szCs w:val="20"/>
          <w:color w:val="auto"/>
        </w:rPr>
      </w:pPr>
    </w:p>
    <w:p>
      <w:pPr>
        <w:ind w:right="100" w:firstLine="864"/>
        <w:spacing w:after="0" w:line="254" w:lineRule="auto"/>
        <w:rPr>
          <w:sz w:val="20"/>
          <w:szCs w:val="20"/>
          <w:color w:val="auto"/>
        </w:rPr>
      </w:pPr>
      <w:r>
        <w:rPr>
          <w:rFonts w:ascii="Times New Roman" w:cs="Times New Roman" w:eastAsia="Times New Roman" w:hAnsi="Times New Roman"/>
          <w:sz w:val="18"/>
          <w:szCs w:val="18"/>
          <w:color w:val="auto"/>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16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treated as a passive foreign investment company, U.S. holders of our ordinary shares or ADSs subject to U.S. federal income tax may suffer material adverse tax consequences.</w:t>
      </w:r>
    </w:p>
    <w:p>
      <w:pPr>
        <w:spacing w:after="0" w:line="118" w:lineRule="exact"/>
        <w:rPr>
          <w:sz w:val="20"/>
          <w:szCs w:val="20"/>
          <w:color w:val="auto"/>
        </w:rPr>
      </w:pPr>
    </w:p>
    <w:p>
      <w:pPr>
        <w:ind w:firstLine="864"/>
        <w:spacing w:after="0" w:line="252" w:lineRule="auto"/>
        <w:rPr>
          <w:sz w:val="20"/>
          <w:szCs w:val="20"/>
          <w:color w:val="auto"/>
        </w:rPr>
      </w:pPr>
      <w:r>
        <w:rPr>
          <w:rFonts w:ascii="Times New Roman" w:cs="Times New Roman" w:eastAsia="Times New Roman" w:hAnsi="Times New Roman"/>
          <w:sz w:val="18"/>
          <w:szCs w:val="18"/>
          <w:color w:val="auto"/>
        </w:rPr>
        <w:t>We would be classified as a passive foreign investment company (“PFIC”) for any taxable year if, after the application of certain look-through rules, either: (1) 75% or more of our gross income for such year is “passive income” as defined in the relevant provisions of the Internal Revenue Code of 1986, as amended (the “Code”), or (2) 50% or more of the value of our assets, determined on the basis of a quarterly average, during such year is attributable to assets that produce or are held for the production of passive income. Based on our market capitalization, which fluctuates over time, and the composition of our income, assets and operations, we do not expect to be treated as a PFIC for the taxable year ended December 31, 2021. However, our status as a PFIC in any taxable year requires a factual determination that depends on, among other things, the composition of our income, assets, and activities in each year, and can only be made annually after the close of each taxable year. Moreover, the value of our assets for purposes of the PFIC determination may be determined by reference to the trading value of our ADSs, which could fluctuate significantly. In addition, it is possible that the U.S. Internal Revenue Service may take a contrary position with respect to our determination in any particular year. Therefore, there can be no assurance that we were not or will not be classified as a PFIC for the taxable year ended December 31, 2021, the current taxable year or for any past or future taxable year, and we have not obtained any legal opinion with respect to our PFIC status for our past, current or future taxable years. If we are treated as a PFIC for any taxable year during which a U.S. Holder (as defined in Item 10.E. “</w:t>
      </w:r>
      <w:r>
        <w:rPr>
          <w:rFonts w:ascii="Times New Roman" w:cs="Times New Roman" w:eastAsia="Times New Roman" w:hAnsi="Times New Roman"/>
          <w:sz w:val="18"/>
          <w:szCs w:val="18"/>
          <w:i w:val="1"/>
          <w:iCs w:val="1"/>
          <w:color w:val="auto"/>
        </w:rPr>
        <w:t>Taxation—Material United States Federal Income Tax Considerations</w:t>
      </w:r>
      <w:r>
        <w:rPr>
          <w:rFonts w:ascii="Times New Roman" w:cs="Times New Roman" w:eastAsia="Times New Roman" w:hAnsi="Times New Roman"/>
          <w:sz w:val="18"/>
          <w:szCs w:val="18"/>
          <w:color w:val="auto"/>
        </w:rPr>
        <w:t>”) holds the ADSs, the U.S. Holder may be subject to material adverse tax consequences upon a sale, exchange, or other disposition of the ADSs, or upon the receipt of certain distributions in respect of the ADSs.</w:t>
      </w:r>
    </w:p>
    <w:p>
      <w:pPr>
        <w:spacing w:after="0" w:line="157" w:lineRule="exact"/>
        <w:rPr>
          <w:sz w:val="20"/>
          <w:szCs w:val="20"/>
          <w:color w:val="auto"/>
        </w:rPr>
      </w:pPr>
    </w:p>
    <w:p>
      <w:pPr>
        <w:ind w:right="100" w:firstLine="864"/>
        <w:spacing w:after="0" w:line="254" w:lineRule="auto"/>
        <w:rPr>
          <w:sz w:val="20"/>
          <w:szCs w:val="20"/>
          <w:color w:val="auto"/>
        </w:rPr>
      </w:pPr>
      <w:r>
        <w:rPr>
          <w:rFonts w:ascii="Times New Roman" w:cs="Times New Roman" w:eastAsia="Times New Roman" w:hAnsi="Times New Roman"/>
          <w:sz w:val="18"/>
          <w:szCs w:val="18"/>
          <w:color w:val="auto"/>
        </w:rPr>
        <w:t>Certain elections may be available that would result in alternative treatments (such as qualified electing fund treatment or mark-to-market treatment) if we are considered a PFIC. We do not intend to provide the information necessary for U.S. Holders of our ADSs to make qualified electing fund elections, which, if available, would result in tax treatment different from the general tax treatment for an investment in a PFIC. If we are treated as a PFIC with respect to a U.S. Holder (as defined below in Item 10.E. “</w:t>
      </w:r>
      <w:r>
        <w:rPr>
          <w:rFonts w:ascii="Times New Roman" w:cs="Times New Roman" w:eastAsia="Times New Roman" w:hAnsi="Times New Roman"/>
          <w:sz w:val="18"/>
          <w:szCs w:val="18"/>
          <w:i w:val="1"/>
          <w:iCs w:val="1"/>
          <w:color w:val="auto"/>
        </w:rPr>
        <w:t>Taxation—Material United States Federal Income Tax Considerations</w:t>
      </w:r>
      <w:r>
        <w:rPr>
          <w:rFonts w:ascii="Times New Roman" w:cs="Times New Roman" w:eastAsia="Times New Roman" w:hAnsi="Times New Roman"/>
          <w:sz w:val="18"/>
          <w:szCs w:val="18"/>
          <w:color w:val="auto"/>
        </w:rPr>
        <w:t>”) for any taxable year, the U.S. Holder will be deemed to own shares in any of our subsidiaries that are also PFICs. However, an election for mark-to-market treatment would likely not be available with respect to any such subsidiaries. U.S. Holders should consult their tax advisors about the potential application of the PFIC rules to their investment in the ADSs. For further discussion, see Item 10.E. “</w:t>
      </w:r>
      <w:r>
        <w:rPr>
          <w:rFonts w:ascii="Times New Roman" w:cs="Times New Roman" w:eastAsia="Times New Roman" w:hAnsi="Times New Roman"/>
          <w:sz w:val="18"/>
          <w:szCs w:val="18"/>
          <w:i w:val="1"/>
          <w:iCs w:val="1"/>
          <w:color w:val="auto"/>
        </w:rPr>
        <w:t>Taxation—Material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shares, such holder may be subject to adverse U.S. federal income tax consequences.</w:t>
      </w:r>
    </w:p>
    <w:p>
      <w:pPr>
        <w:spacing w:after="0" w:line="189"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If as a result of the ownership of ADSs, a United States person is treated as owning (directly, indirectly, or constructively) at least 10% of the value or voting power of our shares, such person may be treated as a “United States shareholder” with respect to each “controlled foreign corporation” in our group. Because our group includes U.S. subsidiaries, certain of our non-U.S. subsidiaries could be treated as controlled foreign corporations (regardless of whether or not Oatly Group AB is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foreign corporations, regardless of whether or not the controlled foreign corporation makes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federal income tax return for the year for which reporting was due from starting. We cannot provide any assurances that we will assist investors in determining whether we are or any of our non-U.S. subsidiaries is treated as a controlled foreign corporation or whether any investor is treated as a United States shareholder with respect to any such controlled foreign corporation, and we do not expect to furnish to any United States shareholders information that may be necessary to comply with the aforementioned reporting and tax paying obligations. The U.S. Internal Revenue Service has provided limited guidance on situations in which investors may rely on publicly available information to comply with their reporting and tax paying obligations with respect to foreign-controlled controlled foreign corporations. U.S. investors should consult its advisors regarding the potential application of these rules to an investment in us.</w:t>
      </w:r>
    </w:p>
    <w:p>
      <w:pPr>
        <w:spacing w:after="0" w:line="1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or exposure to additional tax liabilities or assessments could affect our profitability, and audits by tax authorities could result in additional tax payments.</w:t>
      </w:r>
    </w:p>
    <w:p>
      <w:pPr>
        <w:spacing w:after="0" w:line="118" w:lineRule="exact"/>
        <w:rPr>
          <w:sz w:val="20"/>
          <w:szCs w:val="20"/>
          <w:color w:val="auto"/>
        </w:rPr>
      </w:pPr>
    </w:p>
    <w:p>
      <w:pPr>
        <w:ind w:right="220" w:firstLine="864"/>
        <w:spacing w:after="0" w:line="258" w:lineRule="auto"/>
        <w:rPr>
          <w:sz w:val="20"/>
          <w:szCs w:val="20"/>
          <w:color w:val="auto"/>
        </w:rPr>
      </w:pPr>
      <w:r>
        <w:rPr>
          <w:rFonts w:ascii="Times New Roman" w:cs="Times New Roman" w:eastAsia="Times New Roman" w:hAnsi="Times New Roman"/>
          <w:sz w:val="18"/>
          <w:szCs w:val="18"/>
          <w:color w:val="auto"/>
        </w:rPr>
        <w:t>We are affected by various taxes imposed in different jurisdictions, including direct and indirect taxes imposed on our global activities. Significant judgment is required in determining our provisions for taxes, and there are many transactions and calculations where the ultimate tax determination is uncertain. The amount of tax we pay is subject to ongoing audits and assessments by tax authorities. If audits result in payments or assessments, our future results may include unfavorable adjustments to our tax liabilities, and we could be adversely affected. Any significant changes to the tax system in the jurisdictions where we operate could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a market for our ADSs will be sustained to provide adequate liquidity, and public trading markets have experienced, and may continue to experience, volatility. Investors may not be able to resell their ADSs at or above the price they pay.</w:t>
      </w:r>
    </w:p>
    <w:p>
      <w:pPr>
        <w:spacing w:after="0" w:line="132" w:lineRule="exact"/>
        <w:rPr>
          <w:sz w:val="20"/>
          <w:szCs w:val="20"/>
          <w:color w:val="auto"/>
        </w:rPr>
      </w:pPr>
    </w:p>
    <w:p>
      <w:pPr>
        <w:ind w:right="40" w:firstLine="864"/>
        <w:spacing w:after="0" w:line="258" w:lineRule="auto"/>
        <w:rPr>
          <w:sz w:val="20"/>
          <w:szCs w:val="20"/>
          <w:color w:val="auto"/>
        </w:rPr>
      </w:pPr>
      <w:r>
        <w:rPr>
          <w:rFonts w:ascii="Times New Roman" w:cs="Times New Roman" w:eastAsia="Times New Roman" w:hAnsi="Times New Roman"/>
          <w:sz w:val="18"/>
          <w:szCs w:val="18"/>
          <w:color w:val="auto"/>
        </w:rPr>
        <w:t>We cannot assure you that an active trading market will be sustained for our ADSs. If a market is not sustained, it may be difficult for you to sell your ADSs. Public trading markets may also experience volatility and disruption. This may affect the pricing of the ADSs in the secondary market, the transparency and availability of trading prices, the liquidity of the ADSs and the extent of regulation applicable to us. We cannot predict the prices at which our ADSs will trade. It is possible that, in future quarters, our operating results may be below the expectations of securities analysts and investors. As a result of these and other factors, the price of our ADSs may decline.</w:t>
      </w:r>
    </w:p>
    <w:p>
      <w:pPr>
        <w:spacing w:after="0" w:line="13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ADSs adversely, the price and trading volume of our ADSs could decline.</w:t>
      </w:r>
    </w:p>
    <w:p>
      <w:pPr>
        <w:spacing w:after="0" w:line="118" w:lineRule="exact"/>
        <w:rPr>
          <w:sz w:val="20"/>
          <w:szCs w:val="20"/>
          <w:color w:val="auto"/>
        </w:rPr>
      </w:pPr>
    </w:p>
    <w:p>
      <w:pPr>
        <w:ind w:right="160" w:firstLine="864"/>
        <w:spacing w:after="0" w:line="258" w:lineRule="auto"/>
        <w:rPr>
          <w:sz w:val="20"/>
          <w:szCs w:val="20"/>
          <w:color w:val="auto"/>
        </w:rPr>
      </w:pPr>
      <w:r>
        <w:rPr>
          <w:rFonts w:ascii="Times New Roman" w:cs="Times New Roman" w:eastAsia="Times New Roman" w:hAnsi="Times New Roman"/>
          <w:sz w:val="18"/>
          <w:szCs w:val="18"/>
          <w:color w:val="auto"/>
        </w:rPr>
        <w:t>The trading market for our ADSs is influenced by the research and reports that industry or securities analysts publish about us, our business, our market or our competitors. If any of the securities or industry analysts who cover us or may cover us in the future change their recommendation regarding our ADSs adversely, or provide more favorable relative recommendations about our competitors, the price of our ADSs would likely decline. If any securities or industry analyst who covers us or may cover us in the future were to cease coverage of us or fail to regularly publish reports on us, we could lose visibility in the financial markets, which in turn could cause the price or trading volume of our ADSs to decline.</w:t>
      </w:r>
    </w:p>
    <w:p>
      <w:pPr>
        <w:spacing w:after="0" w:line="1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increased costs as a result of operating as a public company, and our management is required to devote substantial time to new compliance initiatives and corporate governance practices.</w:t>
      </w:r>
    </w:p>
    <w:p>
      <w:pPr>
        <w:spacing w:after="0" w:line="118"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continue to incur significant legal, accounting and other expenses that we did not incur as a private company. The Sarbanes-Oxley Act, the Dodd-Frank Wall Street Reform and Consumer Protection Act, the listing requirements of Nasdaq</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and other applicable securities rules and regulations 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 Moreover, these rules and regulations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 of Directors. As a public company we face increased demand for more detailed and more frequent reporting on environmental, social and corporate governance reports and disclosure.</w:t>
      </w:r>
    </w:p>
    <w:p>
      <w:pPr>
        <w:spacing w:after="0" w:line="162"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39" w:lineRule="exact"/>
        <w:rPr>
          <w:sz w:val="20"/>
          <w:szCs w:val="20"/>
          <w:color w:val="auto"/>
        </w:rPr>
      </w:pPr>
    </w:p>
    <w:p>
      <w:pPr>
        <w:ind w:firstLine="864"/>
        <w:spacing w:after="0" w:line="252"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Sections 302 and 404 of the Sarbanes-Oxley Act, which will require management to certify financial and other information in our annual reports and provide an annual management report on the effectiveness of control over financial reporting. Though we will be required to disclose material changes in internal control over financial reporting on an annual basis, we will not be required to make our first annual assessment of our internal control over financial reporting pursuant to Section 404 until the year ending December 31, 2022. Additionally,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there is a risk that we will not be able to conclude, within the prescribed timeframe or at all, that our internal control over financial reporting is effective as required by Section 404. In the future, if we identify additional material weaknesses, it could result in an adverse reaction in the financial markets due to a loss of confidence in the reliability of our financial statements. As a result, the market price of our ADSs could be negatively affected, and we could become subject to investigations by Nasdaq, the SEC or other regulatory authorities, which could require additional financial and management resources.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189"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At the beginning of the 1990s, a group of scientists at Lund University set out to make a dairy alternative that would be fit for human nutrition and could replace the traditional cow’s product, without sacrificing the dairy experience. They found the solution in the base crop of oats, which are generally globally plentiful, familiar across cuisines, require low-input resources relative to livestock and contain healthy fibers. They developed a proprietary, patented process centered on using enzymes to break down oats into nutritious, tasty products, while retaining key fibers, leading to the launch of the world’s first oatmilk in 1995. This core oat technology, as further developed, continues to be the base for the majority of our products today.</w:t>
      </w:r>
    </w:p>
    <w:p>
      <w:pPr>
        <w:spacing w:after="0" w:line="143"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color w:val="auto"/>
        </w:rPr>
        <w:t>We launched the first oatmilk product under the Oatly brand in 2001. We continued to develop our portfolio of products over subsequent years, including frozen desserts and cooking cream. In 2006, we set up the first Oatly factory in Landskrona, Sweden. In 2012, we embarked upon a new, bold strategy for Oatly, building a new type of food company with core values of health and sustainability, supported by an unconventional approach to brand and commercial strategy.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Since activating our company-wide rebrand, demand for Oatly products has grown rapidly. Between 2016 and 2018, we expanded our global footprint by re-launching in the United Kingdom, expanding in Grocery trade in Germany and entering the United States and China. To date, we have made substantial investments to scale our production capacity and meet consumer demand. In 2019, we opened production facilities in the United States (Millville, New Jersey) and in the Netherlands (Vlissingen). In 2021, we opened facilities in Ogden, Utah, Singapore and Ma’anshan, China. Three additional facilities in Peterborough, the United Kingdom, Fort Worth, Texas and Asia are currently under construction or in the planning stages and expected to open in 2023.</w:t>
      </w:r>
    </w:p>
    <w:p>
      <w:pPr>
        <w:spacing w:after="0" w:line="160" w:lineRule="exact"/>
        <w:rPr>
          <w:sz w:val="20"/>
          <w:szCs w:val="20"/>
          <w:color w:val="auto"/>
        </w:rPr>
      </w:pPr>
    </w:p>
    <w:p>
      <w:pPr>
        <w:ind w:right="20" w:firstLine="864"/>
        <w:spacing w:after="0" w:line="266" w:lineRule="auto"/>
        <w:rPr>
          <w:sz w:val="20"/>
          <w:szCs w:val="20"/>
          <w:color w:val="auto"/>
        </w:rPr>
      </w:pPr>
      <w:r>
        <w:rPr>
          <w:rFonts w:ascii="Times New Roman" w:cs="Times New Roman" w:eastAsia="Times New Roman" w:hAnsi="Times New Roman"/>
          <w:sz w:val="18"/>
          <w:szCs w:val="18"/>
          <w:color w:val="auto"/>
        </w:rPr>
        <w:t>Today, the Oatly movement continues with a growing part of the population focused on their consumption decisions making a difference. We established Oatly as an organization that is committed to improving the lives of individuals and the well-being of the planet and believe we can achieve this through the push for a more sustainable food system.</w:t>
      </w:r>
    </w:p>
    <w:p>
      <w:pPr>
        <w:spacing w:after="0" w:line="135"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Our legal name is Oatly Group AB and our commercial name is Oatly. Our principal executive offices are located at Jagaregatan 4, 211 19 Malmö, Sweden. Our telephone number at this address is +46 418 475500. Our website address is https://www.oatly.com. The information contained on, or that can be accessed through, our website is not a part of, and shall not be incorporated by reference into, this Annual Report. We have included our website address as an inactive textual reference only. The SEC maintains an Internet site that contains reports, proxy and information statements, and other information regarding issuers, including us, that file electronically with the SEC at www.sec.gov. Our agent for service of process in the United States is Corporation Service Company, and its address is 19 West 44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Suite 200, New York, New York 10036.</w:t>
      </w:r>
    </w:p>
    <w:p>
      <w:pPr>
        <w:spacing w:after="0" w:line="147" w:lineRule="exact"/>
        <w:rPr>
          <w:sz w:val="20"/>
          <w:szCs w:val="20"/>
          <w:color w:val="auto"/>
        </w:rPr>
      </w:pPr>
    </w:p>
    <w:p>
      <w:pPr>
        <w:ind w:right="180" w:firstLine="864"/>
        <w:spacing w:after="0" w:line="282" w:lineRule="auto"/>
        <w:rPr>
          <w:sz w:val="20"/>
          <w:szCs w:val="20"/>
          <w:color w:val="auto"/>
        </w:rPr>
      </w:pPr>
      <w:r>
        <w:rPr>
          <w:rFonts w:ascii="Times New Roman" w:cs="Times New Roman" w:eastAsia="Times New Roman" w:hAnsi="Times New Roman"/>
          <w:sz w:val="18"/>
          <w:szCs w:val="18"/>
          <w:color w:val="auto"/>
        </w:rPr>
        <w:t>For a description of our principal capital expenditures and divestitures for the three years ended December 31, 2021 and for those currently in progress, see Item 5. “Operating and Financial Review and Prospects.”</w:t>
      </w:r>
    </w:p>
    <w:p>
      <w:pPr>
        <w:spacing w:after="0" w:line="131" w:lineRule="exact"/>
        <w:rPr>
          <w:sz w:val="20"/>
          <w:szCs w:val="20"/>
          <w:color w:val="auto"/>
        </w:rPr>
      </w:pPr>
    </w:p>
    <w:p>
      <w:pPr>
        <w:ind w:right="9540" w:firstLine="8"/>
        <w:spacing w:after="0" w:line="483" w:lineRule="auto"/>
        <w:tabs>
          <w:tab w:leader="none" w:pos="255"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Overview Our Purpose</w:t>
      </w:r>
    </w:p>
    <w:p>
      <w:pPr>
        <w:ind w:left="8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have a bold vision for a food system that is better for people and the planet.</w:t>
      </w:r>
    </w:p>
    <w:p>
      <w:pPr>
        <w:spacing w:after="0" w:line="198" w:lineRule="exact"/>
        <w:rPr>
          <w:sz w:val="20"/>
          <w:szCs w:val="20"/>
          <w:color w:val="auto"/>
        </w:rPr>
      </w:pPr>
    </w:p>
    <w:p>
      <w:pPr>
        <w:jc w:val="both"/>
        <w:ind w:right="60" w:firstLine="864"/>
        <w:spacing w:after="0" w:line="258" w:lineRule="auto"/>
        <w:rPr>
          <w:sz w:val="20"/>
          <w:szCs w:val="20"/>
          <w:color w:val="auto"/>
        </w:rPr>
      </w:pPr>
      <w:r>
        <w:rPr>
          <w:rFonts w:ascii="Times New Roman" w:cs="Times New Roman" w:eastAsia="Times New Roman" w:hAnsi="Times New Roman"/>
          <w:sz w:val="18"/>
          <w:szCs w:val="18"/>
          <w:color w:val="auto"/>
        </w:rPr>
        <w:t>We believe that transforming the food industry is necessary to face some of humanity’s greatest challenges across climate, environment, health and lifestyle. In parallel, the consumer landscape is changing, as the growing concerns for the environment and interest in health and nutrition have started to drive real, scaled behavioral changes around consumer purchase choices. Generation Z and Millennials will become the dominant global generations in the coming years, bringing to the market a new set of values and expectations. These combined factors are driving accelerated growth and an influx of new consumers to the plant-based dairy market.</w:t>
      </w:r>
    </w:p>
    <w:p>
      <w:pPr>
        <w:spacing w:after="0" w:line="143"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8"/>
          <w:szCs w:val="18"/>
          <w:color w:val="auto"/>
        </w:rPr>
        <w:t>In this context, Oatly has become a leading, innovative force with a clear point of view on things that we believe consumers really care about— sustainability and human health. We are a solution that seeks to enable people to make thoughtful, informed choices in line with these values.</w:t>
      </w:r>
    </w:p>
    <w:p>
      <w:pPr>
        <w:spacing w:after="0" w:line="121" w:lineRule="exact"/>
        <w:rPr>
          <w:sz w:val="20"/>
          <w:szCs w:val="20"/>
          <w:color w:val="auto"/>
        </w:rPr>
      </w:pPr>
    </w:p>
    <w:p>
      <w:pPr>
        <w:jc w:val="both"/>
        <w:ind w:right="20" w:firstLine="864"/>
        <w:spacing w:after="0" w:line="289" w:lineRule="auto"/>
        <w:rPr>
          <w:sz w:val="20"/>
          <w:szCs w:val="20"/>
          <w:color w:val="auto"/>
        </w:rPr>
      </w:pPr>
      <w:r>
        <w:rPr>
          <w:rFonts w:ascii="Times New Roman" w:cs="Times New Roman" w:eastAsia="Times New Roman" w:hAnsi="Times New Roman"/>
          <w:sz w:val="17"/>
          <w:szCs w:val="17"/>
          <w:color w:val="auto"/>
        </w:rPr>
        <w:t>We believe our company is leading the transformation of the global dairy market, which is worth over $600 billion in the retail channel alone as of 2021. Behind our products are decades of scientific heritage, deep expertise around oats, production craftsmanship and commercially proven innovation in matters of sustainability and human health. Our brand rightfully stands out on a competitive dairy shelf, bringing a unique voice to the industry.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Oatly</w:t>
      </w:r>
    </w:p>
    <w:p>
      <w:pPr>
        <w:spacing w:after="0" w:line="189"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We are the world’s original and largest oatmilk company. For over 25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milks, ice cream, yogurt, cooking creams, spreads and on-the-go drinks.</w:t>
      </w:r>
    </w:p>
    <w:p>
      <w:pPr>
        <w:spacing w:after="0" w:line="139" w:lineRule="exact"/>
        <w:rPr>
          <w:sz w:val="20"/>
          <w:szCs w:val="20"/>
          <w:color w:val="auto"/>
        </w:rPr>
      </w:pPr>
    </w:p>
    <w:p>
      <w:pPr>
        <w:ind w:right="140" w:firstLine="864"/>
        <w:spacing w:after="0" w:line="266" w:lineRule="auto"/>
        <w:rPr>
          <w:sz w:val="20"/>
          <w:szCs w:val="20"/>
          <w:color w:val="auto"/>
        </w:rPr>
      </w:pPr>
      <w:r>
        <w:rPr>
          <w:rFonts w:ascii="Times New Roman" w:cs="Times New Roman" w:eastAsia="Times New Roman" w:hAnsi="Times New Roman"/>
          <w:sz w:val="18"/>
          <w:szCs w:val="18"/>
          <w:color w:val="auto"/>
        </w:rPr>
        <w:t>Sustainability is at the core of our business. Our vision is to be a company that leads a global movement to reduce cow’s milk by half. We aim to produce sustainable oat-based products that seek to maximize nutritional value and minimize our environmental impact. In general, oatmilk leads to fewer greenhouse gas emissions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compared to cow’s milk. Specifically, based on certain product-level calculations we have commissioned in Europe and based on additional studies, we generally see that oatmilk products have a significantly lower climate (CO2equivalent) impact relative to comparable dairy products.</w:t>
      </w:r>
    </w:p>
    <w:p>
      <w:pPr>
        <w:spacing w:after="0" w:line="135"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In the historically commoditized dairy category, we have created a brand phenomenon that speaks to emerging consumer priorities, including sustainability and health. Our integrated in-house team of creative, communications and customer relations experts reach consumers in a personal and relatable way. Across many kinds of media, we create thought-provoking, conversation-sparking content to engage people around our mission and drive awareness for our brand. Our company values are communicated not only in the things we say but also in the things we do— such as publishing the climate impact of our products in Europe and launching public campaigns to inspire policy change. The voice, actions, products and values represented by the Oatly brand drive our commercial success and mission.</w:t>
      </w:r>
    </w:p>
    <w:p>
      <w:pPr>
        <w:spacing w:after="0" w:line="147" w:lineRule="exact"/>
        <w:rPr>
          <w:sz w:val="20"/>
          <w:szCs w:val="20"/>
          <w:color w:val="auto"/>
        </w:rPr>
      </w:pPr>
    </w:p>
    <w:p>
      <w:pPr>
        <w:ind w:right="100" w:firstLine="864"/>
        <w:spacing w:after="0" w:line="258" w:lineRule="auto"/>
        <w:rPr>
          <w:sz w:val="20"/>
          <w:szCs w:val="20"/>
          <w:color w:val="auto"/>
        </w:rPr>
      </w:pPr>
      <w:r>
        <w:rPr>
          <w:rFonts w:ascii="Times New Roman" w:cs="Times New Roman" w:eastAsia="Times New Roman" w:hAnsi="Times New Roman"/>
          <w:sz w:val="18"/>
          <w:szCs w:val="18"/>
          <w:color w:val="auto"/>
        </w:rPr>
        <w:t>Our innovation practices are foundational to delivering market-leading products. We are steadfast in our goal of creating excellent products across the full dairy portfolio, from milk, to yogurts, to ice cream. To do so, we leverage proprietary production processes and key patented elements, including enzymatic processes, to convert fiber-rich oats into great tasting products. We believe our recent product launches in categories such as yogurt and frozen desserts shows the strength of our results-oriented innovation practices and the potential to drive a significant volume shift to plant-based dairy across the full breadth of the dairy portfolio.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Driving the global appetite for plant-based dairy</w:t>
      </w:r>
    </w:p>
    <w:p>
      <w:pPr>
        <w:spacing w:after="0" w:line="202" w:lineRule="exact"/>
        <w:rPr>
          <w:sz w:val="20"/>
          <w:szCs w:val="20"/>
          <w:color w:val="auto"/>
        </w:rPr>
      </w:pPr>
    </w:p>
    <w:p>
      <w:pPr>
        <w:ind w:right="120" w:firstLine="864"/>
        <w:spacing w:after="0" w:line="258" w:lineRule="auto"/>
        <w:rPr>
          <w:sz w:val="20"/>
          <w:szCs w:val="20"/>
          <w:color w:val="auto"/>
        </w:rPr>
      </w:pPr>
      <w:r>
        <w:rPr>
          <w:rFonts w:ascii="Times New Roman" w:cs="Times New Roman" w:eastAsia="Times New Roman" w:hAnsi="Times New Roman"/>
          <w:sz w:val="18"/>
          <w:szCs w:val="18"/>
          <w:color w:val="auto"/>
        </w:rPr>
        <w:t>We have global resonance with commercial success in more than 20 markets, across multiple channels and types of retail, foodservice and e-commerce partners. When entering new markets, we use a foodservice-led expansion strategy that builds awareness and loyalty for our brand and ultimately drives increased sales through retail channels. We have tailored this strategy in many international market launches, including the United States and China. Through this strategy, we have built a new generation of plant-based milk consumers by converting traditional dairy milk drinkers and by attracting new consumers to the category.</w:t>
      </w:r>
    </w:p>
    <w:p>
      <w:pPr>
        <w:spacing w:after="0" w:line="143" w:lineRule="exact"/>
        <w:rPr>
          <w:sz w:val="20"/>
          <w:szCs w:val="20"/>
          <w:color w:val="auto"/>
        </w:rPr>
      </w:pPr>
    </w:p>
    <w:p>
      <w:pPr>
        <w:jc w:val="both"/>
        <w:ind w:right="240" w:firstLine="864"/>
        <w:spacing w:after="0" w:line="266" w:lineRule="auto"/>
        <w:rPr>
          <w:sz w:val="20"/>
          <w:szCs w:val="20"/>
          <w:color w:val="auto"/>
        </w:rPr>
      </w:pPr>
      <w:r>
        <w:rPr>
          <w:rFonts w:ascii="Times New Roman" w:cs="Times New Roman" w:eastAsia="Times New Roman" w:hAnsi="Times New Roman"/>
          <w:sz w:val="18"/>
          <w:szCs w:val="18"/>
          <w:color w:val="auto"/>
        </w:rPr>
        <w:t>As of December 31, 2021, we offered our products across more than 85,000 retail doors and 79,000 foodservice locations. Our products are sold through a variety of channels, from independent coffee shops to national partnerships with established franchises like Starbucks, from food retailers like Target and Tesco to premium natural grocers, as well as through e-commerce channels, such as Alibaba’s Tmall.</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brand has excelled on a global scale, as evidenced by the following market statistics:</w:t>
      </w:r>
    </w:p>
    <w:p>
      <w:pPr>
        <w:spacing w:after="0" w:line="374" w:lineRule="exact"/>
        <w:rPr>
          <w:sz w:val="20"/>
          <w:szCs w:val="20"/>
          <w:color w:val="auto"/>
        </w:rPr>
      </w:pPr>
    </w:p>
    <w:p>
      <w:pPr>
        <w:ind w:left="880" w:right="160" w:hanging="440"/>
        <w:spacing w:after="0" w:line="261"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the United Kingdom, Germany, Sweden and the Netherlands, we had the highest velocity (average volume of sales per store per week, in units) performance, based on our top-selling SKU by sales value within the dairy alternatives category, based on the last 12 weeks ending December 31, 2021 in Sweden and Germany, January 1, 2022 in the United Kingdom, and January 8, 2022 in the U.S. (Major Multiples), according to Nielsen and IRI Infoscan.</w:t>
      </w:r>
    </w:p>
    <w:p>
      <w:pPr>
        <w:spacing w:after="0" w:line="328"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Germany and Sweden, we are the highest selling brand in the oat category by retail sales value in 2021, which is the largest category within dairy alternatives in the United Kingdom and Germany, according to Nielsen and IRI Infoscan.</w:t>
      </w:r>
    </w:p>
    <w:p>
      <w:pPr>
        <w:spacing w:after="0" w:line="310"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In order to support a societal shift towards plant-based diets, we understand that it is critical to invest in manufacturing capabilities to support our growth. As we grow, we believe owning and controlling our global operating footprint is paramount to addressing the significant consumer demand we have faced, since this gives us the scope to apply our own standards of quality, sustainability and flexibility for innovation, while achieving more attractive production economics, as demonstrated by our fully-owned manufacturing capabilities in Sweden. Globally, as of December 31, 2021, we had six Oatly factories online and three factories planned or under construction. We supplement our owned factories with a diversified network of deeply vetted third-party co-manufacturing partners that help us drive growth by providing the necessary speed and flexibility and improve our ability to meet consumer demand, commence pilot projects and support our new product launches.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Our historical financial performance reflects the scaled and global growth profile of our company. In 2021, we generated revenue of $643.2 million, a 52.6% increase from $421.4 million in 2020. Further, in 2021, we generated gross profit of $155.0 million, representing a gross margin of 24.1% and, as a result of our continued focus on our growth, a loss for the year of $212.4 million, reflecting our continued investment in production, brand awareness, new markets and product development, while navigating a COVID-impacted operating environment. Going forward, we intend to continue to invest in our innovation capabilities, build our manufacturing footprint and expand our consumer base, all supporting our growth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111125</wp:posOffset>
            </wp:positionV>
            <wp:extent cx="5349240" cy="1663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Opportunity</w:t>
      </w:r>
    </w:p>
    <w:p>
      <w:pPr>
        <w:spacing w:after="0" w:line="189"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color w:val="auto"/>
        </w:rPr>
        <w:t>We participate in the large global dairy industry, which consists of milk, ice cream and frozen dessert, yogurt, cream, cheese and other dairy products. According to Euromonitor, the global dairy industry retail sales were estimated to be $628 billion in 2021 and are expected to reach $818 billion in 2026, growing at a compound annual growth rate (“CAGR”) of 5.4%. In line with retail, foodservice also represents a significant opportunity for us, which we believe expands the total addressable market even further.</w:t>
      </w:r>
    </w:p>
    <w:p>
      <w:pPr>
        <w:spacing w:after="0" w:line="153"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Today, we primarily operate in the global milk category, which is the largest subcategory within dairy. According to Euromonitor, the global milk industry retail sales were estimated to be $190 billion in 2021, representing 30% of the global dairy industry in 2021. In some developed markets, dairy milk consumption per capita has been steadily declining, with the trend continuing in the last decade as plant-based dairy has increased in popularity. We expect this trend to further accelerate in the coming years, as the growing offering of plant-based dairy across the entire dairy portfolio expands across product categories, including ice cream and yogurt.</w:t>
      </w:r>
    </w:p>
    <w:p>
      <w:pPr>
        <w:spacing w:after="0" w:line="143"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The global plant-based dairy industry retail sales were estimated to be $20 billion in 2021, according to Euromonitor, representing approximately 3% of the global dairy industry (excluding soy drinks in China). Within the global dairy industry, plant-based milk represented approximately 9% of the global dairy milk category (excluding soy drinks in China) in 2021. As of 2021, dairy alternatives in other dairy categories have a penetration of less than 1%, highlighting the opportunity ahead across the broader plant-based dairy sector.</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Across various plant-based dairy products, oat-based alternatives have outperformed the broader dairy category in recent years:</w:t>
      </w:r>
    </w:p>
    <w:p>
      <w:pPr>
        <w:spacing w:after="0" w:line="374" w:lineRule="exact"/>
        <w:rPr>
          <w:sz w:val="20"/>
          <w:szCs w:val="20"/>
          <w:color w:val="auto"/>
        </w:rPr>
      </w:pPr>
    </w:p>
    <w:p>
      <w:pPr>
        <w:ind w:left="880" w:right="46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sales of oatmilk products grew by 68% year over year from 2020 to 2021, according to Nielsen, and represented the second largest dairy alternative category after almond milk.</w:t>
      </w:r>
    </w:p>
    <w:p>
      <w:pPr>
        <w:spacing w:after="0" w:line="310" w:lineRule="exact"/>
        <w:rPr>
          <w:rFonts w:ascii="Times New Roman" w:cs="Times New Roman" w:eastAsia="Times New Roman" w:hAnsi="Times New Roman"/>
          <w:sz w:val="18"/>
          <w:szCs w:val="18"/>
          <w:color w:val="auto"/>
        </w:rPr>
      </w:pPr>
    </w:p>
    <w:p>
      <w:pPr>
        <w:ind w:left="880" w:right="32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sales of oatmilk products grew by 31% year over year from 2020 to 2021, and is the largest dairy alternative drink category, according to IRI.</w:t>
      </w:r>
    </w:p>
    <w:p>
      <w:pPr>
        <w:spacing w:after="0" w:line="310" w:lineRule="exact"/>
        <w:rPr>
          <w:rFonts w:ascii="Times New Roman" w:cs="Times New Roman" w:eastAsia="Times New Roman" w:hAnsi="Times New Roman"/>
          <w:sz w:val="18"/>
          <w:szCs w:val="18"/>
          <w:color w:val="auto"/>
        </w:rPr>
      </w:pPr>
    </w:p>
    <w:p>
      <w:pPr>
        <w:jc w:val="both"/>
        <w:ind w:left="880" w:right="22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Germany, since we launched our retail strategy in 2018, oatmilk’s market share of sales in the retail plant-based dairy category has grown from approximately 23% for the rolling four week period ended January 2018 to approximately 65% for the rolling four week period ended January 2, 2022, according to Nielsen.</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880" w:right="6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Sweden, oatmilk is the largest category in the total plant-based milk retail market, with a 78% market share for the rolling four week period ended January 2, 2022, which is predominantly driven by Oatly’s leadership position, according to Nielsen.</w:t>
      </w:r>
    </w:p>
    <w:p>
      <w:pPr>
        <w:spacing w:after="0" w:line="310"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plant-based dairy, especially oat-based dairy, will continue to experience significant growth driven by multiple secular tailwinds:</w:t>
      </w:r>
    </w:p>
    <w:p>
      <w:pPr>
        <w:spacing w:after="0" w:line="373"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 and health as important factors in driving behavioral change and consumer choice. Consumers are increasingly aware of the environmental and health benefits of plant-based dairy. For example, in general, compared to dairy products, plant-based dairy products have a lower environmental impact in respect of greenhouse gas emissions, land and water usage.</w:t>
      </w:r>
    </w:p>
    <w:p>
      <w:pPr>
        <w:spacing w:after="0" w:line="320" w:lineRule="exact"/>
        <w:rPr>
          <w:rFonts w:ascii="Times New Roman" w:cs="Times New Roman" w:eastAsia="Times New Roman" w:hAnsi="Times New Roman"/>
          <w:sz w:val="18"/>
          <w:szCs w:val="18"/>
          <w:color w:val="auto"/>
        </w:rPr>
      </w:pPr>
    </w:p>
    <w:p>
      <w:pPr>
        <w:ind w:left="880" w:hanging="440"/>
        <w:spacing w:after="0" w:line="268"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Younger generations increasingly seek out brands that connect with their core values</w:t>
      </w:r>
      <w:r>
        <w:rPr>
          <w:rFonts w:ascii="Times New Roman" w:cs="Times New Roman" w:eastAsia="Times New Roman" w:hAnsi="Times New Roman"/>
          <w:sz w:val="18"/>
          <w:szCs w:val="18"/>
          <w:color w:val="auto"/>
        </w:rPr>
        <w:t>. A Zeno Study found that younger consumers are four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six times more likely to purchase, protect and champion purpose-driven companies than older consumers, as younger consumers are looking for companies to advance progress on important issues within and outside of their operational footprint.</w:t>
      </w:r>
    </w:p>
    <w:p>
      <w:pPr>
        <w:spacing w:after="0" w:line="319" w:lineRule="exact"/>
        <w:rPr>
          <w:rFonts w:ascii="Times New Roman" w:cs="Times New Roman" w:eastAsia="Times New Roman" w:hAnsi="Times New Roman"/>
          <w:sz w:val="18"/>
          <w:szCs w:val="18"/>
          <w:color w:val="auto"/>
        </w:rPr>
      </w:pPr>
    </w:p>
    <w:p>
      <w:pPr>
        <w:jc w:val="both"/>
        <w:ind w:left="880" w:right="560" w:hanging="440"/>
        <w:spacing w:after="0" w:line="268"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Growing consumer demand for oat-based dairy</w:t>
      </w:r>
      <w:r>
        <w:rPr>
          <w:rFonts w:ascii="Times New Roman" w:cs="Times New Roman" w:eastAsia="Times New Roman" w:hAnsi="Times New Roman"/>
          <w:sz w:val="18"/>
          <w:szCs w:val="18"/>
          <w:color w:val="auto"/>
        </w:rPr>
        <w:t>. Retail sales data shows that Oatly is the driving force behind the increasing consumer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oat-based dairy products. We believe that oats are a crop uniquely positioned to achieve the goal of a better dairy portfolio, including:</w:t>
      </w:r>
    </w:p>
    <w:p>
      <w:pPr>
        <w:spacing w:after="0" w:line="321" w:lineRule="exact"/>
        <w:rPr>
          <w:sz w:val="20"/>
          <w:szCs w:val="20"/>
          <w:color w:val="auto"/>
        </w:rPr>
      </w:pPr>
    </w:p>
    <w:p>
      <w:pPr>
        <w:ind w:left="880" w:right="60" w:hanging="440"/>
        <w:spacing w:after="0" w:line="266" w:lineRule="auto"/>
        <w:tabs>
          <w:tab w:leader="none" w:pos="88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Sustainability characteristics of oats</w:t>
      </w:r>
      <w:r>
        <w:rPr>
          <w:rFonts w:ascii="Times New Roman" w:cs="Times New Roman" w:eastAsia="Times New Roman" w:hAnsi="Times New Roman"/>
          <w:sz w:val="18"/>
          <w:szCs w:val="18"/>
          <w:color w:val="auto"/>
        </w:rPr>
        <w:t>: Oats are a low-input crop, which offer the possibility for crop rotation, which can have a positive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soil.</w:t>
      </w:r>
    </w:p>
    <w:p>
      <w:pPr>
        <w:spacing w:after="0" w:line="320" w:lineRule="exact"/>
        <w:rPr>
          <w:rFonts w:ascii="Courier New" w:cs="Courier New" w:eastAsia="Courier New" w:hAnsi="Courier New"/>
          <w:sz w:val="18"/>
          <w:szCs w:val="18"/>
          <w:color w:val="auto"/>
        </w:rPr>
      </w:pPr>
    </w:p>
    <w:p>
      <w:pPr>
        <w:ind w:left="880" w:right="380" w:hanging="440"/>
        <w:spacing w:after="0" w:line="266" w:lineRule="auto"/>
        <w:tabs>
          <w:tab w:leader="none" w:pos="88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Flexible within the supply chain</w:t>
      </w:r>
      <w:r>
        <w:rPr>
          <w:rFonts w:ascii="Times New Roman" w:cs="Times New Roman" w:eastAsia="Times New Roman" w:hAnsi="Times New Roman"/>
          <w:sz w:val="18"/>
          <w:szCs w:val="18"/>
          <w:color w:val="auto"/>
        </w:rPr>
        <w:t>: Oats provide a longer raw ingredient shelf life compared to dairy, while also offering a competitive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compared to other plant-based dairy products.</w:t>
      </w:r>
    </w:p>
    <w:p>
      <w:pPr>
        <w:spacing w:after="0" w:line="320" w:lineRule="exact"/>
        <w:rPr>
          <w:rFonts w:ascii="Courier New" w:cs="Courier New" w:eastAsia="Courier New" w:hAnsi="Courier New"/>
          <w:sz w:val="18"/>
          <w:szCs w:val="18"/>
          <w:color w:val="auto"/>
        </w:rPr>
      </w:pPr>
    </w:p>
    <w:p>
      <w:pPr>
        <w:ind w:left="880" w:right="400" w:hanging="440"/>
        <w:spacing w:after="0" w:line="266" w:lineRule="auto"/>
        <w:tabs>
          <w:tab w:leader="none" w:pos="88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Widely accessible to a range of eaters</w:t>
      </w:r>
      <w:r>
        <w:rPr>
          <w:rFonts w:ascii="Times New Roman" w:cs="Times New Roman" w:eastAsia="Times New Roman" w:hAnsi="Times New Roman"/>
          <w:sz w:val="18"/>
          <w:szCs w:val="18"/>
          <w:color w:val="auto"/>
        </w:rPr>
        <w:t>: Oats do not contain some common allergens present in other plant and nut-based products; it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neutral taste profile, making it attractive for a wide variety of plant-based dairy use cases.</w:t>
      </w:r>
    </w:p>
    <w:p>
      <w:pPr>
        <w:spacing w:after="0" w:line="320" w:lineRule="exact"/>
        <w:rPr>
          <w:rFonts w:ascii="Courier New" w:cs="Courier New" w:eastAsia="Courier New" w:hAnsi="Courier New"/>
          <w:sz w:val="18"/>
          <w:szCs w:val="18"/>
          <w:color w:val="auto"/>
        </w:rPr>
      </w:pPr>
    </w:p>
    <w:p>
      <w:pPr>
        <w:ind w:left="880" w:right="160" w:hanging="440"/>
        <w:spacing w:after="0" w:line="266" w:lineRule="auto"/>
        <w:tabs>
          <w:tab w:leader="none" w:pos="88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Nutritional advantages</w:t>
      </w:r>
      <w:r>
        <w:rPr>
          <w:rFonts w:ascii="Times New Roman" w:cs="Times New Roman" w:eastAsia="Times New Roman" w:hAnsi="Times New Roman"/>
          <w:sz w:val="18"/>
          <w:szCs w:val="18"/>
          <w:color w:val="auto"/>
        </w:rPr>
        <w:t>: Oats have a balanced macro-nutritional profile, which contains a high amount of dietary fiber (including beta-glucan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fibers), key fatty acids and mainly unsaturated fats.</w:t>
      </w:r>
    </w:p>
    <w:p>
      <w:pPr>
        <w:spacing w:after="0" w:line="320" w:lineRule="exact"/>
        <w:rPr>
          <w:rFonts w:ascii="Courier New" w:cs="Courier New" w:eastAsia="Courier New" w:hAnsi="Courier New"/>
          <w:sz w:val="18"/>
          <w:szCs w:val="18"/>
          <w:color w:val="auto"/>
        </w:rPr>
      </w:pPr>
    </w:p>
    <w:p>
      <w:pPr>
        <w:ind w:left="880" w:hanging="440"/>
        <w:spacing w:after="0"/>
        <w:tabs>
          <w:tab w:leader="none" w:pos="88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Cultural advantages</w:t>
      </w:r>
      <w:r>
        <w:rPr>
          <w:rFonts w:ascii="Times New Roman" w:cs="Times New Roman" w:eastAsia="Times New Roman" w:hAnsi="Times New Roman"/>
          <w:sz w:val="18"/>
          <w:szCs w:val="18"/>
          <w:color w:val="auto"/>
        </w:rPr>
        <w:t>: Oats can be consumed by many cultures and are common across global cuisines.</w:t>
      </w:r>
    </w:p>
    <w:p>
      <w:pPr>
        <w:spacing w:after="0" w:line="360" w:lineRule="exact"/>
        <w:rPr>
          <w:rFonts w:ascii="Courier New" w:cs="Courier New" w:eastAsia="Courier New" w:hAnsi="Courier New"/>
          <w:sz w:val="18"/>
          <w:szCs w:val="18"/>
          <w:color w:val="auto"/>
        </w:rPr>
      </w:pPr>
    </w:p>
    <w:p>
      <w:pPr>
        <w:ind w:left="880"/>
        <w:spacing w:after="0"/>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Today, we operate in three regions: EMEA, the Americas and Asia.</w:t>
      </w:r>
    </w:p>
    <w:p>
      <w:pPr>
        <w:spacing w:after="0" w:line="370" w:lineRule="exact"/>
        <w:rPr>
          <w:sz w:val="20"/>
          <w:szCs w:val="20"/>
          <w:color w:val="auto"/>
        </w:rPr>
      </w:pPr>
    </w:p>
    <w:p>
      <w:pPr>
        <w:ind w:left="880" w:right="80" w:hanging="440"/>
        <w:spacing w:after="0" w:line="259"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EMEA</w:t>
      </w:r>
      <w:r>
        <w:rPr>
          <w:rFonts w:ascii="Times New Roman" w:cs="Times New Roman" w:eastAsia="Times New Roman" w:hAnsi="Times New Roman"/>
          <w:sz w:val="18"/>
          <w:szCs w:val="18"/>
          <w:color w:val="auto"/>
        </w:rPr>
        <w:t>. According to Euromonitor, the retail value of the plant-based dairy industry in EMEA (consisting of Europe, the Middle East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Africa for purposes of this paragraph) was estimated to be $5 billion in 2021, representing 2.3% of the dairy industry, and is expected to reach approximately $8 billion by 2026. Penetration is significantly higher in the non-dairy milk category at approximately 7% and is expected to increase to 9% by 2026. We have a significant presence in EMEA, with operations in over 15 markets, and are the leading oatmilk brand by market share in every key market in which we operate.</w:t>
      </w:r>
    </w:p>
    <w:p>
      <w:pPr>
        <w:spacing w:after="0" w:line="327" w:lineRule="exact"/>
        <w:rPr>
          <w:rFonts w:ascii="Times New Roman" w:cs="Times New Roman" w:eastAsia="Times New Roman" w:hAnsi="Times New Roman"/>
          <w:sz w:val="18"/>
          <w:szCs w:val="18"/>
          <w:color w:val="auto"/>
        </w:rPr>
      </w:pPr>
    </w:p>
    <w:p>
      <w:pPr>
        <w:ind w:left="880" w:right="40" w:hanging="440"/>
        <w:spacing w:after="0" w:line="259"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 According to Euromonitor, the retail value of the plant-based dairy industry in the Americas was estimated to be $5 billion in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3.0% of the dairy industry, and is expected to reach approximately $8 billion by 2026. Penetration is significantly higher in the non-dairy milk category at approximately 10% and is expected to increase to 13% by 2026. Since entering the United States in 2017, we have achieved significant success across both foodservice and retail channels, despite having supply constraints, and have quickly become a leading oatmilk brand by retail sales value in grocery in the dairy alternative non-milk-based category in 2021, according to Nielsen.</w:t>
      </w:r>
    </w:p>
    <w:p>
      <w:pPr>
        <w:spacing w:after="0" w:line="327" w:lineRule="exact"/>
        <w:rPr>
          <w:rFonts w:ascii="Times New Roman" w:cs="Times New Roman" w:eastAsia="Times New Roman" w:hAnsi="Times New Roman"/>
          <w:sz w:val="18"/>
          <w:szCs w:val="18"/>
          <w:color w:val="auto"/>
        </w:rPr>
      </w:pPr>
    </w:p>
    <w:p>
      <w:pPr>
        <w:ind w:left="880" w:right="140" w:hanging="440"/>
        <w:spacing w:after="0" w:line="291" w:lineRule="auto"/>
        <w:tabs>
          <w:tab w:leader="none" w:pos="8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Asia</w:t>
      </w:r>
      <w:r>
        <w:rPr>
          <w:rFonts w:ascii="Times New Roman" w:cs="Times New Roman" w:eastAsia="Times New Roman" w:hAnsi="Times New Roman"/>
          <w:sz w:val="17"/>
          <w:szCs w:val="17"/>
          <w:color w:val="auto"/>
        </w:rPr>
        <w:t>. Asia is the largest plant-based dairy market in the world. According to Euromonitor, the retail value of the plant-based dairy industry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Asia (excluding soy drinks in China) was estimated to be $8 billion in 2021, representing 4.3% of the dairy industry. Lactose intolerance is widely present in Asian countries, according to a study published in Lancet, leading to a potential underlying demand for plant-based dairy.</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02" w:lineRule="exact"/>
        <w:rPr>
          <w:sz w:val="20"/>
          <w:szCs w:val="20"/>
          <w:color w:val="auto"/>
        </w:rPr>
      </w:pPr>
    </w:p>
    <w:p>
      <w:pPr>
        <w:ind w:right="460" w:firstLine="864"/>
        <w:spacing w:after="0" w:line="282" w:lineRule="auto"/>
        <w:rPr>
          <w:sz w:val="20"/>
          <w:szCs w:val="20"/>
          <w:color w:val="auto"/>
        </w:rPr>
      </w:pPr>
      <w:r>
        <w:rPr>
          <w:rFonts w:ascii="Times New Roman" w:cs="Times New Roman" w:eastAsia="Times New Roman" w:hAnsi="Times New Roman"/>
          <w:sz w:val="18"/>
          <w:szCs w:val="18"/>
          <w:color w:val="auto"/>
        </w:rPr>
        <w:t>We believe that the following strengths differentiate us from our competitors and enable us to grow our leading market position and drive continued success, while staying committed to our sustainability priorities.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Purpose-Driven to Create a Plant-Based Sustainable Food System</w:t>
      </w:r>
    </w:p>
    <w:p>
      <w:pPr>
        <w:spacing w:after="0" w:line="189"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Oatly is an organization that is focused on people and the planet. Sustainability is at the core of our business and a part of our strategic decision-making across the value chain. For example, we are the first company in Europe to utilize a fleet of heavy-duty electric trucks for true commercial routes. Rooted and validated through our research, we believe the growth of our products can help to address some of society’s greatest challenges concerning the climate, environment, human health and lifestyle.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Authentic Brand Beloved by Consumers</w:t>
      </w:r>
    </w:p>
    <w:p>
      <w:pPr>
        <w:spacing w:after="0" w:line="189" w:lineRule="exact"/>
        <w:rPr>
          <w:sz w:val="20"/>
          <w:szCs w:val="20"/>
          <w:color w:val="auto"/>
        </w:rPr>
      </w:pPr>
    </w:p>
    <w:p>
      <w:pPr>
        <w:ind w:right="40" w:firstLine="864"/>
        <w:spacing w:after="0" w:line="258" w:lineRule="auto"/>
        <w:rPr>
          <w:sz w:val="20"/>
          <w:szCs w:val="20"/>
          <w:color w:val="auto"/>
        </w:rPr>
      </w:pPr>
      <w:r>
        <w:rPr>
          <w:rFonts w:ascii="Times New Roman" w:cs="Times New Roman" w:eastAsia="Times New Roman" w:hAnsi="Times New Roman"/>
          <w:sz w:val="18"/>
          <w:szCs w:val="18"/>
          <w:color w:val="auto"/>
        </w:rPr>
        <w:t>We believe the Oatly brand has become one of the strongest voices that stands for what consumers care about: in particular, sustainability and health. We have torn down the conventional corporate approach to brand building and have developed a voice that is human, compelling and relatable. Our advertisements are bold and eye-catching, meant to drive conversation among consumers, while challenging norms and outdated industry practices. Our consumer relations function supports initiatives and hosts events within our communities, driving our ability to initiate dialogue across regions, cultures and among a rapidly expanding customer base.</w:t>
      </w:r>
    </w:p>
    <w:p>
      <w:pPr>
        <w:spacing w:after="0" w:line="143"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Creativity is at the center of the Oatly brand. Through the efforts of our authentic and award-winning in-house creative team, we have cultivated a loyal consumer base that is highly aligned with our ambitions. We believe our strong resonance with consumers will further propel our growth and support the transition to a plant-based food system.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Market-Leading Product Portfolio Disrupting the Global Dairy Market</w:t>
      </w:r>
    </w:p>
    <w:p>
      <w:pPr>
        <w:spacing w:after="0" w:line="189"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We are leading the plant-based movement to disrupt the $628 billion global dairy retail market. We are the highest selling oatmilk brand by retail sales value in Sweden, Germany and the United Kingdom in grocery in the dairy alternative non-milk based category for 2021, according to Nielsen and IRI. In 2021, we drove 47%, 22% and 33% of plant-based milk growth in the United Kingdom, Germany and the United States, respectively, according to Nielsen and IRI.</w:t>
      </w:r>
    </w:p>
    <w:p>
      <w:pPr>
        <w:spacing w:after="0" w:line="139" w:lineRule="exact"/>
        <w:rPr>
          <w:sz w:val="20"/>
          <w:szCs w:val="20"/>
          <w:color w:val="auto"/>
        </w:rPr>
      </w:pPr>
    </w:p>
    <w:p>
      <w:pPr>
        <w:ind w:right="100" w:firstLine="864"/>
        <w:spacing w:after="0" w:line="256" w:lineRule="auto"/>
        <w:rPr>
          <w:sz w:val="20"/>
          <w:szCs w:val="20"/>
          <w:color w:val="auto"/>
        </w:rPr>
      </w:pPr>
      <w:r>
        <w:rPr>
          <w:rFonts w:ascii="Times New Roman" w:cs="Times New Roman" w:eastAsia="Times New Roman" w:hAnsi="Times New Roman"/>
          <w:sz w:val="18"/>
          <w:szCs w:val="18"/>
          <w:color w:val="auto"/>
        </w:rPr>
        <w:t>We have demonstrated global commercial success through our expansion into more than 20 markets across three continents. We believe our sustainable, nutritious and tasty products are accelerating the adoption of plant-based dairy by converting traditional dairy consumers into Oatly fans. Our loyal consumer base has supported and driven our extension beyond just the plant-based milk category, and we currently have a broad product portfolio across seven categories that includes frozen desserts, Oatgurt, creams, spreads and on-the-go drinks. As evidenced by the commercial success of previous product category launches, our consumers desire further category innovation, providing us with a basis to continue converting cow milk consumers across occasions.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Innovation Capabilities Grounded in 25 Years of Patented Technologies, Craftsmanship and Oat Expertise</w:t>
      </w:r>
    </w:p>
    <w:p>
      <w:pPr>
        <w:spacing w:after="0" w:line="189"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Oatly was founded by food scientists on a mission to create an upgraded alternative to traditional dairy. Through more than 25 years of commitment to liquid oat technology, we have developed a proprietary oat base production technology that leverages patented enzymatic processes to turn oats into a nutritional, great tasting liquid product. Our patents are supplemented with and protected by decades of production craftsmanship and a global innovation organization.</w:t>
      </w:r>
    </w:p>
    <w:p>
      <w:pPr>
        <w:spacing w:after="0" w:line="139"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Our production processes are built from our deep understanding of the oat from the raw material level: we work closely with our oat suppliers and we understand how the natural variances in agriculture may impact our raw ingredients and products. We have a global Food Innovation team in Sweden and regional product development teams in the United States, EMEA and Asia to enhance and expand our product portfolio. We plan to open a new Research and Innovation Center in Sweden in 2023, which will further develop our long-term innovation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capabilities. We have exclusive partnerships with industry partners to analyze entire oat genomes and genes to identify naturally occurring variances that help us improve on product nutritional qualities, technological properties and agronomic properties. We believe our innovation capabilities enable us to deliver on our promise of sustainable, delicious and nutritious products—supporting our mission to make plant-based eating easy and position us for long-term market leadership.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Multi-Channel Distribution Led by Proven Foodservice Strategy</w:t>
      </w:r>
    </w:p>
    <w:p>
      <w:pPr>
        <w:spacing w:after="0" w:line="189" w:lineRule="exact"/>
        <w:rPr>
          <w:sz w:val="20"/>
          <w:szCs w:val="20"/>
          <w:color w:val="auto"/>
        </w:rPr>
      </w:pPr>
    </w:p>
    <w:p>
      <w:pPr>
        <w:ind w:right="60" w:firstLine="864"/>
        <w:spacing w:after="0" w:line="254" w:lineRule="auto"/>
        <w:rPr>
          <w:sz w:val="20"/>
          <w:szCs w:val="20"/>
          <w:color w:val="auto"/>
        </w:rPr>
      </w:pPr>
      <w:r>
        <w:rPr>
          <w:rFonts w:ascii="Times New Roman" w:cs="Times New Roman" w:eastAsia="Times New Roman" w:hAnsi="Times New Roman"/>
          <w:sz w:val="18"/>
          <w:szCs w:val="18"/>
          <w:color w:val="auto"/>
        </w:rPr>
        <w:t>Our successful channel penetration and execution across geographies starts with our foodservice-led market entry strategy that builds awareness of our brand and products. Consumers discover Oatly in a trusted environment such as an expertly brewed cup of coffee or cappuccino from their favorite coffee shop. That quality product experience sparks a discovery journey for consumers with Oatly that can lead to purchase at a grocery store or incorporating more plant-based options in their diet. Importantly, this strategy is very difficult to replicate given this channel’s fragmented and opaque distribution networks and has only been made possible by our on-the-ground teams that understand the nuances of this channel. While this strategy is currently best exemplified in our coffee channel through our barista relationships, we believe it is replicable across products categories through respective category foodservice channels. We are currently expanding this strategy in partnerships with multi-unit independents and large coffee chains to further drive the momentum of Oatly into new international markets.</w:t>
      </w:r>
    </w:p>
    <w:p>
      <w:pPr>
        <w:spacing w:after="0" w:line="151" w:lineRule="exact"/>
        <w:rPr>
          <w:sz w:val="20"/>
          <w:szCs w:val="20"/>
          <w:color w:val="auto"/>
        </w:rPr>
      </w:pPr>
    </w:p>
    <w:p>
      <w:pPr>
        <w:ind w:right="120" w:firstLine="864"/>
        <w:spacing w:after="0" w:line="258" w:lineRule="auto"/>
        <w:rPr>
          <w:sz w:val="20"/>
          <w:szCs w:val="20"/>
          <w:color w:val="auto"/>
        </w:rPr>
      </w:pPr>
      <w:r>
        <w:rPr>
          <w:rFonts w:ascii="Times New Roman" w:cs="Times New Roman" w:eastAsia="Times New Roman" w:hAnsi="Times New Roman"/>
          <w:sz w:val="18"/>
          <w:szCs w:val="18"/>
          <w:color w:val="auto"/>
        </w:rPr>
        <w:t>The consumer buzz that we generate through the specialty foodservice channel creates a pull-through effect into broader foodservice, food retail and e-commerce channels. As of December 31, 2021, our products are available in more than 85,000 retail doors and 79,000 foodservice locations across more than 20 countries globally. We have successfully expanded our distribution from niche foodservice concepts to mainstream retail partnerships with conventional and natural grocer channels to reach more of the consumer base. We have scaled e-commerce platforms in China and the United Kingdom, including the #1 oatmilk brand position on Tmall in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Leadership Focused on People and Planet</w:t>
      </w:r>
    </w:p>
    <w:p>
      <w:pPr>
        <w:spacing w:after="0" w:line="189"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We have an experienced and passionate executive team that has helmed the acceleration of our growth and set our strategic direction. Under the leadership of our Chief Executive Officer Toni Petersson, who joined in 2012, we have strategically transformed from a producer of plant-based dairy into a purpose-driven brand, we nearly increased revenue ninefold from 2017 to $643.2 million in 2021 and we successfully entered the United States, the broader Western European region and Asia Pacific. Our leadership team brings a fresh perspective to the food industry and challenges outdated industry practices to meet consumer desires in an authentic way. We have on-the-ground regional leaders in each of our key markets with deep knowledge of the local markets. We empower our regional leaders to tailor growth strategies that speak to local consumer needs and desires. As we scale, our culture and mission remain central to our company in each of our regions, at all levels and across divisions.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Strategies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expect to drive continued, sustainable growth and strong financial performance by executing on the following strategies: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Consumer Base through Increased Awareness and Plant-Based Dairy Category Growth</w:t>
      </w:r>
    </w:p>
    <w:p>
      <w:pPr>
        <w:spacing w:after="0" w:line="189" w:lineRule="exact"/>
        <w:rPr>
          <w:sz w:val="20"/>
          <w:szCs w:val="20"/>
          <w:color w:val="auto"/>
        </w:rPr>
      </w:pPr>
    </w:p>
    <w:p>
      <w:pPr>
        <w:ind w:right="80" w:firstLine="864"/>
        <w:spacing w:after="0" w:line="282" w:lineRule="auto"/>
        <w:rPr>
          <w:sz w:val="20"/>
          <w:szCs w:val="20"/>
          <w:color w:val="auto"/>
        </w:rPr>
      </w:pPr>
      <w:r>
        <w:rPr>
          <w:rFonts w:ascii="Times New Roman" w:cs="Times New Roman" w:eastAsia="Times New Roman" w:hAnsi="Times New Roman"/>
          <w:sz w:val="18"/>
          <w:szCs w:val="18"/>
          <w:color w:val="auto"/>
        </w:rPr>
        <w:t>The plant-based dairy market is still in its infancy. Even the most mature market and most mature category—U.S. dairy milk alternatives—has only 9% penetration compared to dairy milk as of 2021, according to Euromonitor, representing significant whitespace for us to grow.</w:t>
      </w:r>
    </w:p>
    <w:p>
      <w:pPr>
        <w:spacing w:after="0" w:line="135" w:lineRule="exact"/>
        <w:rPr>
          <w:sz w:val="20"/>
          <w:szCs w:val="20"/>
          <w:color w:val="auto"/>
        </w:rPr>
      </w:pPr>
    </w:p>
    <w:p>
      <w:pPr>
        <w:ind w:right="140" w:firstLine="864"/>
        <w:spacing w:after="0" w:line="258" w:lineRule="auto"/>
        <w:rPr>
          <w:sz w:val="20"/>
          <w:szCs w:val="20"/>
          <w:color w:val="auto"/>
        </w:rPr>
      </w:pPr>
      <w:r>
        <w:rPr>
          <w:rFonts w:ascii="Times New Roman" w:cs="Times New Roman" w:eastAsia="Times New Roman" w:hAnsi="Times New Roman"/>
          <w:sz w:val="18"/>
          <w:szCs w:val="18"/>
          <w:color w:val="auto"/>
        </w:rPr>
        <w:t>We believe the ability to share the Oatly story with a broader audience is critical to the success of our mission to drive greater plant-based consumption. At precisely the moment when these values are hitting mainstream culture, we are helping to support the breaking down of barriers to adopt plant-based dairy and capturing this interest by engaging consumers with our brand. We believe our brand that is focused on sustainability has helped to drive Oatly’s success across each of our markets. We believe our commercial efforts and proven execution to increase knowledge and awareness of our brand will enable us to convert dairy consumers into Oatly consumers.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Distribution and Velocity in New and Existing Markets</w:t>
      </w:r>
    </w:p>
    <w:p>
      <w:pPr>
        <w:spacing w:after="0" w:line="202"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8"/>
          <w:szCs w:val="18"/>
          <w:color w:val="auto"/>
        </w:rPr>
        <w:t>We believe we can continue to grow in existing markets by building on our industry-leading food retail performance by growing velocity and expanding on-shelf presence with Oatly’s full portfolio. Our performance in Germany, the United Kingdom and the United States, where we have demonstrated strong velocity, is indicative of the consumer demand for our products. We believe there is significant whitespace to further expand our foodservice, retail and e-commerce footprint. To illustrate the distribution whitespace opportunity in the retail channel, our total distribution points in Germany and the United Kingdom is approximately one-third of the largest plant-based milk brands in each market, as of December 31, 2021, according to Nielsen and IRI. In the United States, our all-commodity volume, which represents weighted average distribution, was 34% as of December 31, 2021.</w:t>
      </w:r>
    </w:p>
    <w:p>
      <w:pPr>
        <w:spacing w:after="0" w:line="1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Beyond our existing footprint, we believe we have a significant opportunity to expand into new international markets, including in Asia.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 our established global presence and proven execution in three continents serve as compelling proof points of our ability to successfully enter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In EMEA, we are only in the early stages of development in many of the region’s largest dairy markets: Spain, France and Italy, representing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 billion in dairy market retail opportunity as of December 31, 2021. We plan to leverage our proven foodservice-led strategy to encourage trial, generate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strong consumer buzz and create strong pull into the retail channel.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 in Global Operating Footprint to Support Scaled Growth Opportunity</w:t>
      </w:r>
    </w:p>
    <w:p>
      <w:pPr>
        <w:spacing w:after="0" w:line="202" w:lineRule="exact"/>
        <w:rPr>
          <w:sz w:val="20"/>
          <w:szCs w:val="20"/>
          <w:color w:val="auto"/>
        </w:rPr>
      </w:pPr>
    </w:p>
    <w:p>
      <w:pPr>
        <w:ind w:right="60" w:firstLine="864"/>
        <w:spacing w:after="0" w:line="281" w:lineRule="auto"/>
        <w:rPr>
          <w:sz w:val="20"/>
          <w:szCs w:val="20"/>
          <w:color w:val="auto"/>
        </w:rPr>
      </w:pPr>
      <w:r>
        <w:rPr>
          <w:rFonts w:ascii="Times New Roman" w:cs="Times New Roman" w:eastAsia="Times New Roman" w:hAnsi="Times New Roman"/>
          <w:sz w:val="17"/>
          <w:szCs w:val="17"/>
          <w:color w:val="auto"/>
        </w:rPr>
        <w:t>We believe the greatest constraint on our growth has been production capacity. Historically, global demand for Oatly products has significantly outpaced our supply. In order to meet this demand, we operated six production facilities as of December 2021 and plan to open three additional facilities in 2023. Our strategy is to further execute upon our proven track record and continue to build our production capabilities across each of our regions. By increasing our production capacity, we expect to be able to drive topline growth and increase our ability to meet the existing consumer demand.</w:t>
      </w:r>
    </w:p>
    <w:p>
      <w:pPr>
        <w:spacing w:after="0" w:line="124" w:lineRule="exact"/>
        <w:rPr>
          <w:sz w:val="20"/>
          <w:szCs w:val="20"/>
          <w:color w:val="auto"/>
        </w:rPr>
      </w:pPr>
    </w:p>
    <w:p>
      <w:pPr>
        <w:ind w:right="240" w:firstLine="864"/>
        <w:spacing w:after="0" w:line="277" w:lineRule="auto"/>
        <w:rPr>
          <w:sz w:val="20"/>
          <w:szCs w:val="20"/>
          <w:color w:val="auto"/>
        </w:rPr>
      </w:pPr>
      <w:r>
        <w:rPr>
          <w:rFonts w:ascii="Times New Roman" w:cs="Times New Roman" w:eastAsia="Times New Roman" w:hAnsi="Times New Roman"/>
          <w:sz w:val="17"/>
          <w:szCs w:val="17"/>
          <w:color w:val="auto"/>
        </w:rPr>
        <w:t>Ultimately, we believe our long-term strategy of operating end-to-end manufacturing facilities allows better control over our footprint that is necessary to meet our speed-to-market, sustainability, economic and innovation goals. Specific competitive advantages of this strategy include secured production capacity in an increasingly competitive market; end-to-end process control ensuring product quality; greater control over equipment and processes related to sustainability; and proximity to consumer end markets to drive attractive production economics. We believe we are still in the early stages of the transition to a plant-based food system and will continue to invest in our production capabilities to spearhead this consumer movement.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 Product Offerings through Innovation</w:t>
      </w:r>
    </w:p>
    <w:p>
      <w:pPr>
        <w:spacing w:after="0" w:line="202" w:lineRule="exact"/>
        <w:rPr>
          <w:sz w:val="20"/>
          <w:szCs w:val="20"/>
          <w:color w:val="auto"/>
        </w:rPr>
      </w:pPr>
    </w:p>
    <w:p>
      <w:pPr>
        <w:ind w:right="160" w:firstLine="864"/>
        <w:spacing w:after="0" w:line="261" w:lineRule="auto"/>
        <w:rPr>
          <w:sz w:val="20"/>
          <w:szCs w:val="20"/>
          <w:color w:val="auto"/>
        </w:rPr>
      </w:pPr>
      <w:r>
        <w:rPr>
          <w:rFonts w:ascii="Times New Roman" w:cs="Times New Roman" w:eastAsia="Times New Roman" w:hAnsi="Times New Roman"/>
          <w:sz w:val="18"/>
          <w:szCs w:val="18"/>
          <w:color w:val="auto"/>
        </w:rPr>
        <w:t>We continually strive to improve upon our products in order to deliver more innovative, nutritious, sustainable and delicious form of liquid oats. We are focusing our research and innovation in key areas such as improving the nutrition, taste, functionality, sustainability and health effects of our products. We have ambitious, long-term innovation goals, which we believe will lead to sustained market leadership through the use of cutting-edge processes to deliver advanced products.</w:t>
      </w:r>
    </w:p>
    <w:p>
      <w:pPr>
        <w:spacing w:after="0" w:line="139" w:lineRule="exact"/>
        <w:rPr>
          <w:sz w:val="20"/>
          <w:szCs w:val="20"/>
          <w:color w:val="auto"/>
        </w:rPr>
      </w:pPr>
    </w:p>
    <w:p>
      <w:pPr>
        <w:ind w:right="40" w:firstLine="864"/>
        <w:spacing w:after="0" w:line="256" w:lineRule="auto"/>
        <w:rPr>
          <w:sz w:val="20"/>
          <w:szCs w:val="20"/>
          <w:color w:val="auto"/>
        </w:rPr>
      </w:pPr>
      <w:r>
        <w:rPr>
          <w:rFonts w:ascii="Times New Roman" w:cs="Times New Roman" w:eastAsia="Times New Roman" w:hAnsi="Times New Roman"/>
          <w:sz w:val="18"/>
          <w:szCs w:val="18"/>
          <w:color w:val="auto"/>
        </w:rPr>
        <w:t>We are able to bridge the research to the desired commercial outcome due to our knowledge of the oat genome and production craftsmanship, allowing us to solve for elements related to process, taste and health and to help us achieve our sustainability and nutritional goals. We tailor our products to local consumer demands and further facilitate the consumer transition from cow-based dairy products to Oatly. Furthermore, we have significant runway to roll out our full product portfolio in our existing markets, which is limited by supply constraints. With our continued investment in innovative and patented technologies, we aim to facilitate our consumers’ transition from cow-based dairy products to Oatly and strive to empower them to choose solutions that we believe improve their lives and the planet.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89" w:lineRule="exact"/>
        <w:rPr>
          <w:sz w:val="20"/>
          <w:szCs w:val="20"/>
          <w:color w:val="auto"/>
        </w:rPr>
      </w:pPr>
    </w:p>
    <w:p>
      <w:pPr>
        <w:jc w:val="both"/>
        <w:ind w:right="200" w:firstLine="864"/>
        <w:spacing w:after="0" w:line="266" w:lineRule="auto"/>
        <w:rPr>
          <w:sz w:val="20"/>
          <w:szCs w:val="20"/>
          <w:color w:val="auto"/>
        </w:rPr>
      </w:pPr>
      <w:r>
        <w:rPr>
          <w:rFonts w:ascii="Times New Roman" w:cs="Times New Roman" w:eastAsia="Times New Roman" w:hAnsi="Times New Roman"/>
          <w:sz w:val="18"/>
          <w:szCs w:val="18"/>
          <w:color w:val="auto"/>
        </w:rPr>
        <w:t>We offer a range of plant-based dairy products made from oats. The foundation for all these products is our proprietary oat base technology, which mimics nature’s own process and turns fiber-rich oats into products that are designed for humans. The graphic below illustrates a selection of our products that are available in the various markets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123190</wp:posOffset>
            </wp:positionV>
            <wp:extent cx="4457700" cy="3343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5770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Standards</w:t>
      </w:r>
    </w:p>
    <w:p>
      <w:pPr>
        <w:spacing w:after="0" w:line="189" w:lineRule="exact"/>
        <w:rPr>
          <w:sz w:val="20"/>
          <w:szCs w:val="20"/>
          <w:color w:val="auto"/>
        </w:rPr>
      </w:pPr>
    </w:p>
    <w:p>
      <w:pPr>
        <w:ind w:right="120" w:firstLine="864"/>
        <w:spacing w:after="0" w:line="266" w:lineRule="auto"/>
        <w:rPr>
          <w:sz w:val="20"/>
          <w:szCs w:val="20"/>
          <w:color w:val="auto"/>
        </w:rPr>
      </w:pPr>
      <w:r>
        <w:rPr>
          <w:rFonts w:ascii="Times New Roman" w:cs="Times New Roman" w:eastAsia="Times New Roman" w:hAnsi="Times New Roman"/>
          <w:sz w:val="18"/>
          <w:szCs w:val="18"/>
          <w:color w:val="auto"/>
        </w:rPr>
        <w:t>We take great care to reach a number of third-party product certifications in our products. Example certifications include dairy-free, soy-free, gluten-free, nut-free, non-genetically modified organism (“GMO”), organic, kosher and glyphosate free certifications, depending on the market and product.</w:t>
      </w:r>
    </w:p>
    <w:p>
      <w:pPr>
        <w:spacing w:after="0" w:line="145"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Oatmilk. </w:t>
      </w:r>
      <w:r>
        <w:rPr>
          <w:rFonts w:ascii="Times New Roman" w:cs="Times New Roman" w:eastAsia="Times New Roman" w:hAnsi="Times New Roman"/>
          <w:sz w:val="18"/>
          <w:szCs w:val="18"/>
          <w:color w:val="auto"/>
        </w:rPr>
        <w:t>Our oatmilk products have multiple profiles and flavors that mirror the traditional dairy shelf consumers expect. For instance,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our oatmilk portfolio consists of Original, Low-Fat, Full-Fat and Chocolate Flavored. Our oatmilk products are offered across both ambient and chilled packaging formats. Ambient (shelf-stable) packaging has the benefit of room-temperature storage perfectly suited for shipping to coffee shops, cafes and other foodservice locations. Ambient formats are also sold in retail and e-commerce channels in all of our regions.</w:t>
      </w:r>
    </w:p>
    <w:p>
      <w:pPr>
        <w:spacing w:after="0" w:line="136" w:lineRule="exact"/>
        <w:rPr>
          <w:sz w:val="20"/>
          <w:szCs w:val="20"/>
          <w:color w:val="auto"/>
        </w:rPr>
      </w:pPr>
    </w:p>
    <w:p>
      <w:pPr>
        <w:ind w:right="120" w:firstLine="86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Barista Edition Oatmilk. </w:t>
      </w:r>
      <w:r>
        <w:rPr>
          <w:rFonts w:ascii="Times New Roman" w:cs="Times New Roman" w:eastAsia="Times New Roman" w:hAnsi="Times New Roman"/>
          <w:sz w:val="18"/>
          <w:szCs w:val="18"/>
          <w:color w:val="auto"/>
        </w:rPr>
        <w:t>Our Barista Edition oatmilk is our best-selling product globally. It is formulated to improve creaminess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foamability, serving as an exceptional complement to espresso and coffee drinks. Barista Edition is also great for baking and cooking and can be enjoyed on its own.</w:t>
      </w:r>
    </w:p>
    <w:p>
      <w:pPr>
        <w:spacing w:after="0" w:line="130" w:lineRule="exact"/>
        <w:rPr>
          <w:sz w:val="20"/>
          <w:szCs w:val="20"/>
          <w:color w:val="auto"/>
        </w:rPr>
      </w:pPr>
    </w:p>
    <w:p>
      <w:pPr>
        <w:ind w:right="40" w:firstLine="86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Oatgurt. </w:t>
      </w:r>
      <w:r>
        <w:rPr>
          <w:rFonts w:ascii="Times New Roman" w:cs="Times New Roman" w:eastAsia="Times New Roman" w:hAnsi="Times New Roman"/>
          <w:sz w:val="18"/>
          <w:szCs w:val="18"/>
          <w:color w:val="auto"/>
        </w:rPr>
        <w:t>We believe our Oatgurts excel in aspects of taste and consistency, as they are thick and “spoonable.” Our first Oatgurts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pourable, smooth and flavored yogurts launched in the Nordics to fit local consumer tastes. Since then, we launched a product line in the United Kingdom in cup format and a U.S. line that includes live and active cultures and “fruit on the bottom.”</w:t>
      </w: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ind w:firstLine="8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Frozen desserts. </w:t>
      </w:r>
      <w:r>
        <w:rPr>
          <w:rFonts w:ascii="Times New Roman" w:cs="Times New Roman" w:eastAsia="Times New Roman" w:hAnsi="Times New Roman"/>
          <w:sz w:val="18"/>
          <w:szCs w:val="18"/>
          <w:color w:val="auto"/>
        </w:rPr>
        <w:t>Our frozen desserts are created using our core oat base technology, which provides a foundational creaminess and reduces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 for sugar and other mix-in ingredients commonly found in dairy alternative ice creams.</w:t>
      </w:r>
    </w:p>
    <w:p>
      <w:pPr>
        <w:spacing w:after="0" w:line="155" w:lineRule="exact"/>
        <w:rPr>
          <w:sz w:val="20"/>
          <w:szCs w:val="20"/>
          <w:color w:val="auto"/>
        </w:rPr>
      </w:pPr>
    </w:p>
    <w:p>
      <w:pPr>
        <w:ind w:right="380" w:firstLine="8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Cooking. </w:t>
      </w:r>
      <w:r>
        <w:rPr>
          <w:rFonts w:ascii="Times New Roman" w:cs="Times New Roman" w:eastAsia="Times New Roman" w:hAnsi="Times New Roman"/>
          <w:sz w:val="18"/>
          <w:szCs w:val="18"/>
          <w:color w:val="auto"/>
        </w:rPr>
        <w:t>We offer a wide range of cooking products including Cooking Cream, in regular and organic, Crème Fraiche, Whipping Cream,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Vanilla Custard and Spreads in a variety of flavors. Our offerings vary by region to accommodate to local cuisines and preferences.</w:t>
      </w:r>
    </w:p>
    <w:p>
      <w:pPr>
        <w:spacing w:after="0" w:line="128" w:lineRule="exact"/>
        <w:rPr>
          <w:sz w:val="20"/>
          <w:szCs w:val="20"/>
          <w:color w:val="auto"/>
        </w:rPr>
      </w:pPr>
    </w:p>
    <w:p>
      <w:pPr>
        <w:ind w:right="20" w:firstLine="8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Ready-to-go drinks. </w:t>
      </w:r>
      <w:r>
        <w:rPr>
          <w:rFonts w:ascii="Times New Roman" w:cs="Times New Roman" w:eastAsia="Times New Roman" w:hAnsi="Times New Roman"/>
          <w:sz w:val="18"/>
          <w:szCs w:val="18"/>
          <w:color w:val="auto"/>
        </w:rPr>
        <w:t>Our range of on-the-go drinks delivers novel flavor experiences and product packaging in smaller formats. These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found at grocery stores, convenience store outlets and more across our global markets.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Innovation</w:t>
      </w:r>
    </w:p>
    <w:p>
      <w:pPr>
        <w:spacing w:after="0" w:line="189"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Since inception, our innovation goal has been to build the best possible form of milk and other dairy products for humans and our planet. Our approach is to not mimic traditional forms of milk, but to create a better nutritional profile designed for human needs. Through our more than 25-year history of making oat products, we have developed a deep expertise around oats and production craftsmanship. We believe we are well positioned to leverage science to address key societal problems and maintain our market leadership in plant-based dairy.</w:t>
      </w:r>
    </w:p>
    <w:p>
      <w:pPr>
        <w:spacing w:after="0" w:line="153" w:lineRule="exact"/>
        <w:rPr>
          <w:sz w:val="20"/>
          <w:szCs w:val="20"/>
          <w:color w:val="auto"/>
        </w:rPr>
      </w:pPr>
    </w:p>
    <w:p>
      <w:pPr>
        <w:ind w:right="20" w:firstLine="864"/>
        <w:spacing w:after="0" w:line="254" w:lineRule="auto"/>
        <w:rPr>
          <w:sz w:val="20"/>
          <w:szCs w:val="20"/>
          <w:color w:val="auto"/>
        </w:rPr>
      </w:pPr>
      <w:r>
        <w:rPr>
          <w:rFonts w:ascii="Times New Roman" w:cs="Times New Roman" w:eastAsia="Times New Roman" w:hAnsi="Times New Roman"/>
          <w:sz w:val="18"/>
          <w:szCs w:val="18"/>
          <w:color w:val="auto"/>
        </w:rPr>
        <w:t>Today, we have a global Food Innovation team with a central technology development team in Sweden, and globally-led but regionally-executed product development teams in the Americas, EMEA and Asia. As of December 31, 2021, we had more than 100 employees on our innovation management and research and development team. To further strengthen our capabilities, we are establishing a Research and Innovation Center in Sweden to partner with leading scientists and industry experts to ensure we stay at the forefront of oat expertise and human health, which is expected to be finished in 2023. Through this set-up, we are efficiently building deep technology know-how and expertise, as well as ensuring that our products are developed close to consumers, according to locally relevant consumer preferences. Given one of our key focuses is building a broad and relevant product portfolio within plant-based dairy, we continuously explore and enter new product categories, making the change to plant-based easy for the consumers. We strive to create great, sustainable, delicious and nutritious food with optimal taste, functionality and texture.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Creative</w:t>
      </w:r>
    </w:p>
    <w:p>
      <w:pPr>
        <w:spacing w:after="0" w:line="189" w:lineRule="exact"/>
        <w:rPr>
          <w:sz w:val="20"/>
          <w:szCs w:val="20"/>
          <w:color w:val="auto"/>
        </w:rPr>
      </w:pPr>
    </w:p>
    <w:p>
      <w:pPr>
        <w:ind w:right="180" w:firstLine="864"/>
        <w:spacing w:after="0" w:line="282" w:lineRule="auto"/>
        <w:rPr>
          <w:sz w:val="20"/>
          <w:szCs w:val="20"/>
          <w:color w:val="auto"/>
        </w:rPr>
      </w:pPr>
      <w:r>
        <w:rPr>
          <w:rFonts w:ascii="Times New Roman" w:cs="Times New Roman" w:eastAsia="Times New Roman" w:hAnsi="Times New Roman"/>
          <w:sz w:val="18"/>
          <w:szCs w:val="18"/>
          <w:color w:val="auto"/>
        </w:rPr>
        <w:t>Through a bold advertising strategy, we amplify what our brand stands for and use our company voice in service of our mission: to challenge industry norms and inspire societal change.</w:t>
      </w:r>
    </w:p>
    <w:p>
      <w:pPr>
        <w:spacing w:after="0" w:line="135" w:lineRule="exact"/>
        <w:rPr>
          <w:sz w:val="20"/>
          <w:szCs w:val="20"/>
          <w:color w:val="auto"/>
        </w:rPr>
      </w:pPr>
    </w:p>
    <w:p>
      <w:pPr>
        <w:ind w:right="100" w:firstLine="864"/>
        <w:spacing w:after="0" w:line="258" w:lineRule="auto"/>
        <w:rPr>
          <w:sz w:val="20"/>
          <w:szCs w:val="20"/>
          <w:color w:val="auto"/>
        </w:rPr>
      </w:pPr>
      <w:r>
        <w:rPr>
          <w:rFonts w:ascii="Times New Roman" w:cs="Times New Roman" w:eastAsia="Times New Roman" w:hAnsi="Times New Roman"/>
          <w:sz w:val="18"/>
          <w:szCs w:val="18"/>
          <w:color w:val="auto"/>
        </w:rPr>
        <w:t>Our advertising content is created or directed in-house, ensuring a consistent brand message across regions and product lines. Our advertisements can be found across a variety of platforms, including out-of-home locations, for example billboards, signage, bus and train banners and large-scale printed murals and print media, such as newspapers and magazines. We intend to continue to invest in our brand by adding additional media platforms such as television. We also regard our packaging as a valuable way to develop a dialogue with our consumers and foster an added long-standing relationship as they are enjoying the product. We have highly engaged social media</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followings and utilize platforms including Instagram, Facebook, Twitter, LinkedIn and YouTube, among others, to further engage with our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274320</wp:posOffset>
            </wp:positionV>
            <wp:extent cx="5194935" cy="1654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9493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firstLine="864"/>
        <w:spacing w:after="0" w:line="258" w:lineRule="auto"/>
        <w:rPr>
          <w:sz w:val="20"/>
          <w:szCs w:val="20"/>
          <w:color w:val="auto"/>
        </w:rPr>
      </w:pPr>
      <w:r>
        <w:rPr>
          <w:rFonts w:ascii="Times New Roman" w:cs="Times New Roman" w:eastAsia="Times New Roman" w:hAnsi="Times New Roman"/>
          <w:sz w:val="18"/>
          <w:szCs w:val="18"/>
          <w:color w:val="auto"/>
        </w:rPr>
        <w:t>Our in-house global team of experienced and highly acclaimed creative professionals are instrumental in developing Oatly’s brand. Our creative team collaborates closely and directly with various corporate functions, ranging from product development to corporate communication, during their creative process to ensure alignment across the Company to serve the brand and efficient execution of our creative ideas. In addition, we have a dedicated consumer relations team that maintains one-on-one dialogues with our consumers across regions and cultures, allowing us to foster a meaningful relationship between our brand and consumers while we rapidly expand our reach.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 Customers</w:t>
      </w:r>
    </w:p>
    <w:p>
      <w:pPr>
        <w:spacing w:after="0" w:line="202" w:lineRule="exact"/>
        <w:rPr>
          <w:sz w:val="20"/>
          <w:szCs w:val="20"/>
          <w:color w:val="auto"/>
        </w:rPr>
      </w:pPr>
    </w:p>
    <w:p>
      <w:pPr>
        <w:ind w:right="140" w:firstLine="864"/>
        <w:spacing w:after="0" w:line="266" w:lineRule="auto"/>
        <w:rPr>
          <w:sz w:val="20"/>
          <w:szCs w:val="20"/>
          <w:color w:val="auto"/>
        </w:rPr>
      </w:pPr>
      <w:r>
        <w:rPr>
          <w:rFonts w:ascii="Times New Roman" w:cs="Times New Roman" w:eastAsia="Times New Roman" w:hAnsi="Times New Roman"/>
          <w:sz w:val="18"/>
          <w:szCs w:val="18"/>
          <w:color w:val="auto"/>
        </w:rPr>
        <w:t>Our diversified portfolio of products is available in more than 20 countries across three continents through a variety of channels, including foodservice, food retail and e-commerce. As of December 2021, we distributed through more than 85,000 retail doors and 79,000 foodservice locations around the world. Our products are also available on major e-commerce platforms, such as Amazon, Ocado, Tmall.com (owned by Alibaba) and JD.com.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Foodservice</w:t>
      </w:r>
    </w:p>
    <w:p>
      <w:pPr>
        <w:spacing w:after="0" w:line="189"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We have successfully entered multiple international markets, such as China, Germany, the United Kingdom and the United States, with a proven market entry strategy via the specialty coffee channel. We enjoy a strong presence among independent, specialty coffee shops by successfully navigating the sector’s fragmented and opaque distribution networks. Our dedicated internal team has a deep understanding of the industry’s channel dynamics and helps us develop a strong relationship with the barista community. This community plays an instrumental role in driving our company’s mission forward and generate awareness for our products by introducing Oatly to new consumers in a context-specific manner: a delicious cup of coffee. In addition to specialty coffee shops, we maintain global and regional partnerships with large coffee and tea chains, such as Starbucks in China and the United States.</w:t>
      </w:r>
    </w:p>
    <w:p>
      <w:pPr>
        <w:spacing w:after="0" w:line="162" w:lineRule="exact"/>
        <w:rPr>
          <w:sz w:val="20"/>
          <w:szCs w:val="20"/>
          <w:color w:val="auto"/>
        </w:rPr>
      </w:pPr>
    </w:p>
    <w:p>
      <w:pPr>
        <w:ind w:right="100" w:firstLine="864"/>
        <w:spacing w:after="0" w:line="266" w:lineRule="auto"/>
        <w:rPr>
          <w:sz w:val="20"/>
          <w:szCs w:val="20"/>
          <w:color w:val="auto"/>
        </w:rPr>
      </w:pPr>
      <w:r>
        <w:rPr>
          <w:rFonts w:ascii="Times New Roman" w:cs="Times New Roman" w:eastAsia="Times New Roman" w:hAnsi="Times New Roman"/>
          <w:sz w:val="18"/>
          <w:szCs w:val="18"/>
          <w:color w:val="auto"/>
        </w:rPr>
        <w:t>As of December 31, 2021, our products are distributed through more than 79,000 foodservice locations around the world, including more than 14,500 locations in Europe, 38,500 in the Americas and 26,000 in Asia. In addition to coffee shops, Oatly is available in workplaces, hotels and more. In the year ended December 31, 2021, the foodservice channel accounted for approximately 35% of our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Retail</w:t>
      </w:r>
    </w:p>
    <w:p>
      <w:pPr>
        <w:spacing w:after="0" w:line="189"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Our products are available at major food retailers, including the mass, conventional and natural grocer channels, as well as increasingly in the drug store and discount channels. We maintain strong and collaborative relationships with leading food retailers in our key markets, such as Kroger, Target, Walmart and Whole Foods in the United States, Tesco and Sainsbury’s in the United Kingdom and REWE and Edeka in Germany.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80" w:firstLine="864"/>
        <w:spacing w:after="0" w:line="266" w:lineRule="auto"/>
        <w:rPr>
          <w:sz w:val="20"/>
          <w:szCs w:val="20"/>
          <w:color w:val="auto"/>
        </w:rPr>
      </w:pPr>
      <w:r>
        <w:rPr>
          <w:rFonts w:ascii="Times New Roman" w:cs="Times New Roman" w:eastAsia="Times New Roman" w:hAnsi="Times New Roman"/>
          <w:sz w:val="18"/>
          <w:szCs w:val="18"/>
          <w:color w:val="auto"/>
        </w:rPr>
        <w:t>As of December 31, 2021, our products are available in more than 85,000 retail doors around the world, including more than 52,000 locations in Europe, 14,000 in the Americas and 19,000 in Asia. In the year ended December 31, 2021, the food retail channel accounted for approximately 60% of our revenue.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189" w:lineRule="exact"/>
        <w:rPr>
          <w:sz w:val="20"/>
          <w:szCs w:val="20"/>
          <w:color w:val="auto"/>
        </w:rPr>
      </w:pPr>
    </w:p>
    <w:p>
      <w:pPr>
        <w:ind w:right="20" w:firstLine="864"/>
        <w:spacing w:after="0" w:line="266" w:lineRule="auto"/>
        <w:rPr>
          <w:sz w:val="20"/>
          <w:szCs w:val="20"/>
          <w:color w:val="auto"/>
        </w:rPr>
      </w:pPr>
      <w:r>
        <w:rPr>
          <w:rFonts w:ascii="Times New Roman" w:cs="Times New Roman" w:eastAsia="Times New Roman" w:hAnsi="Times New Roman"/>
          <w:sz w:val="18"/>
          <w:szCs w:val="18"/>
          <w:color w:val="auto"/>
        </w:rPr>
        <w:t>Supported by our online creative content, our e-commerce channel is highly complementary to our offline presence. We believe there is a significant opportunity to grow our e-commerce channel as we scale, both through third-party e-commerce platforms as well as through our own direct-to-consumer website where possible.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Operations</w:t>
      </w:r>
    </w:p>
    <w:p>
      <w:pPr>
        <w:spacing w:after="0" w:line="202"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The core goal of our Supply Chain Operations organization is to scale a proprietary, global footprint with a positive bottom-line, while efficiently and sustainably utilizing resources. Relative to our growth, we aim to reduce our greenhouse gas emissions through logistical and sourcing efficiencies, minimize our scrap material use and minimize our by-product waste. As our company and the demand for our products grows, we continue to strategically consider how we can further improve on our supply chain optimization.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Sourcing Oats, Ingredients and Packaging</w:t>
      </w:r>
    </w:p>
    <w:p>
      <w:pPr>
        <w:spacing w:after="0" w:line="189" w:lineRule="exact"/>
        <w:rPr>
          <w:sz w:val="20"/>
          <w:szCs w:val="20"/>
          <w:color w:val="auto"/>
        </w:rPr>
      </w:pPr>
    </w:p>
    <w:p>
      <w:pPr>
        <w:ind w:right="200" w:firstLine="864"/>
        <w:spacing w:after="0" w:line="266" w:lineRule="auto"/>
        <w:rPr>
          <w:sz w:val="20"/>
          <w:szCs w:val="20"/>
          <w:color w:val="auto"/>
        </w:rPr>
      </w:pPr>
      <w:r>
        <w:rPr>
          <w:rFonts w:ascii="Times New Roman" w:cs="Times New Roman" w:eastAsia="Times New Roman" w:hAnsi="Times New Roman"/>
          <w:sz w:val="18"/>
          <w:szCs w:val="18"/>
          <w:color w:val="auto"/>
        </w:rPr>
        <w:t>The production process begins with the sourcing of our inputs. Sourcing of oats, packaging and other raw materials and ingredients for our products is managed by close collaboration between the corporate-level and the regional teams to leverage the scale and global nature of our operations, maximizing the adaptability of supply chain operations and taking account of sustainability considerations.</w:t>
      </w:r>
    </w:p>
    <w:p>
      <w:pPr>
        <w:spacing w:after="0" w:line="145" w:lineRule="exact"/>
        <w:rPr>
          <w:sz w:val="20"/>
          <w:szCs w:val="20"/>
          <w:color w:val="auto"/>
        </w:rPr>
      </w:pPr>
    </w:p>
    <w:p>
      <w:pPr>
        <w:ind w:left="1300" w:right="40" w:hanging="442"/>
        <w:spacing w:after="0" w:line="268"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Sourcing oats. </w:t>
      </w:r>
      <w:r>
        <w:rPr>
          <w:rFonts w:ascii="Times New Roman" w:cs="Times New Roman" w:eastAsia="Times New Roman" w:hAnsi="Times New Roman"/>
          <w:sz w:val="18"/>
          <w:szCs w:val="18"/>
          <w:color w:val="auto"/>
        </w:rPr>
        <w:t>We have built relationships with key oat suppliers to source our oats. We secure our oat supply and capacity regionally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seek to minimize transportation distance and expenses. In key sourcing regions, we work with select farmers to implement sustainable agricultural strategies for oat cultivation.</w:t>
      </w:r>
    </w:p>
    <w:p>
      <w:pPr>
        <w:spacing w:after="0" w:line="130" w:lineRule="exact"/>
        <w:rPr>
          <w:rFonts w:ascii="Times New Roman" w:cs="Times New Roman" w:eastAsia="Times New Roman" w:hAnsi="Times New Roman"/>
          <w:sz w:val="18"/>
          <w:szCs w:val="18"/>
          <w:color w:val="auto"/>
        </w:rPr>
      </w:pPr>
    </w:p>
    <w:p>
      <w:pPr>
        <w:ind w:left="1300" w:right="100" w:hanging="442"/>
        <w:spacing w:after="0" w:line="28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We source packaging materials from global suppliers with regional footprints. For specialized packaging materials, we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regional suppliers that utilize innovative materials and to minimize transportation distance and expenses.</w:t>
      </w:r>
    </w:p>
    <w:p>
      <w:pPr>
        <w:spacing w:after="0" w:line="114" w:lineRule="exact"/>
        <w:rPr>
          <w:rFonts w:ascii="Times New Roman" w:cs="Times New Roman" w:eastAsia="Times New Roman" w:hAnsi="Times New Roman"/>
          <w:sz w:val="18"/>
          <w:szCs w:val="18"/>
          <w:color w:val="auto"/>
        </w:rPr>
      </w:pPr>
    </w:p>
    <w:p>
      <w:pPr>
        <w:ind w:left="1300" w:right="120" w:hanging="442"/>
        <w:spacing w:after="0" w:line="28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Rapeseed oil and other strategic ingredients. </w:t>
      </w:r>
      <w:r>
        <w:rPr>
          <w:rFonts w:ascii="Times New Roman" w:cs="Times New Roman" w:eastAsia="Times New Roman" w:hAnsi="Times New Roman"/>
          <w:sz w:val="18"/>
          <w:szCs w:val="18"/>
          <w:color w:val="auto"/>
        </w:rPr>
        <w:t>We source non-GMO rapeseed oil. For our products produced in EMEA, we source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Sweden, and for products produced in the United States, we source from Canada.</w:t>
      </w:r>
    </w:p>
    <w:p>
      <w:pPr>
        <w:spacing w:after="0" w:line="118"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source our non-strategic ingredients, such as salt and sugar, regionally.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Oat Suppliers</w:t>
      </w:r>
    </w:p>
    <w:p>
      <w:pPr>
        <w:spacing w:after="0" w:line="189"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We currently work closely with six oat suppliers to source our oats – we have one supplier in Belgium, one in Malaysia, two in Sweden, one in the United States and one in China. We have agreements in place with each of these suppliers and believe that the terms contained in these agreements are customary for such suppliers in our industry. Under each of these agreements, we are required to provide forecasts of our anticipated needs for certain periods of time to assess the supply we will require for the upcoming term, and the oats supplied under each of these agreements are subject to certain quality control requirements and terms regarding sustainability matters. Our agreements with our suppliers in Malaysia, the United States and China have terms of three years, which began on January 1, 2021, October 1, 2019 and June 1, 2021, respectively, with an automatic renewal for an additional two years thereafter in each agreement. Our agreement with one of our Swedish suppliers is a framework agreement, which began on February 9, 2018 and remains in effect until further notice and may be terminated by either party by providing six months’ notice. Our agreement with our other Swedish supplier remains in effect until either party provides at least 24 months’ notice, but neither party may terminate the agreement until the fifth anniversary of when this supplier began production, which started on February 3, 2021. Our agreement with our supplier in Belgium began January 1, 2019 and has been amended to seven years and may be terminated by providing three months’ notice before the end of the term or will automatically renew for an additional year. Oat prices and other ingredients such as rapeseed oil are normally agreed to annually with our suppliers for the following year based on the outcome of the current year harvest.</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Process Overview</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Oatly production journey consists of the following key steps, beginning with our core science and oat base technology:</w:t>
      </w:r>
    </w:p>
    <w:p>
      <w:pPr>
        <w:spacing w:after="0" w:line="181" w:lineRule="exact"/>
        <w:rPr>
          <w:sz w:val="20"/>
          <w:szCs w:val="20"/>
          <w:color w:val="auto"/>
        </w:rPr>
      </w:pPr>
    </w:p>
    <w:p>
      <w:pPr>
        <w:ind w:left="1300" w:right="100" w:hanging="442"/>
        <w:spacing w:after="0" w:line="257"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Manufacturing our proprietary oat base. </w:t>
      </w:r>
      <w:r>
        <w:rPr>
          <w:rFonts w:ascii="Times New Roman" w:cs="Times New Roman" w:eastAsia="Times New Roman" w:hAnsi="Times New Roman"/>
          <w:sz w:val="18"/>
          <w:szCs w:val="18"/>
          <w:color w:val="auto"/>
        </w:rPr>
        <w:t>The premise of our patented oat base technology is an enzymatic process that closely mirrors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human body’s process used to breakdown starches. Oats are cleaned, dehulled and heated to groats, which then undergo our patented enzymatic processing to form the basis of our core oat base. This process allows us to achieve a robust macro-nutritional profile with soluble dietary fibers (beta-glucans), stable composition and functional character of foamability and texture. We own and manage the majority of our oat base manufacturing facilities globally. To minimize the risk of infringement of our IP rights, we only outsource a limited number of oat base recipes.</w:t>
      </w:r>
    </w:p>
    <w:p>
      <w:pPr>
        <w:spacing w:after="0" w:line="141" w:lineRule="exact"/>
        <w:rPr>
          <w:rFonts w:ascii="Times New Roman" w:cs="Times New Roman" w:eastAsia="Times New Roman" w:hAnsi="Times New Roman"/>
          <w:sz w:val="18"/>
          <w:szCs w:val="18"/>
          <w:color w:val="auto"/>
        </w:rPr>
      </w:pPr>
    </w:p>
    <w:p>
      <w:pPr>
        <w:ind w:left="1300" w:hanging="442"/>
        <w:spacing w:after="0" w:line="28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Transporting the oat base to a filling plant, where applicable. </w:t>
      </w:r>
      <w:r>
        <w:rPr>
          <w:rFonts w:ascii="Times New Roman" w:cs="Times New Roman" w:eastAsia="Times New Roman" w:hAnsi="Times New Roman"/>
          <w:sz w:val="18"/>
          <w:szCs w:val="18"/>
          <w:color w:val="auto"/>
        </w:rPr>
        <w:t>In instances where we are using a co-packer, we transport the oat base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filling plant, either by a pipeline to a nearby filling plant or by a tanker truck to co-packers, who assist us with mixing and filling.</w:t>
      </w:r>
    </w:p>
    <w:p>
      <w:pPr>
        <w:spacing w:after="0" w:line="114" w:lineRule="exact"/>
        <w:rPr>
          <w:rFonts w:ascii="Times New Roman" w:cs="Times New Roman" w:eastAsia="Times New Roman" w:hAnsi="Times New Roman"/>
          <w:sz w:val="18"/>
          <w:szCs w:val="18"/>
          <w:color w:val="auto"/>
        </w:rPr>
      </w:pPr>
    </w:p>
    <w:p>
      <w:pPr>
        <w:ind w:left="1300" w:right="140" w:hanging="442"/>
        <w:spacing w:after="0" w:line="26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Turning oat base into finished products. </w:t>
      </w:r>
      <w:r>
        <w:rPr>
          <w:rFonts w:ascii="Times New Roman" w:cs="Times New Roman" w:eastAsia="Times New Roman" w:hAnsi="Times New Roman"/>
          <w:sz w:val="18"/>
          <w:szCs w:val="18"/>
          <w:color w:val="auto"/>
        </w:rPr>
        <w:t>In the mixing and filling stages, we turn oat base into the variety of products that we sell.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 takes on different forms based on the end product. For our oatmilks, we add water and other ingredients, such as flavors and vitamins to our oat base, which are mixed together to become an Oatly formula. The product is then Ultra-High Temperature (“UHT”) treated and stored in a sterile tank until packaged in different formats and sizes.</w:t>
      </w:r>
    </w:p>
    <w:p>
      <w:pPr>
        <w:spacing w:after="0" w:line="135" w:lineRule="exact"/>
        <w:rPr>
          <w:rFonts w:ascii="Times New Roman" w:cs="Times New Roman" w:eastAsia="Times New Roman" w:hAnsi="Times New Roman"/>
          <w:sz w:val="18"/>
          <w:szCs w:val="18"/>
          <w:color w:val="auto"/>
        </w:rPr>
      </w:pPr>
    </w:p>
    <w:p>
      <w:pPr>
        <w:ind w:left="1300" w:right="360" w:hanging="442"/>
        <w:spacing w:after="0" w:line="28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Delivering products to fulfillment warehouses. </w:t>
      </w:r>
      <w:r>
        <w:rPr>
          <w:rFonts w:ascii="Times New Roman" w:cs="Times New Roman" w:eastAsia="Times New Roman" w:hAnsi="Times New Roman"/>
          <w:sz w:val="18"/>
          <w:szCs w:val="18"/>
          <w:color w:val="auto"/>
        </w:rPr>
        <w:t>We then take the finished products to our fulfillment warehouses, where they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distributed to our customers.</w:t>
      </w:r>
    </w:p>
    <w:p>
      <w:pPr>
        <w:spacing w:after="0" w:line="114" w:lineRule="exact"/>
        <w:rPr>
          <w:rFonts w:ascii="Times New Roman" w:cs="Times New Roman" w:eastAsia="Times New Roman" w:hAnsi="Times New Roman"/>
          <w:sz w:val="18"/>
          <w:szCs w:val="18"/>
          <w:color w:val="auto"/>
        </w:rPr>
      </w:pPr>
    </w:p>
    <w:p>
      <w:pPr>
        <w:ind w:left="1300" w:right="120" w:hanging="442"/>
        <w:spacing w:after="0" w:line="28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Ensuring quality. </w:t>
      </w:r>
      <w:r>
        <w:rPr>
          <w:rFonts w:ascii="Times New Roman" w:cs="Times New Roman" w:eastAsia="Times New Roman" w:hAnsi="Times New Roman"/>
          <w:sz w:val="18"/>
          <w:szCs w:val="18"/>
          <w:color w:val="auto"/>
        </w:rPr>
        <w:t>We strive to ensure that our products meet both externally mandated quality control regulations and standards,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internally established quality standards through a framework of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Models</w:t>
      </w:r>
    </w:p>
    <w:p>
      <w:pPr>
        <w:spacing w:after="0" w:line="189"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We utilize three main production models to meet global demand for our products: co-packing, hybrid and end-to-end self-manufacturing. In our co-packing model, we transport our oat base through tanker trucks to our third-party partners for filling and mixing. In our hybrid solution, we transport our oat base through pipelines to a physically adjacent plant operated by our third-party partners for filling and mixing. Using an end-to-end self-manufacturing model, we produce the oat base, mix and fill the products at a single Oatly-owned and operated facility. In the long term, we plan to strategically shift towards the hybrid and end-to-end self-manufacturing models, which will provide us with greater flexibility, faster speed-to-market, higher quality control and significant scale efficiencies and ultimately more favorable economics.</w:t>
      </w:r>
    </w:p>
    <w:p>
      <w:pPr>
        <w:spacing w:after="0" w:line="160" w:lineRule="exact"/>
        <w:rPr>
          <w:sz w:val="20"/>
          <w:szCs w:val="20"/>
          <w:color w:val="auto"/>
        </w:rPr>
      </w:pPr>
    </w:p>
    <w:p>
      <w:pPr>
        <w:ind w:right="440" w:firstLine="86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approximately 44% of our products were produced through the co-packing model, 35% through a hybrid model and 21% through our own end-to-end self-manufacturing.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Footprint</w:t>
      </w:r>
    </w:p>
    <w:p>
      <w:pPr>
        <w:spacing w:after="0" w:line="189" w:lineRule="exact"/>
        <w:rPr>
          <w:sz w:val="20"/>
          <w:szCs w:val="20"/>
          <w:color w:val="auto"/>
        </w:rPr>
      </w:pPr>
    </w:p>
    <w:p>
      <w:pPr>
        <w:ind w:right="280" w:firstLine="864"/>
        <w:spacing w:after="0" w:line="266" w:lineRule="auto"/>
        <w:rPr>
          <w:sz w:val="20"/>
          <w:szCs w:val="20"/>
          <w:color w:val="auto"/>
        </w:rPr>
      </w:pPr>
      <w:r>
        <w:rPr>
          <w:rFonts w:ascii="Times New Roman" w:cs="Times New Roman" w:eastAsia="Times New Roman" w:hAnsi="Times New Roman"/>
          <w:sz w:val="18"/>
          <w:szCs w:val="18"/>
          <w:color w:val="auto"/>
        </w:rPr>
        <w:t>We have strategically built our manufacturing facilities to be in close proximity to our consumers as well as our co-packers, where possible. This allows us to reduce our transportation costs, which can help us to lower our environmental impact and can drive production efficiencies and cost savings.</w:t>
      </w:r>
    </w:p>
    <w:p>
      <w:pPr>
        <w:spacing w:after="0" w:line="149"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We have grown our production facilities from one site in Sweden in 2018, to six across Europe, the United States and Asia as of December 31, 2021. At year-end 2021, we had total run-rate production capacity of approximately 600 million liters of finished goods equivalent of oat base, with plans to expand our existing facilities and open three additional facilities. Through these efforts, we expect to increase our production capacity to approximately 900 million liters of finished goods equivalent of oat base by the end of 2022 and approximately 1.3 billion liters by the end of 2023. Our estimated production capacities could be impeded depending on several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factors, including those as a result of the COVID-19 pandemic. We consider capital expenditures to be a critical input to fueling future growth. The below graphic shows our current and planned facilities. The dates marked with “E” are targeted dates and not a forecast, projection or estimate. Our ability to meet these targets are subject to significant business, economic, regulatory and competitive uncertainties and contingencies, many of which are beyond our control, and are based upon assumptions with respect to future decisions, which are subject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108585</wp:posOffset>
            </wp:positionV>
            <wp:extent cx="4937760" cy="2571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3776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Freight Execution</w:t>
      </w:r>
    </w:p>
    <w:p>
      <w:pPr>
        <w:spacing w:after="0" w:line="189"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Our warehousing network is purposefully designed to optimize proximity to our production facilities and to our customers in order to seek to minimize costs and environmental impacts. We expect to continue to see a blend of electric, train, bio-gas and other more sustainable logistics solutions on our routes over time. We leverage a range of logistics and distribution solutions to meet the requirements of each geographic market, including: direct distribution, exclusive distribution, distribution agents and e-commerce. The system that we use in a specific region depends on a number of factors, including market potential, maturity and associated risks.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Organization and People</w:t>
      </w:r>
    </w:p>
    <w:p>
      <w:pPr>
        <w:spacing w:after="0" w:line="189" w:lineRule="exact"/>
        <w:rPr>
          <w:sz w:val="20"/>
          <w:szCs w:val="20"/>
          <w:color w:val="auto"/>
        </w:rPr>
      </w:pPr>
    </w:p>
    <w:p>
      <w:pPr>
        <w:ind w:right="40" w:firstLine="864"/>
        <w:spacing w:after="0" w:line="261" w:lineRule="auto"/>
        <w:rPr>
          <w:sz w:val="20"/>
          <w:szCs w:val="20"/>
          <w:color w:val="auto"/>
        </w:rPr>
      </w:pPr>
      <w:r>
        <w:rPr>
          <w:rFonts w:ascii="Times New Roman" w:cs="Times New Roman" w:eastAsia="Times New Roman" w:hAnsi="Times New Roman"/>
          <w:sz w:val="18"/>
          <w:szCs w:val="18"/>
          <w:color w:val="auto"/>
        </w:rPr>
        <w:t>Our organizational development is led by our People and Transformation team, whose goal is to institutionalize the principles of flexibility, innovation and continuous learning in our work environment. We invest heavily in programming and resources that promote individual, cultural, structural and process changes towards our goals. To meet our sustainability objectives, we need the expertise of a diverse group of coworkers who feel that they work in a safe, inclusive and empowering environment, are compensated equitably for their work and protected from discrimination of any kind.</w:t>
      </w:r>
    </w:p>
    <w:p>
      <w:pPr>
        <w:spacing w:after="0" w:line="139" w:lineRule="exact"/>
        <w:rPr>
          <w:sz w:val="20"/>
          <w:szCs w:val="20"/>
          <w:color w:val="auto"/>
        </w:rPr>
      </w:pPr>
    </w:p>
    <w:p>
      <w:pPr>
        <w:ind w:right="80" w:firstLine="864"/>
        <w:spacing w:after="0" w:line="256" w:lineRule="auto"/>
        <w:rPr>
          <w:sz w:val="20"/>
          <w:szCs w:val="20"/>
          <w:color w:val="auto"/>
        </w:rPr>
      </w:pPr>
      <w:r>
        <w:rPr>
          <w:rFonts w:ascii="Times New Roman" w:cs="Times New Roman" w:eastAsia="Times New Roman" w:hAnsi="Times New Roman"/>
          <w:sz w:val="18"/>
          <w:szCs w:val="18"/>
          <w:color w:val="auto"/>
        </w:rPr>
        <w:t>We aim to apply our employment policies and practice in full compliance with applicable national and local fair employment laws, including those relating to compensation, benefits, transfer, retention, termination, training, career development opportunities and social and recreational programs. We also conduct ongoing Diversity, Equity and Inclusion (“DEI”) work to ensure that we are fostering an inclusive and collaborative workplace environment. Select work includes: conducting discrimination surveys on a regular basis to ensure no one has or is currently experiencing discrimination; developing a transformation framework, called the Oatly Cultural Curiosity Journey, to guide our DEI work and ensure we are enacting real change rather than just checking a box; and conducting training for all managers to implement inclusive leadership.</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We believe that our position as category creator and first-mover, our high-quality commercial performance, brand equity, science and innovation practice, and organizational approach differentiate us and help us maintain market leadership positions, despite having a higher price point, fewer promotions, limited distribution and participating in a highly competitive environment. Our competitors include consumer packaged goods companies such as Danone, PepsiCo and Coca-Cola, dairy companies and brands, such as Lactalis, Fonterra, Arla Foods, Chobani, Dean Foods and Lactaid (owned by Johnson &amp; Johnson), plant-based dairy companies, such as Blue Diamond Growers, Califia Farms, Planet Oat, Ripple Foods, and Ecotone, new market entrants building lab-based products and private-label brands. We believe the principal competitive factors in our industry include:</w:t>
      </w:r>
    </w:p>
    <w:p>
      <w:pPr>
        <w:spacing w:after="0" w:line="147" w:lineRule="exact"/>
        <w:rPr>
          <w:sz w:val="20"/>
          <w:szCs w:val="20"/>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equity and consumer relationships;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experience, including taste, functionality and texture;</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nutritional profile and dietary attributes;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 of supply chain, including raw materials;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type of ingredients;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product availability;</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competitiveness; and</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packaging.</w:t>
      </w:r>
    </w:p>
    <w:p>
      <w:pPr>
        <w:spacing w:after="0" w:line="212" w:lineRule="exact"/>
        <w:rPr>
          <w:sz w:val="20"/>
          <w:szCs w:val="20"/>
          <w:color w:val="auto"/>
        </w:rPr>
      </w:pPr>
    </w:p>
    <w:p>
      <w:pPr>
        <w:ind w:right="120" w:firstLine="864"/>
        <w:spacing w:after="0" w:line="281" w:lineRule="auto"/>
        <w:rPr>
          <w:sz w:val="20"/>
          <w:szCs w:val="20"/>
          <w:color w:val="auto"/>
        </w:rPr>
      </w:pPr>
      <w:r>
        <w:rPr>
          <w:rFonts w:ascii="Times New Roman" w:cs="Times New Roman" w:eastAsia="Times New Roman" w:hAnsi="Times New Roman"/>
          <w:sz w:val="17"/>
          <w:szCs w:val="17"/>
          <w:color w:val="auto"/>
        </w:rPr>
        <w:t>We believe it is important to have strong presence across multiple channels to effectively compete. We have been successful across retail, including grocery stores and supermarkets, foodservice, including coffee shops, cafés, restaurants and fast food, and e-commerce, both direct-to-consumer and through third-party platforms. Through this channel diversification, we are able to reach a broad consumer audience and appeal to the mainstream, while being able to shift product between channels in times of market disruption, such as adapting to changes caused by the COVID-19 pandemic.</w:t>
      </w:r>
    </w:p>
    <w:p>
      <w:pPr>
        <w:spacing w:after="0" w:line="124" w:lineRule="exact"/>
        <w:rPr>
          <w:sz w:val="20"/>
          <w:szCs w:val="20"/>
          <w:color w:val="auto"/>
        </w:rPr>
      </w:pPr>
    </w:p>
    <w:p>
      <w:pPr>
        <w:ind w:right="160" w:firstLine="864"/>
        <w:spacing w:after="0" w:line="261" w:lineRule="auto"/>
        <w:rPr>
          <w:sz w:val="20"/>
          <w:szCs w:val="20"/>
          <w:color w:val="auto"/>
        </w:rPr>
      </w:pPr>
      <w:r>
        <w:rPr>
          <w:rFonts w:ascii="Times New Roman" w:cs="Times New Roman" w:eastAsia="Times New Roman" w:hAnsi="Times New Roman"/>
          <w:sz w:val="18"/>
          <w:szCs w:val="18"/>
          <w:color w:val="auto"/>
        </w:rPr>
        <w:t>Even though we operate in a competitive industry, we believe that we effectively compete with respect to each of the above factors. However, many companies in our industry have substantially greater financial resources, longer operating histories, broader product portfolios, broader market presence, longer standing relationships with distributors and suppliers, larger production and distribution capabilities, and higher measures of household penetration or brand recognition on an absolute level.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We own domestic and international trademarks and other proprietary rights that are important to our business. Depending upon the jurisdiction, trademarks are valid as long as they are used in the regular course of trade and/or their registrations are properly maintained. Our primary trademarks are OATLY, WOW NO COW and Post Milk Generation, all of which are registered or pending registration with the U.S. Patent and Trademark Office. Further to these, we strive to protect key elements of our marketing, signaling the commercial origin of our products and services. Our trademarks are valuable assets that reinforce the distinctiveness of our brand to our consumers. We have a global approach to protecting our trademarks, designs, patents and other IP rights. The three primary trademarks currently are registered or pending registration in around 70 countries in the world. We believe the protection of our trademarks, designs, copyrights, patents, domain names, trade dress and trade secrets are important to our success. We believe the protection of our trademarks, designs, copyrights, patents, domain names, trade dress and trade secrets are important to our success. As of December 31, 2021, we had 24 registered trademarks and 22 pending trademark applications in the United States and around 1,900 registered trademarks, pending trademark applications or designations under the Madrid protocol globally. We take an active approach in defending and expanding the scope of protection of our trademarks with a vigilant global trademark watch. We further take decisive action against potential infringers both when it comes to registrations and actual use of marks confusingly similar to trademarks protected by us.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520" w:firstLine="864"/>
        <w:spacing w:after="0" w:line="282" w:lineRule="auto"/>
        <w:rPr>
          <w:sz w:val="20"/>
          <w:szCs w:val="20"/>
          <w:color w:val="auto"/>
        </w:rPr>
      </w:pPr>
      <w:r>
        <w:rPr>
          <w:rFonts w:ascii="Times New Roman" w:cs="Times New Roman" w:eastAsia="Times New Roman" w:hAnsi="Times New Roman"/>
          <w:sz w:val="18"/>
          <w:szCs w:val="18"/>
          <w:color w:val="auto"/>
        </w:rPr>
        <w:t>As of December 31, 2021, we had three issued patents and four pending patent applications in the United States and more than 90 issued patents or pending patent applications globally.</w:t>
      </w:r>
    </w:p>
    <w:p>
      <w:pPr>
        <w:spacing w:after="0" w:line="135" w:lineRule="exact"/>
        <w:rPr>
          <w:sz w:val="20"/>
          <w:szCs w:val="20"/>
          <w:color w:val="auto"/>
        </w:rPr>
      </w:pPr>
    </w:p>
    <w:p>
      <w:pPr>
        <w:ind w:right="280" w:firstLine="864"/>
        <w:spacing w:after="0" w:line="266" w:lineRule="auto"/>
        <w:rPr>
          <w:sz w:val="20"/>
          <w:szCs w:val="20"/>
          <w:color w:val="auto"/>
        </w:rPr>
      </w:pPr>
      <w:r>
        <w:rPr>
          <w:rFonts w:ascii="Times New Roman" w:cs="Times New Roman" w:eastAsia="Times New Roman" w:hAnsi="Times New Roman"/>
          <w:sz w:val="18"/>
          <w:szCs w:val="18"/>
          <w:color w:val="auto"/>
        </w:rPr>
        <w:t>We consider the specifics of our marketing, promotions and products as a trade secret and information we wish to keep confidential. In addition, we consider proprietary information related to formulas, processes, know-how and methods used in our production and manufacturing as trade secrets, and information we wish to keep confidential.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ind w:right="140" w:firstLine="864"/>
        <w:spacing w:after="0" w:line="266" w:lineRule="auto"/>
        <w:rPr>
          <w:sz w:val="20"/>
          <w:szCs w:val="20"/>
          <w:color w:val="auto"/>
        </w:rPr>
      </w:pPr>
      <w:r>
        <w:rPr>
          <w:rFonts w:ascii="Times New Roman" w:cs="Times New Roman" w:eastAsia="Times New Roman" w:hAnsi="Times New Roman"/>
          <w:sz w:val="18"/>
          <w:szCs w:val="18"/>
          <w:color w:val="auto"/>
        </w:rPr>
        <w:t>To date, we have not experienced any pronounced seasonality, but such fluctuations may have been masked by our rapid growth and impacted by COVID consumption dynamics. As our company continues to grow, we expect to see additional seasonality effects, especially within our food retail channel, with revenue contribution from this channel tending to be linked with holiday season periods.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Conventional Food Products in the United States</w:t>
      </w:r>
    </w:p>
    <w:p>
      <w:pPr>
        <w:spacing w:after="0" w:line="189" w:lineRule="exact"/>
        <w:rPr>
          <w:sz w:val="20"/>
          <w:szCs w:val="20"/>
          <w:color w:val="auto"/>
        </w:rPr>
      </w:pPr>
    </w:p>
    <w:p>
      <w:pPr>
        <w:ind w:right="100" w:firstLine="864"/>
        <w:spacing w:after="0" w:line="254" w:lineRule="auto"/>
        <w:rPr>
          <w:sz w:val="20"/>
          <w:szCs w:val="20"/>
          <w:color w:val="auto"/>
        </w:rPr>
      </w:pPr>
      <w:r>
        <w:rPr>
          <w:rFonts w:ascii="Times New Roman" w:cs="Times New Roman" w:eastAsia="Times New Roman" w:hAnsi="Times New Roman"/>
          <w:sz w:val="18"/>
          <w:szCs w:val="18"/>
          <w:color w:val="auto"/>
        </w:rPr>
        <w:t>Our products are regulated in the United States as conventional foods. As a manufacturer and distributor of food products, we, along with our distributors and ingredients and packaging suppliers, are subject to extensive laws and regulations by United States federal, state and local government authorities, including, among others, the FTC, the FDA, the U.S. Department of Agriculture, the U.S. Environmental Protection Agency, the U.S. Occupational Safety and Health Administration and similar state and local agencies. Under various statutes, these agencies regulate the manufacturing, preparation, quality control, import, export, packaging, labeling, storage, recordkeeping, marketing, advertising, promotion, distribution, safety, and/or adverse event reporting of conventional foods. In the United States, conventional food manufacturers must adhere to current good manufacturing practices and other standards requirements applicable to the production and distribution of conventional food products. In addition, we manufacture some of our products pursuant to special certification programs such as those for organic, kosher and non-GMO products, among others, and we must comply with strict standards imposed by federal, state and third-party certifying organizations with respect to these types of products and labeling claims.</w:t>
      </w:r>
    </w:p>
    <w:p>
      <w:pPr>
        <w:spacing w:after="0" w:line="161"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The FDA regulates food products pursuant to the Federal Food, Drug, and Cosmetic Act and its implementing regulations. In addition, pursuant to the FDA Food Safety Modernization Act (“FSMA”), the FDA promulgates requirements intended to enhance food safety and prevent food contamination, including more frequent inspections and increased recordkeeping and traceability requirements. The FSMA also requires that imported foods adhere to the same quality standards as domestic foods, and provides the FDA with mandatory recall authority over food products that are mislabeled or misbranded. In addition, the FDA requires that certain nutrient and product information appear on product labels and that the labels and labeling be truthful, not misleading. Similarly, the FTC requires that marketing and advertising claims be truthful, not misleading, not deceptive to customers and substantiated by adequate scientific data. We are also restricted from making certain claims about our products without prior FDA approval, such as health claims or claims that our products treat, cure, mitigate or prevent disease (i.e., drug claims), except under certain limited exceptions.</w:t>
      </w:r>
    </w:p>
    <w:p>
      <w:pPr>
        <w:spacing w:after="0" w:line="151" w:lineRule="exact"/>
        <w:rPr>
          <w:sz w:val="20"/>
          <w:szCs w:val="20"/>
          <w:color w:val="auto"/>
        </w:rPr>
      </w:pPr>
    </w:p>
    <w:p>
      <w:pPr>
        <w:ind w:right="120" w:firstLine="864"/>
        <w:spacing w:after="0" w:line="261" w:lineRule="auto"/>
        <w:rPr>
          <w:sz w:val="20"/>
          <w:szCs w:val="20"/>
          <w:color w:val="auto"/>
        </w:rPr>
      </w:pPr>
      <w:r>
        <w:rPr>
          <w:rFonts w:ascii="Times New Roman" w:cs="Times New Roman" w:eastAsia="Times New Roman" w:hAnsi="Times New Roman"/>
          <w:sz w:val="18"/>
          <w:szCs w:val="18"/>
          <w:color w:val="auto"/>
        </w:rPr>
        <w:t>Products that do not comply with applicable governmental or third-party regulations and standards may be considered adulterated or misbranded and subject, but not limited, to, warning or untitled letters, product withdrawals or recalls, product seizures, relabeling or repackaging, total or partial suspensions of manufacturing or distribution. and import holds. Food product manufacturers and distributors that do not comply with applicable governmental or third-party regulations and standards may be issued injunctions, fines, civil penalties or face criminal prosecution.</w:t>
      </w:r>
    </w:p>
    <w:p>
      <w:pPr>
        <w:spacing w:after="0" w:line="139" w:lineRule="exact"/>
        <w:rPr>
          <w:sz w:val="20"/>
          <w:szCs w:val="20"/>
          <w:color w:val="auto"/>
        </w:rPr>
      </w:pPr>
    </w:p>
    <w:p>
      <w:pPr>
        <w:ind w:right="280" w:firstLine="864"/>
        <w:spacing w:after="0" w:line="261" w:lineRule="auto"/>
        <w:rPr>
          <w:sz w:val="20"/>
          <w:szCs w:val="20"/>
          <w:color w:val="auto"/>
        </w:rPr>
      </w:pPr>
      <w:r>
        <w:rPr>
          <w:rFonts w:ascii="Times New Roman" w:cs="Times New Roman" w:eastAsia="Times New Roman" w:hAnsi="Times New Roman"/>
          <w:sz w:val="18"/>
          <w:szCs w:val="18"/>
          <w:color w:val="auto"/>
        </w:rPr>
        <w:t>Food production is also highly regulated by food safety laws and regulations. In the United States, the FDA requires that facilities that manufacture food products comply with a range of requirements, including hazard analysis and preventative controls regulations, current good manufacturing practices (“cGMPs”) and supplier verification requirements. Our processing facilities, including those of our co-producers, are subject to periodic inspection by federal, state and local authorities.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Government Regulation</w:t>
      </w:r>
    </w:p>
    <w:p>
      <w:pPr>
        <w:spacing w:after="0" w:line="202"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As we manufacture and distribute our food products in a number of markets outside of the United States, in particular Europe and Asia, we, along with our ingredient and packaging suppliers and distributors, are subject to a variety of foreign laws and government regulations applicable to food products. In the EU, food products are governed by Regulation (EC) No 178/2002, laying down the general principles and requirements of food law as well as the procedures in matters of food safety and establishing the EFSA (“General Food Law Regulation”). Food business operators in the EU are regulated by, among other authorities, the European Commission and EFSA, and national food safety authorities in EU member states.</w:t>
      </w:r>
    </w:p>
    <w:p>
      <w:pPr>
        <w:spacing w:after="0" w:line="143"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Following the end of the transition period on December 31, 2020, due to the United Kingdom’s withdrawal from the EU, the United Kingdom’s food and feed safety policy is no longer automatically governed by EU law, even though certain EU legislation (including the General Food Law Regulation) has been retained. The United Kingdom Food Safety Authority, instead of the European Commission and EFSA, is responsible for supervision of applicable laws and regulations in the United Kingdom.</w:t>
      </w:r>
    </w:p>
    <w:p>
      <w:pPr>
        <w:spacing w:after="0" w:line="139" w:lineRule="exact"/>
        <w:rPr>
          <w:sz w:val="20"/>
          <w:szCs w:val="20"/>
          <w:color w:val="auto"/>
        </w:rPr>
      </w:pPr>
    </w:p>
    <w:p>
      <w:pPr>
        <w:ind w:right="60" w:firstLine="864"/>
        <w:spacing w:after="0" w:line="256" w:lineRule="auto"/>
        <w:rPr>
          <w:sz w:val="20"/>
          <w:szCs w:val="20"/>
          <w:color w:val="auto"/>
        </w:rPr>
      </w:pPr>
      <w:r>
        <w:rPr>
          <w:rFonts w:ascii="Times New Roman" w:cs="Times New Roman" w:eastAsia="Times New Roman" w:hAnsi="Times New Roman"/>
          <w:sz w:val="18"/>
          <w:szCs w:val="18"/>
          <w:color w:val="auto"/>
        </w:rPr>
        <w:t>The General Food Law Regulation applies to all stages of production, processing and distribution of food with some exceptions and sets forth essential requirements with respect to food safety and traceability, determines food operators’ respective responsibilities, and establishes general principles which must be complied with such as risk analysis, precautionary and transparency principles. Food business operators must at all stages of production, processing and distribution within the businesses under their control ensure that foods satisfy the requirements of food law, in particular as to food safety, and must further ensure the traceability of food, the appropriate presentation of food, the provision of suitable food information and the prompt withdrawal or recall of unsafe food placed on the market.</w:t>
      </w:r>
    </w:p>
    <w:p>
      <w:pPr>
        <w:spacing w:after="0" w:line="160" w:lineRule="exact"/>
        <w:rPr>
          <w:sz w:val="20"/>
          <w:szCs w:val="20"/>
          <w:color w:val="auto"/>
        </w:rPr>
      </w:pPr>
    </w:p>
    <w:p>
      <w:pPr>
        <w:jc w:val="both"/>
        <w:ind w:right="180" w:firstLine="864"/>
        <w:spacing w:after="0" w:line="266" w:lineRule="auto"/>
        <w:rPr>
          <w:sz w:val="20"/>
          <w:szCs w:val="20"/>
          <w:color w:val="auto"/>
        </w:rPr>
      </w:pPr>
      <w:r>
        <w:rPr>
          <w:rFonts w:ascii="Times New Roman" w:cs="Times New Roman" w:eastAsia="Times New Roman" w:hAnsi="Times New Roman"/>
          <w:sz w:val="18"/>
          <w:szCs w:val="18"/>
          <w:color w:val="auto"/>
        </w:rPr>
        <w:t>The General Food Law Regulation also established the Rapid Alert System for Food and Feed (“RASFF”) to provide food control authorities with an effective tool to exchange information about measures taken responding to serious risks detected in relation to food. Consumers have access to a specific RASFF Consumers’ Portal, which provides information on food recalls and public health warnings.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Additionally, food business operations in the EU must ensure that their products and activities comply with European regulations governing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 advertising and claims related to food products, in particular Regulation (EU) No 1169/2011 on the provision of food information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consumers, which, among other things, requires that the vast majority of pre-packed foods bear a nutrition declaration presenting the energy value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of fat, saturates, carbohydrates, sugars, proteins and salt of the food in a legible tabular format on the packaging. Nutrition claims (e.g. “low fat”)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health claims (i.e. any statement about a relationship between food and health) related to food are specifically regulated by Regulation (EU)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1924/2006, which seeks to ensure that any claim made on a food’s labeling, presentation or advertising is clear, accurate and based on scientific evidence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does not mislead European consumers. Regulation (EU) No 432/2012, as amended, establishes a list of permitted health claims (other than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referring to the reduction of disease risk and to children’s development and health). Only health and nutrition claims that have been authorized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Commission, as included in the aforementioned regulations and a public EU register on nutrition and health claims, can be used. Food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operators must further ensure compliance with Regulation (EC) 1333/2008 on the rules on food additives (including conditions of use, labeling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 and Regulation (EU) No 1308/2013, as complemented by European Commission Decision No. 2010/791, establishing a common 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markets in agricultural products, which provides specific requirements for some food products including specific limits to the use of the terms “milk”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“milk products.” The European Commission is also considering a number of food related initiatives that may impact the Company. See Item 3.D.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 – Risks Related to Regulation - Changes in existing laws or regulations, or the adoption of new laws or regulations may increase our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otherwise adversely affect our business, financial condition and results of operations.”</w:t>
      </w:r>
    </w:p>
    <w:p>
      <w:pPr>
        <w:spacing w:after="0" w:line="166" w:lineRule="exact"/>
        <w:rPr>
          <w:sz w:val="20"/>
          <w:szCs w:val="20"/>
          <w:color w:val="auto"/>
        </w:rPr>
      </w:pPr>
    </w:p>
    <w:p>
      <w:pPr>
        <w:ind w:right="20" w:firstLine="864"/>
        <w:spacing w:after="0" w:line="266" w:lineRule="auto"/>
        <w:rPr>
          <w:sz w:val="20"/>
          <w:szCs w:val="20"/>
          <w:color w:val="auto"/>
        </w:rPr>
      </w:pPr>
      <w:r>
        <w:rPr>
          <w:rFonts w:ascii="Times New Roman" w:cs="Times New Roman" w:eastAsia="Times New Roman" w:hAnsi="Times New Roman"/>
          <w:sz w:val="18"/>
          <w:szCs w:val="18"/>
          <w:color w:val="auto"/>
        </w:rPr>
        <w:t>Even though EU regulations are directly applicable in all EU member states and, when specified, in the European Economic Area countries (“EEA”) (which in addition to the 27 EU member states also includes the three following countries Iceland, Liechtenstein and Norway), additional national laws and regulations may impose further requirements on food business operators.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If European or national regulatory authorities determine that the labeling, promotion, advertising and/or composition of food products is not in compliance with applicable laws or regulations, or if food business operators fail to comply with such applicable laws and regulations, civil remedies or penalties, such as fines, injunctions, recalls or seizures, warning letters, restrictions on the marketing or manufacturing of the products, or refusals to permit the import or export of products, as well as potential criminal sanctions may be ordered. National (Member State) laws set forth applicable sanctions and penalties (including criminal sanctions), and national competent authorities determine enforcement measures.</w:t>
      </w:r>
    </w:p>
    <w:p>
      <w:pPr>
        <w:spacing w:after="0" w:line="156"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In the People’s Republic of China, we are subject to the requirements of the China Food Safety Law and its implementing regulations. This law sets forth comprehensive statutory requirements governing the production, circulation, recall and import/export of food products in China. In addition, product information on our pre-packaged products must comply with the national standards on pre-packaged food labelling (GB 7718-2011) and pre-packaged food nutrition labelling (GB 28050-2011). Oatly oatmilk are also subject to the oatmilk category standard QBT 4221.</w:t>
      </w:r>
    </w:p>
    <w:p>
      <w:pPr>
        <w:spacing w:after="0" w:line="139" w:lineRule="exact"/>
        <w:rPr>
          <w:sz w:val="20"/>
          <w:szCs w:val="20"/>
          <w:color w:val="auto"/>
        </w:rPr>
      </w:pPr>
    </w:p>
    <w:p>
      <w:pPr>
        <w:ind w:right="120" w:firstLine="864"/>
        <w:spacing w:after="0" w:line="282" w:lineRule="auto"/>
        <w:rPr>
          <w:sz w:val="20"/>
          <w:szCs w:val="20"/>
          <w:color w:val="auto"/>
        </w:rPr>
      </w:pPr>
      <w:r>
        <w:rPr>
          <w:rFonts w:ascii="Times New Roman" w:cs="Times New Roman" w:eastAsia="Times New Roman" w:hAnsi="Times New Roman"/>
          <w:sz w:val="18"/>
          <w:szCs w:val="18"/>
          <w:color w:val="auto"/>
        </w:rPr>
        <w:t>As is the case in the United States, requirements with respect to food production are set forth in each of the EU’s and the People’s Republic of China’s respective food safety legislation.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other foreign countries where we sell our products we must comply with similar food safety requirements, including in the following areas:</w:t>
      </w:r>
    </w:p>
    <w:p>
      <w:pPr>
        <w:spacing w:after="0" w:line="198" w:lineRule="exact"/>
        <w:rPr>
          <w:sz w:val="20"/>
          <w:szCs w:val="20"/>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84"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standards;</w:t>
      </w:r>
    </w:p>
    <w:p>
      <w:pPr>
        <w:spacing w:after="0" w:line="184"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198"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reporting;</w:t>
      </w:r>
    </w:p>
    <w:p>
      <w:pPr>
        <w:spacing w:after="0" w:line="184"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184"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and labeling requirements;</w:t>
      </w:r>
    </w:p>
    <w:p>
      <w:pPr>
        <w:spacing w:after="0" w:line="198"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nutritional and health claims;</w:t>
      </w:r>
    </w:p>
    <w:p>
      <w:pPr>
        <w:spacing w:after="0" w:line="184"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184"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w:t>
      </w:r>
    </w:p>
    <w:p>
      <w:pPr>
        <w:spacing w:after="0" w:line="198"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w:t>
      </w:r>
    </w:p>
    <w:p>
      <w:pPr>
        <w:spacing w:after="0" w:line="184" w:lineRule="exact"/>
        <w:rPr>
          <w:rFonts w:ascii="Times New Roman" w:cs="Times New Roman" w:eastAsia="Times New Roman" w:hAnsi="Times New Roman"/>
          <w:sz w:val="18"/>
          <w:szCs w:val="18"/>
          <w:color w:val="auto"/>
        </w:rPr>
      </w:pPr>
    </w:p>
    <w:p>
      <w:pPr>
        <w:ind w:left="1580" w:hanging="708"/>
        <w:spacing w:after="0"/>
        <w:tabs>
          <w:tab w:leader="none" w:pos="1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 regulations, duties, and tax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02" w:lineRule="exact"/>
        <w:rPr>
          <w:sz w:val="20"/>
          <w:szCs w:val="20"/>
          <w:color w:val="auto"/>
        </w:rPr>
      </w:pPr>
    </w:p>
    <w:p>
      <w:pPr>
        <w:ind w:right="160" w:firstLine="864"/>
        <w:spacing w:after="0" w:line="282" w:lineRule="auto"/>
        <w:rPr>
          <w:sz w:val="20"/>
          <w:szCs w:val="20"/>
          <w:color w:val="auto"/>
        </w:rPr>
      </w:pPr>
      <w:r>
        <w:rPr>
          <w:rFonts w:ascii="Times New Roman" w:cs="Times New Roman" w:eastAsia="Times New Roman" w:hAnsi="Times New Roman"/>
          <w:sz w:val="18"/>
          <w:szCs w:val="18"/>
          <w:color w:val="auto"/>
        </w:rPr>
        <w:t>We maintain commercial insurance programs with third parties in the areas of property and business interruption, product liability and excess liability, among others. Our ultimate exposure may be mitigated by amounts we expect to recover from third parties associated with such claims.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legal name of our company is Oatly Group AB and we are organized under the laws of Sweden. We have 27 wholly-owned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subsidiaries as at December 31, 2021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Country/place of</w:t>
            </w: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voting rights</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3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shares held</w:t>
            </w:r>
          </w:p>
        </w:tc>
        <w:tc>
          <w:tcPr>
            <w:tcW w:w="0" w:type="dxa"/>
            <w:vAlign w:val="bottom"/>
          </w:tcPr>
          <w:p>
            <w:pPr>
              <w:spacing w:after="0"/>
              <w:rPr>
                <w:sz w:val="1"/>
                <w:szCs w:val="1"/>
                <w:color w:val="auto"/>
              </w:rPr>
            </w:pPr>
          </w:p>
        </w:tc>
      </w:tr>
      <w:tr>
        <w:trPr>
          <w:trHeight w:val="148"/>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 and</w:t>
            </w:r>
          </w:p>
        </w:tc>
        <w:tc>
          <w:tcPr>
            <w:tcW w:w="2360" w:type="dxa"/>
            <w:vAlign w:val="bottom"/>
            <w:gridSpan w:val="2"/>
            <w:vMerge w:val="continue"/>
          </w:tcPr>
          <w:p>
            <w:pPr>
              <w:spacing w:after="0"/>
              <w:rPr>
                <w:sz w:val="12"/>
                <w:szCs w:val="12"/>
                <w:color w:val="auto"/>
              </w:rPr>
            </w:pPr>
          </w:p>
        </w:tc>
        <w:tc>
          <w:tcPr>
            <w:tcW w:w="1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(directly or</w:t>
            </w:r>
          </w:p>
        </w:tc>
        <w:tc>
          <w:tcPr>
            <w:tcW w:w="0" w:type="dxa"/>
            <w:vAlign w:val="bottom"/>
          </w:tcPr>
          <w:p>
            <w:pPr>
              <w:spacing w:after="0"/>
              <w:rPr>
                <w:sz w:val="1"/>
                <w:szCs w:val="1"/>
                <w:color w:val="auto"/>
              </w:rPr>
            </w:pPr>
          </w:p>
        </w:tc>
      </w:tr>
      <w:tr>
        <w:trPr>
          <w:trHeight w:val="173"/>
        </w:trPr>
        <w:tc>
          <w:tcPr>
            <w:tcW w:w="5140" w:type="dxa"/>
            <w:vAlign w:val="bottom"/>
            <w:gridSpan w:val="2"/>
            <w:vMerge w:val="continue"/>
          </w:tcPr>
          <w:p>
            <w:pPr>
              <w:spacing w:after="0"/>
              <w:rPr>
                <w:sz w:val="15"/>
                <w:szCs w:val="15"/>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36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indirectly) (%)</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Direct ownership</w:t>
            </w:r>
          </w:p>
        </w:tc>
        <w:tc>
          <w:tcPr>
            <w:tcW w:w="16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Cereal Base CEBA AB</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Holding</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Indirect ownership</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AB</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 and production</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Sweden Operations &amp; Supply AB</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UK Ltd.</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United Kingdom</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UK Operations &amp; Supply Ltd.</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United Kingdom</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Germany GmbH</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Germany</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Norway AS</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Norway</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Oy Oatly AB</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Finland</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Netherlands BV</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Netherlands</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Netherlands Operation &amp; Supply BV</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Netherlands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EMEA AB</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Inc.</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US Inc.</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US Operations &amp; Supply Inc.</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Havrekärnan AB</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Singapore Operations &amp; Supply Pte Ltd.</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Singapore</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Hong Kong Holding Ltd.</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Hong Kong, China</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Shanghai Co. Ltd.</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China</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Food Co. Ltd.</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China</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Thousands of Island Co Ltd.</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China</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Offices</w:t>
      </w:r>
    </w:p>
    <w:p>
      <w:pPr>
        <w:spacing w:after="0" w:line="189" w:lineRule="exact"/>
        <w:rPr>
          <w:sz w:val="20"/>
          <w:szCs w:val="20"/>
          <w:color w:val="auto"/>
        </w:rPr>
      </w:pPr>
    </w:p>
    <w:p>
      <w:pPr>
        <w:ind w:right="60" w:firstLine="864"/>
        <w:spacing w:after="0" w:line="282" w:lineRule="auto"/>
        <w:rPr>
          <w:sz w:val="20"/>
          <w:szCs w:val="20"/>
          <w:color w:val="auto"/>
        </w:rPr>
      </w:pPr>
      <w:r>
        <w:rPr>
          <w:rFonts w:ascii="Times New Roman" w:cs="Times New Roman" w:eastAsia="Times New Roman" w:hAnsi="Times New Roman"/>
          <w:sz w:val="18"/>
          <w:szCs w:val="18"/>
          <w:color w:val="auto"/>
        </w:rPr>
        <w:t>Our headquarters are located at Jagaregatan 4, 211 19 Malmö, Sweden. All office spaces globally are leased: Malmö, London, Berlin, Helsinki, Amsterdam, New York City, Shanghai and Hong Kong.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Operations</w:t>
      </w:r>
    </w:p>
    <w:p>
      <w:pPr>
        <w:spacing w:after="0" w:line="189"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We currently have six production facilities, two each in EMEA, Americas and Asia, respectively, and we have three additional facilities in various stages of construction and development to be completed in 2023. We currently own an end-to-end factory in Landskrona, Sweden and oat base production facilities in our Millville, New Jersey factory. We lease a factory to produce our oat base in Vlissingen, the Netherlands and a facility in Singapore. We lease facilities for end-to-end production in Ogden, Utah and Ma’anshan, China. The Ogden, Utah, Singapore and Ma’anshan, China facility are all in various stages of ramping up production. We also entered into lease agreements for the facilities in Peterborough, United Kingdom, Fort Worth, USA and China (Asia III). We are also investing in improvements to our existing facilities and manufacturing equipment.</w:t>
      </w:r>
    </w:p>
    <w:p>
      <w:pPr>
        <w:spacing w:after="0" w:line="147"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8"/>
          <w:szCs w:val="18"/>
          <w:color w:val="auto"/>
        </w:rPr>
        <w:t>For the three facilities under construction in Peterborough, United Kingdom, Fort Worth, USA and China (Asia III), our current best estimate is that we will invest approximately $300-350 million in 2022 related to these facilities.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With the new production facilities and capacity added in 2021, we expect to achieve an annualized run-rate output of approximately 900 million liters of finished goods equivalent of oat base capacity by the end of 2022. See Note 15 to our consolidated financial statements included elsewhere in this Annual Report for more details on leasing.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 and Product Development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lease a new product development center in Philadelphia (US) and a research and development facility in Lund (SE).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202"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We are financing these expansions and improvements through a combination of cash, including the proceeds of our IPO, our credit facilities described under “—Credit Facilities” and the leasing arrangements described under Item 5.B. “</w:t>
      </w:r>
      <w:r>
        <w:rPr>
          <w:rFonts w:ascii="Times New Roman" w:cs="Times New Roman" w:eastAsia="Times New Roman" w:hAnsi="Times New Roman"/>
          <w:sz w:val="18"/>
          <w:szCs w:val="18"/>
          <w:i w:val="1"/>
          <w:iCs w:val="1"/>
          <w:color w:val="auto"/>
        </w:rPr>
        <w:t>Operating and Financial Review and Prospects—Liquidity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Resources—Contractual Obligations and Commitments</w:t>
      </w:r>
      <w:r>
        <w:rPr>
          <w:rFonts w:ascii="Times New Roman" w:cs="Times New Roman" w:eastAsia="Times New Roman" w:hAnsi="Times New Roman"/>
          <w:sz w:val="18"/>
          <w:szCs w:val="18"/>
          <w:color w:val="auto"/>
        </w:rPr>
        <w:t>.” We expect to continue to use this combination of financing to fund our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89" w:lineRule="exact"/>
        <w:rPr>
          <w:sz w:val="20"/>
          <w:szCs w:val="20"/>
          <w:color w:val="auto"/>
        </w:rPr>
      </w:pPr>
    </w:p>
    <w:p>
      <w:pPr>
        <w:ind w:right="220" w:firstLine="864"/>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of our operating and financial review and prospects in conjunction with our consolidated financial statements and the related notes included elsewhere in this Annual Report. The following discussion is based on our financial information prepared in accordance with International Financial Reporting Standards, or IFRS, as issued by the International Accounting Standards Board.</w:t>
      </w:r>
    </w:p>
    <w:p>
      <w:pPr>
        <w:spacing w:after="0" w:line="133" w:lineRule="exact"/>
        <w:rPr>
          <w:sz w:val="20"/>
          <w:szCs w:val="20"/>
          <w:color w:val="auto"/>
        </w:rPr>
      </w:pPr>
    </w:p>
    <w:p>
      <w:pPr>
        <w:ind w:right="220" w:firstLine="864"/>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and involves numerous risks and uncertainties, including, but not limited to, those described in the “Risk Factors” section of this Annual Report. See “Cautionary Statement Regarding Forward-Looking Statements.” Our actual results could differ materially from those contained in any forward-looking statements.</w:t>
      </w:r>
    </w:p>
    <w:p>
      <w:pPr>
        <w:spacing w:after="0" w:line="146" w:lineRule="exact"/>
        <w:rPr>
          <w:sz w:val="20"/>
          <w:szCs w:val="20"/>
          <w:color w:val="auto"/>
        </w:rPr>
      </w:pPr>
    </w:p>
    <w:p>
      <w:pPr>
        <w:ind w:right="80" w:firstLine="864"/>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called for by this Item 5, regarding a discussion of the year ended December 31, 2020 compared to the year ended December 31, 2019 has been reported previously in our final prospectus filed pursuant to Rule 424(b)(4) on May 21, 2021 under the Section “Management’s discussion and analysis of financial condition and results of operations,” which discussion is incorporated by reference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8"/>
          <w:szCs w:val="18"/>
          <w:color w:val="auto"/>
        </w:rPr>
        <w:t>We are the world’s original and largest oatmilk company. For over 25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milks, ice creams, yogurts, cooking creams, spreads and on-the-go drinks. Since our founding, we have had a bold vision for a food system that is better for people and the planet. We believe that transforming the food industry is necessary to face humanity’s greatest challenges across climate, environment, health and lifestyle and have not only positioned our brand to capitalize on the growing consumer interest in sustainable, plant-based foods and dairy alternatives, but we have become a driving force behind increased consumer awareness and transition from traditional dairy consumers to Oatly. We believe there is substantial opportunity to grow our consumer base, increase distribution and the velocity at which households purchase our products and disrupt the global dairy market of more than $600 billion in the retail channel alone.</w:t>
      </w:r>
    </w:p>
    <w:p>
      <w:pPr>
        <w:spacing w:after="0" w:line="148" w:lineRule="exact"/>
        <w:rPr>
          <w:sz w:val="20"/>
          <w:szCs w:val="20"/>
          <w:color w:val="auto"/>
        </w:rPr>
      </w:pPr>
    </w:p>
    <w:p>
      <w:pPr>
        <w:ind w:right="100" w:firstLine="864"/>
        <w:spacing w:after="0" w:line="282" w:lineRule="auto"/>
        <w:rPr>
          <w:sz w:val="20"/>
          <w:szCs w:val="20"/>
          <w:color w:val="auto"/>
        </w:rPr>
      </w:pPr>
      <w:r>
        <w:rPr>
          <w:rFonts w:ascii="Times New Roman" w:cs="Times New Roman" w:eastAsia="Times New Roman" w:hAnsi="Times New Roman"/>
          <w:sz w:val="18"/>
          <w:szCs w:val="18"/>
          <w:color w:val="auto"/>
        </w:rPr>
        <w:t>Our products are sold through a variety of channels, from independent coffee shops to continent wide partnerships with established franchises like Starbucks, from food retailers like Target and Tesco to premium natural</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grocers and corner stores, as well as through e-commerce channels such as Alibaba’s Tmall. More detailed information about our business is included under Item 4. “</w:t>
      </w:r>
      <w:r>
        <w:rPr>
          <w:rFonts w:ascii="Times New Roman" w:cs="Times New Roman" w:eastAsia="Times New Roman" w:hAnsi="Times New Roman"/>
          <w:sz w:val="18"/>
          <w:szCs w:val="18"/>
          <w:i w:val="1"/>
          <w:iCs w:val="1"/>
          <w:color w:val="auto"/>
        </w:rPr>
        <w:t>Information on the Company”</w:t>
      </w:r>
      <w:r>
        <w:rPr>
          <w:rFonts w:ascii="Times New Roman" w:cs="Times New Roman" w:eastAsia="Times New Roman" w:hAnsi="Times New Roman"/>
          <w:sz w:val="18"/>
          <w:szCs w:val="18"/>
          <w:color w:val="auto"/>
        </w:rPr>
        <w:t xml:space="preserve"> of this Form 20-F.</w:t>
      </w:r>
    </w:p>
    <w:p>
      <w:pPr>
        <w:spacing w:after="0" w:line="135" w:lineRule="exact"/>
        <w:rPr>
          <w:sz w:val="20"/>
          <w:szCs w:val="20"/>
          <w:color w:val="auto"/>
        </w:rPr>
      </w:pPr>
    </w:p>
    <w:p>
      <w:pPr>
        <w:ind w:right="80" w:firstLine="864"/>
        <w:spacing w:after="0" w:line="258" w:lineRule="auto"/>
        <w:rPr>
          <w:sz w:val="20"/>
          <w:szCs w:val="20"/>
          <w:color w:val="auto"/>
        </w:rPr>
      </w:pPr>
      <w:r>
        <w:rPr>
          <w:rFonts w:ascii="Times New Roman" w:cs="Times New Roman" w:eastAsia="Times New Roman" w:hAnsi="Times New Roman"/>
          <w:sz w:val="18"/>
          <w:szCs w:val="18"/>
          <w:color w:val="auto"/>
        </w:rPr>
        <w:t>On May 24, 2021, we completed our IPO of ADSs, in which we sold 64,688,000 ADSs, each representing one ordinary share, and the selling shareholders sold an aggregate of 32,344,400 ADSs, including 12,656,400 ADSs sold by the selling shareholders pursuant to the underwriters’ over-allotment option. The ADSs began trading on the Nasdaq Global Select Market on May 20, 2021. The ADSs were sold at an initial public offering price of $17.00 per share for net proceeds to the Company of approximately $1,037.3 million, after deducting underwriting discounts and commissions of $52.2 million and offering expenses of $10.1 million payable by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 and Trends and Other Factors Affecting our Business</w:t>
      </w:r>
    </w:p>
    <w:p>
      <w:pPr>
        <w:spacing w:after="0" w:line="189" w:lineRule="exact"/>
        <w:rPr>
          <w:sz w:val="20"/>
          <w:szCs w:val="20"/>
          <w:color w:val="auto"/>
        </w:rPr>
      </w:pPr>
    </w:p>
    <w:p>
      <w:pPr>
        <w:ind w:right="180" w:firstLine="864"/>
        <w:spacing w:after="0" w:line="282" w:lineRule="auto"/>
        <w:rPr>
          <w:sz w:val="20"/>
          <w:szCs w:val="20"/>
          <w:color w:val="auto"/>
        </w:rPr>
      </w:pPr>
      <w:r>
        <w:rPr>
          <w:rFonts w:ascii="Times New Roman" w:cs="Times New Roman" w:eastAsia="Times New Roman" w:hAnsi="Times New Roman"/>
          <w:sz w:val="18"/>
          <w:szCs w:val="18"/>
          <w:color w:val="auto"/>
        </w:rPr>
        <w:t>The following briefly describes the components of revenue and expenses as presented in our consolidated statements of operations and trends and other factors affecting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update</w:t>
      </w:r>
    </w:p>
    <w:p>
      <w:pPr>
        <w:spacing w:after="0" w:line="189"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Historically, our growth has been constrained by our production capacity, as consumer demand for our products has outpaced our global capacity. Our projects to increase production capacity, including at our Ogden, Utah facility, have been significantly impacted by the COVID-19 pandemic, as described below under “Impact of the COVID-19 Pandemic”.</w:t>
      </w:r>
    </w:p>
    <w:p>
      <w:pPr>
        <w:spacing w:after="0" w:line="135" w:lineRule="exact"/>
        <w:rPr>
          <w:sz w:val="20"/>
          <w:szCs w:val="20"/>
          <w:color w:val="auto"/>
        </w:rPr>
      </w:pPr>
    </w:p>
    <w:p>
      <w:pPr>
        <w:ind w:right="40" w:firstLine="86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approximately 44% of our products were produced through the co-packing and complete outsourcing model, 35% through a hybrid model, and 21% through our own end-to-end manufacturing, respectively. For the year ended December 31, 2021, we reached a full year finished goods production volume output of approximately 470 million liters. Ultimately, we believe our long-term strategy of operating end-to-end manufacturing facilities delivers control over our footprint that is important to meet our standards of quality, sustainability and flexibility for innovation, while achieving more attractive production economics.</w:t>
      </w:r>
    </w:p>
    <w:p>
      <w:pPr>
        <w:spacing w:after="0" w:line="156" w:lineRule="exact"/>
        <w:rPr>
          <w:sz w:val="20"/>
          <w:szCs w:val="20"/>
          <w:color w:val="auto"/>
        </w:rPr>
      </w:pPr>
    </w:p>
    <w:p>
      <w:pPr>
        <w:ind w:right="260" w:firstLine="864"/>
        <w:spacing w:after="0" w:line="282" w:lineRule="auto"/>
        <w:rPr>
          <w:sz w:val="20"/>
          <w:szCs w:val="20"/>
          <w:color w:val="auto"/>
        </w:rPr>
      </w:pPr>
      <w:r>
        <w:rPr>
          <w:rFonts w:ascii="Times New Roman" w:cs="Times New Roman" w:eastAsia="Times New Roman" w:hAnsi="Times New Roman"/>
          <w:sz w:val="18"/>
          <w:szCs w:val="18"/>
          <w:color w:val="auto"/>
        </w:rPr>
        <w:t>The majority of our capital expenditures for the year ended December 31, 2021 reflect our global, strategic production capacity investments, and we expect this to continue for the foreseeable future.</w:t>
      </w:r>
    </w:p>
    <w:p>
      <w:pPr>
        <w:spacing w:after="0" w:line="297" w:lineRule="exact"/>
        <w:rPr>
          <w:sz w:val="20"/>
          <w:szCs w:val="20"/>
          <w:color w:val="auto"/>
        </w:rPr>
      </w:pPr>
    </w:p>
    <w:p>
      <w:pPr>
        <w:ind w:left="880" w:right="260" w:hanging="440"/>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doubled our oat base capacity in our hybrid facility in Vlissingen, the Netherlands during the first half of 2021 and continued to ramp up production during the second half of 2021.</w:t>
      </w:r>
    </w:p>
    <w:p>
      <w:pPr>
        <w:spacing w:after="0" w:line="310" w:lineRule="exact"/>
        <w:rPr>
          <w:rFonts w:ascii="Times New Roman" w:cs="Times New Roman" w:eastAsia="Times New Roman" w:hAnsi="Times New Roman"/>
          <w:sz w:val="18"/>
          <w:szCs w:val="18"/>
          <w:color w:val="auto"/>
        </w:rPr>
      </w:pPr>
    </w:p>
    <w:p>
      <w:pPr>
        <w:ind w:left="880" w:right="120" w:hanging="440"/>
        <w:spacing w:after="0" w:line="266"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began production of oat base during the first quarter at our facility in Ogden, Utah (end-to-end manufacturing), which we shipped to a co-packer for filling. We continued the ramping up of our Ogden facility throughout the year ended December 31, 2021 with both oat base and in-house filling of chilled and ambient products and we expect the ramping up phase to continue in 2022.</w:t>
      </w:r>
    </w:p>
    <w:p>
      <w:pPr>
        <w:spacing w:after="0" w:line="324" w:lineRule="exact"/>
        <w:rPr>
          <w:rFonts w:ascii="Times New Roman" w:cs="Times New Roman" w:eastAsia="Times New Roman" w:hAnsi="Times New Roman"/>
          <w:sz w:val="18"/>
          <w:szCs w:val="18"/>
          <w:color w:val="auto"/>
        </w:rPr>
      </w:pPr>
    </w:p>
    <w:p>
      <w:pPr>
        <w:ind w:left="880" w:right="40" w:hanging="440"/>
        <w:spacing w:after="0" w:line="261"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began start-up related activities at our new facility in Singapore (hybrid) in July and at our new facility in Ma’anshan in the Anhui province in eastern China (end-to-end manufacturing) during the fourth quarter of year 2021. The ramp-up of these two facilities is expected to continue throughout 2022, with Singapore expected to reach steady-state production during the first half of 2022, while Ma’anshan is expected to continue to ramp up for the full year of 2022.</w:t>
      </w:r>
    </w:p>
    <w:p>
      <w:pPr>
        <w:spacing w:after="0" w:line="328" w:lineRule="exact"/>
        <w:rPr>
          <w:sz w:val="20"/>
          <w:szCs w:val="20"/>
          <w:color w:val="auto"/>
        </w:rPr>
      </w:pPr>
    </w:p>
    <w:p>
      <w:pPr>
        <w:ind w:right="280" w:firstLine="864"/>
        <w:spacing w:after="0" w:line="256" w:lineRule="auto"/>
        <w:rPr>
          <w:sz w:val="20"/>
          <w:szCs w:val="20"/>
          <w:color w:val="auto"/>
        </w:rPr>
      </w:pPr>
      <w:r>
        <w:rPr>
          <w:rFonts w:ascii="Times New Roman" w:cs="Times New Roman" w:eastAsia="Times New Roman" w:hAnsi="Times New Roman"/>
          <w:sz w:val="18"/>
          <w:szCs w:val="18"/>
          <w:color w:val="auto"/>
        </w:rPr>
        <w:t>We expect that these expansions will, in the aggregate, result in approximately 900 million liters of finished goods equivalent of oat base capacity at the end of 2022. We plan to build three additional facilities in Peterborough, the United Kingdom, Fort Worth, Texas, and Asia. We are also investing in improvements to our existing facilities and manufacturing equipment. We are financing these expansions and improvements through a combination of cash, including the proceeds of our initial public offering in May 2021, our credit facilities described under “Credit Facilities” and the leasing arrangements described under “Contractual Obligations and Commitments”. In the year ended December 31, 2021, we invested $274 million, in property, plant and equipment to expand our production capacity.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w:t>
      </w:r>
    </w:p>
    <w:p>
      <w:pPr>
        <w:spacing w:after="0" w:line="202" w:lineRule="exact"/>
        <w:rPr>
          <w:sz w:val="20"/>
          <w:szCs w:val="20"/>
          <w:color w:val="auto"/>
        </w:rPr>
      </w:pPr>
    </w:p>
    <w:p>
      <w:pPr>
        <w:ind w:right="80" w:firstLine="864"/>
        <w:spacing w:after="0" w:line="256" w:lineRule="auto"/>
        <w:rPr>
          <w:sz w:val="20"/>
          <w:szCs w:val="20"/>
          <w:color w:val="auto"/>
        </w:rPr>
      </w:pPr>
      <w:r>
        <w:rPr>
          <w:rFonts w:ascii="Times New Roman" w:cs="Times New Roman" w:eastAsia="Times New Roman" w:hAnsi="Times New Roman"/>
          <w:sz w:val="18"/>
          <w:szCs w:val="18"/>
          <w:color w:val="auto"/>
        </w:rPr>
        <w:t>The COVID-19 pandemic continued to impact our business operations and customer and consumer demand during 2021. In response to the pandemic, governments and other authorities implemented significant measures in an effort to contain the spread of the virus. While some of these restrictions eased in certain regions and markets during 2021 as vaccinations rates improved, new mutations of the COVID-19 virus have resulted in governments reimposing restrictions in many of the markets in which we operate our business. In Asia and, in particular, as a result of China’s zero COVID-19 policy, more stringent measures such as regional lockdowns and travel restrictions were implemented during the second half of 2021 due to the Delta and Omicron variants of the virus.</w:t>
      </w:r>
    </w:p>
    <w:p>
      <w:pPr>
        <w:spacing w:after="0" w:line="147" w:lineRule="exact"/>
        <w:rPr>
          <w:sz w:val="20"/>
          <w:szCs w:val="20"/>
          <w:color w:val="auto"/>
        </w:rPr>
      </w:pPr>
    </w:p>
    <w:p>
      <w:pPr>
        <w:ind w:right="80" w:firstLine="864"/>
        <w:spacing w:after="0" w:line="256" w:lineRule="auto"/>
        <w:rPr>
          <w:sz w:val="20"/>
          <w:szCs w:val="20"/>
          <w:color w:val="auto"/>
        </w:rPr>
      </w:pPr>
      <w:r>
        <w:rPr>
          <w:rFonts w:ascii="Times New Roman" w:cs="Times New Roman" w:eastAsia="Times New Roman" w:hAnsi="Times New Roman"/>
          <w:sz w:val="18"/>
          <w:szCs w:val="18"/>
          <w:color w:val="auto"/>
        </w:rPr>
        <w:t>Previously, during the second and third quarters of 2020, we experienced a deterioration in sales to coffee shops and other foodservice customers as stay-at-home orders became and remained more widespread. However, we also experienced an increase in retail demand beginning in the second quarter of 2020 as consumers shifted toward more at-home consumption, and we transitioned our distribution to meet this shift. We began to notice an improvement in the foodservice channel during the second half of 2020 as some of our key markets began to reduce some of the restrictions. This foodservice channel improvement trend continued during 2021, however we have been impacted by the lockdown restrictions imposed in China as described above.</w:t>
      </w:r>
    </w:p>
    <w:p>
      <w:pPr>
        <w:spacing w:after="0" w:line="147"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We have implemented and continue to practice a series of physical distancing and safety practices at our production facilities, which may result in increases in long-term operation costs. If we are forced to make further modifications or scale back hours of production in response to the pandemic, we expect our business, financial condition and results of operations would be materially adversely affected. To date, other than one closure for a few days at our Vlissingen facility in mid-April 2021, we have not closed any of our production facilities in response to the pandemic, but we have experienced delays in the construction and ramp-up of our new facilities in Singapore, Ma’anshan and Ogden as a result of COVID-19, and there can be no assurance that there will not be closures or additional delays in the future as a result of the COVID-19 pandemic. The ramp-up of new facilities has been impacted by disruption of global supply chain flows and travel restrictions, causing longer lead time of production equipment and spare parts and a difficulty of moving critical staff needed to the facilities during the construction and ramp-up phase as well as labor absenteeism as a result of the Omicron variant. The pandemic has also negatively impacted our rate of research and innovation, as we have experienced delays in tests and launches of our new products. Furthermore, suppliers are experiencing longer lead times for equipment and, recently, the situation with truckers in Canada and difficult weather conditions in North America has impacted the timing of rail transportation of oat supply for our supplier to our U.S. manufacturing locations.</w:t>
      </w:r>
    </w:p>
    <w:p>
      <w:pPr>
        <w:spacing w:after="0" w:line="165" w:lineRule="exact"/>
        <w:rPr>
          <w:sz w:val="20"/>
          <w:szCs w:val="20"/>
          <w:color w:val="auto"/>
        </w:rPr>
      </w:pPr>
    </w:p>
    <w:p>
      <w:pPr>
        <w:ind w:right="20" w:firstLine="864"/>
        <w:spacing w:after="0" w:line="273" w:lineRule="auto"/>
        <w:rPr>
          <w:sz w:val="20"/>
          <w:szCs w:val="20"/>
          <w:color w:val="auto"/>
        </w:rPr>
      </w:pPr>
      <w:r>
        <w:rPr>
          <w:rFonts w:ascii="Times New Roman" w:cs="Times New Roman" w:eastAsia="Times New Roman" w:hAnsi="Times New Roman"/>
          <w:sz w:val="17"/>
          <w:szCs w:val="17"/>
          <w:color w:val="auto"/>
        </w:rPr>
        <w:t>The COVID-19 pandemic has impacted our business operations, results of operations and cash flows during 2021 and it is expected that this trend will continue into 2022 including: demand in the foodservice channel could be affected by the ongoing impact of COVID-19, including the resurgence of COVID-19 and related measures being implemented to reduce the spread of the virus; potential for our foodservice customers to close certain store locations due to imposed lockdowns or other restrictions; our supply chain and operations, including our capacity expansion projects, could continue to be impacted by distribution and other logistical issues including imposed travel restrictions; longer lead times for equipment; continued supply chain disruptions, including with respect to raw materials, resulting in higher inflationary pressure throughout the supply chain impacting our operations, cash flows and capacity expansion projects; and potential closure of our facilities or those of our suppliers, co-manufacturers or co-packers due to COVID-19.</w:t>
      </w:r>
    </w:p>
    <w:p>
      <w:pPr>
        <w:spacing w:after="0" w:line="131" w:lineRule="exact"/>
        <w:rPr>
          <w:sz w:val="20"/>
          <w:szCs w:val="20"/>
          <w:color w:val="auto"/>
        </w:rPr>
      </w:pPr>
    </w:p>
    <w:p>
      <w:pPr>
        <w:ind w:right="340" w:firstLine="864"/>
        <w:spacing w:after="0" w:line="256" w:lineRule="auto"/>
        <w:rPr>
          <w:sz w:val="20"/>
          <w:szCs w:val="20"/>
          <w:color w:val="auto"/>
        </w:rPr>
      </w:pPr>
      <w:r>
        <w:rPr>
          <w:rFonts w:ascii="Times New Roman" w:cs="Times New Roman" w:eastAsia="Times New Roman" w:hAnsi="Times New Roman"/>
          <w:sz w:val="18"/>
          <w:szCs w:val="18"/>
          <w:color w:val="auto"/>
        </w:rPr>
        <w:t>In 2022, our global team will continue to focus on the controllable aspects of our business while navigating a challenging operating environment that we believe will include COVID restrictions and lockdowns in certain countries, risk of COVID-related absenteeism in our production facilities, significant supply chain delays and disruptions, and increased inflationary pressures. We are also closely monitoring the current conflict in Ukraine given the uncertainty this creates in Europe and more broadly. We do not directly procure goods or services from Russia or Ukraine. However, these two countries are large exporters of farm produce and fertilizer. This could indirectly impact the supply and pricing of certain ingredients for our products, such as rapeseed oil.</w:t>
      </w:r>
    </w:p>
    <w:p>
      <w:pPr>
        <w:spacing w:after="0" w:line="147"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The environment remains highly uncertain, including the length of time needed to vaccinate a significant segment of the global population and effectiveness of the vaccines with respect to the variants of the virus, and we are continuing to closely monitor the impact of the COVID-19 pandemic on our business. See Item 3.D. “</w:t>
      </w:r>
      <w:r>
        <w:rPr>
          <w:rFonts w:ascii="Times New Roman" w:cs="Times New Roman" w:eastAsia="Times New Roman" w:hAnsi="Times New Roman"/>
          <w:sz w:val="18"/>
          <w:szCs w:val="18"/>
          <w:i w:val="1"/>
          <w:iCs w:val="1"/>
          <w:color w:val="auto"/>
        </w:rPr>
        <w:t>Risk Factors— The COVID-19 pandemic has had, and we expect will continue to have, certain negative impacts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these impacts may have a material adverse impact on our financial condition and results of operations.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at Oatly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as our core value</w:t>
      </w:r>
    </w:p>
    <w:p>
      <w:pPr>
        <w:spacing w:after="0" w:line="187" w:lineRule="exact"/>
        <w:rPr>
          <w:sz w:val="20"/>
          <w:szCs w:val="20"/>
          <w:color w:val="auto"/>
        </w:rPr>
      </w:pPr>
    </w:p>
    <w:p>
      <w:pPr>
        <w:ind w:right="160" w:firstLine="864"/>
        <w:spacing w:after="0" w:line="258" w:lineRule="auto"/>
        <w:rPr>
          <w:sz w:val="20"/>
          <w:szCs w:val="20"/>
          <w:color w:val="auto"/>
        </w:rPr>
      </w:pPr>
      <w:r>
        <w:rPr>
          <w:rFonts w:ascii="Times New Roman" w:cs="Times New Roman" w:eastAsia="Times New Roman" w:hAnsi="Times New Roman"/>
          <w:sz w:val="18"/>
          <w:szCs w:val="18"/>
          <w:color w:val="auto"/>
        </w:rPr>
        <w:t>Our vision is to be a once in a generation company that leads a global movement to reduce cow’s milk by half. Our aim is to make it easy for people to eat better and live healthier lives without recklessly taxing the planet’s resources. This focus on sustainability is a mindset that permeates across our company and helps us navigate business decisions. We have worked with and continue to work with farmers, suppliers, scientists and other partners across our supply chain to develop our products in a way that we believe is beneficial to our customers and the world around us, and we look to develop goals and targets that help us to deliver on these aims.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sustainability pillars and ambitions</w:t>
      </w:r>
    </w:p>
    <w:p>
      <w:pPr>
        <w:spacing w:after="0" w:line="187"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Our sustainability ambitions and goals form a key part of our business strategy and operations. This work is led by leaders throughout our company, and managed by our Chief Sustainability Officer, whose role is to work with the Board and CEO to develop our sustainability strategy and to advise other leaders to integrate that strategy into their business strategies and actions. This work is focused around three pillars of action and that guide our sustainability endeavors. These three pillars are as follows: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Drive a food system shift</w:t>
      </w:r>
    </w:p>
    <w:p>
      <w:pPr>
        <w:spacing w:after="0" w:line="198"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We seek to play our part in making the global food system more sustainable, in line with the United Nations Sustainable Development Goals (UN SDGs) and the Paris Agreement on Climate Change. As a significant buyer of oats globally, we aim to source oats in a responsible manner and work with suppliers and farmers to drive sustainability improvements associated with this crop. We undertake a number of initiatives to advance our mission, such as partnering with farmers and other supply chain stakeholders who look to carry out production practices with a high level of sustainability standards.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Set the example as a future company</w:t>
      </w:r>
    </w:p>
    <w:p>
      <w:pPr>
        <w:spacing w:after="0" w:line="185"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We aim to provide benefits to our customers and other stakeholders by operating in a way that respects the planet, while creating a safe and inclusive workplace for our people. We are therefore advancing a number of initiatives, including developing further criteria for our factories in order to be sustainable, efficient, safe and inclusive.</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Empower a plant-based revolution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-7620</wp:posOffset>
            </wp:positionV>
            <wp:extent cx="16910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91005" cy="8255"/>
                    </a:xfrm>
                    <a:prstGeom prst="rect">
                      <a:avLst/>
                    </a:prstGeom>
                    <a:noFill/>
                  </pic:spPr>
                </pic:pic>
              </a:graphicData>
            </a:graphic>
          </wp:anchor>
        </w:drawing>
      </w:r>
    </w:p>
    <w:p>
      <w:pPr>
        <w:spacing w:after="0" w:line="165" w:lineRule="exact"/>
        <w:rPr>
          <w:sz w:val="20"/>
          <w:szCs w:val="20"/>
          <w:color w:val="auto"/>
        </w:rPr>
      </w:pPr>
    </w:p>
    <w:p>
      <w:pPr>
        <w:jc w:val="both"/>
        <w:ind w:right="260" w:firstLine="864"/>
        <w:spacing w:after="0" w:line="261" w:lineRule="auto"/>
        <w:rPr>
          <w:sz w:val="20"/>
          <w:szCs w:val="20"/>
          <w:color w:val="auto"/>
        </w:rPr>
      </w:pPr>
      <w:r>
        <w:rPr>
          <w:rFonts w:ascii="Times New Roman" w:cs="Times New Roman" w:eastAsia="Times New Roman" w:hAnsi="Times New Roman"/>
          <w:sz w:val="18"/>
          <w:szCs w:val="18"/>
          <w:color w:val="auto"/>
        </w:rPr>
        <w:t>We believe that our company and our products can play a key role in the “plant-based revolution”, by advocating for and developing public policy positions in relation to the benefits of plant-based foods. For example, we seek to raise awareness of these benefits through labelling our products with climate footprint information in Europe and through empowering consumers to make more sustainable food choices by calling for such labelling to become more commonplace.</w:t>
      </w:r>
    </w:p>
    <w:p>
      <w:pPr>
        <w:spacing w:after="0" w:line="139" w:lineRule="exact"/>
        <w:rPr>
          <w:sz w:val="20"/>
          <w:szCs w:val="20"/>
          <w:color w:val="auto"/>
        </w:rPr>
      </w:pPr>
    </w:p>
    <w:p>
      <w:pPr>
        <w:ind w:right="220" w:firstLine="864"/>
        <w:spacing w:after="0" w:line="261" w:lineRule="auto"/>
        <w:rPr>
          <w:sz w:val="20"/>
          <w:szCs w:val="20"/>
          <w:color w:val="auto"/>
        </w:rPr>
      </w:pPr>
      <w:r>
        <w:rPr>
          <w:rFonts w:ascii="Times New Roman" w:cs="Times New Roman" w:eastAsia="Times New Roman" w:hAnsi="Times New Roman"/>
          <w:sz w:val="18"/>
          <w:szCs w:val="18"/>
          <w:color w:val="auto"/>
        </w:rPr>
        <w:t>Our reporting of our sustainability ambitions and objectives continues to evolve, as we work to increase the transparency of progress on such ambitions and objectives. We seek to demonstrate the alignment of our operations with certain UN SDGs and approach the structure of our reporting in a way that aligns with the metrics of the relevant standard of the Value Reporting Foundation’s Sustainability Accounting Standards Board (SASB), a globally recognized ESG-reporting framework.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governance</w:t>
      </w:r>
    </w:p>
    <w:p>
      <w:pPr>
        <w:spacing w:after="0" w:line="187" w:lineRule="exact"/>
        <w:rPr>
          <w:sz w:val="20"/>
          <w:szCs w:val="20"/>
          <w:color w:val="auto"/>
        </w:rPr>
      </w:pPr>
    </w:p>
    <w:p>
      <w:pPr>
        <w:ind w:right="60" w:firstLine="864"/>
        <w:spacing w:after="0" w:line="258" w:lineRule="auto"/>
        <w:rPr>
          <w:sz w:val="20"/>
          <w:szCs w:val="20"/>
          <w:color w:val="auto"/>
        </w:rPr>
      </w:pPr>
      <w:r>
        <w:rPr>
          <w:rFonts w:ascii="Times New Roman" w:cs="Times New Roman" w:eastAsia="Times New Roman" w:hAnsi="Times New Roman"/>
          <w:sz w:val="18"/>
          <w:szCs w:val="18"/>
          <w:color w:val="auto"/>
        </w:rPr>
        <w:t>Our sustainability program is developed and managed through considered interaction between our Chief Sustainability Officer, other department heads, CEO and overseen by our Board of Directors. Our Chief Sustainability Officer develops our sustainability programs, practices and goals in conjunction with our CEO and other business leaders, and these form the basis of our approach to sustainability at our company. These programs, practices and goals are overseen and monitored by the Nominating and Governance Committee of our Board of Directors, which is in turn required to report to the wider Board on matters of sustainability and corporate responsibility performance.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2021 sustainability highlights</w:t>
      </w:r>
    </w:p>
    <w:p>
      <w:pPr>
        <w:spacing w:after="0" w:line="200" w:lineRule="exact"/>
        <w:rPr>
          <w:sz w:val="20"/>
          <w:szCs w:val="20"/>
          <w:color w:val="auto"/>
        </w:rPr>
      </w:pPr>
    </w:p>
    <w:p>
      <w:pPr>
        <w:ind w:right="140" w:firstLine="864"/>
        <w:spacing w:after="0" w:line="258" w:lineRule="auto"/>
        <w:rPr>
          <w:sz w:val="20"/>
          <w:szCs w:val="20"/>
          <w:color w:val="auto"/>
        </w:rPr>
      </w:pPr>
      <w:r>
        <w:rPr>
          <w:rFonts w:ascii="Times New Roman" w:cs="Times New Roman" w:eastAsia="Times New Roman" w:hAnsi="Times New Roman"/>
          <w:sz w:val="18"/>
          <w:szCs w:val="18"/>
          <w:color w:val="auto"/>
        </w:rPr>
        <w:t>We are proud of our sustainability-related achievements and developments throughout 2021, and we are learning from sustainability-related challenges and opportunities as we continue to grow as a Company. One highlight is that we sourced 100% renewable electricity for our Ogden and Millville factories for the first time in 2021 and have continued to source renewable electricity at our plants in Vlissingen and Landskrona. While it is not currently feasible to meet all energy needs at all of our sites and production partner sites with renewable sources, we continue to aspire toward 100% renewable energy solutions for all of our production operations.</w:t>
      </w:r>
    </w:p>
    <w:p>
      <w:pPr>
        <w:spacing w:after="0" w:line="143"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In 2021, we also continued to implement initiatives aimed at shifting the food system, including expanding our partnerships with farmers in the American Midwest. These partnerships encourage farmers to introduce oats into their crop rotation, a process that provides environmental benefits both with respect to soil health and economic opportunities for farmers. We continue to collect data with respect to the impacts on soil health of oat-based crop rotation as part of these partnerships and aim to take a science-based approach to consider the expansion of such initiatives to an increasing number of suppliers in North America.</w:t>
      </w:r>
    </w:p>
    <w:p>
      <w:pPr>
        <w:spacing w:after="0" w:line="143" w:lineRule="exact"/>
        <w:rPr>
          <w:sz w:val="20"/>
          <w:szCs w:val="20"/>
          <w:color w:val="auto"/>
        </w:rPr>
      </w:pPr>
    </w:p>
    <w:p>
      <w:pPr>
        <w:ind w:right="120" w:firstLine="864"/>
        <w:spacing w:after="0" w:line="258" w:lineRule="auto"/>
        <w:rPr>
          <w:sz w:val="20"/>
          <w:szCs w:val="20"/>
          <w:color w:val="auto"/>
        </w:rPr>
      </w:pPr>
      <w:r>
        <w:rPr>
          <w:rFonts w:ascii="Times New Roman" w:cs="Times New Roman" w:eastAsia="Times New Roman" w:hAnsi="Times New Roman"/>
          <w:sz w:val="18"/>
          <w:szCs w:val="18"/>
          <w:color w:val="auto"/>
        </w:rPr>
        <w:t>We continue to require our employees to act in accordance with our code of conduct. In 2021, we conducted mandatory training for all of our employees and executives on our code of conduct. We also include our business conduct and ethics guidelines in our employment contracts and in respect of our production partners, we expect them to either commit to comply with our code of conduct or present their own that is of a standard at least equal to ours. In addition, we have introduced and utilized a third-party assessment tool from EcoVadis to more actively partner with our suppliers on their sustainability efforts.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sales of our oatmilk and other oat-based products across our three geographic regions: EMEA, Americas and Asia. Our customers include retailers, e-commerce channels, coffee shops and other specialty providers within the foodservice industry.</w:t>
      </w:r>
    </w:p>
    <w:p>
      <w:pPr>
        <w:spacing w:after="0" w:line="121"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EMEA has been our largest region to date, followed by Americas and Asia. Currently, our primary markets in EMEA are Sweden, the United Kingdom and Germany. In the Americas, substantially all of our revenue to date can be attributed to the United States, and in Asia, the majority of our revenue is generated in China. The channel and product mix vary by country, where our more mature markets, such as Sweden and Finland, have a broader product portfolio available to customers and consumers. In 2021, on a consolidated level, oatmilk accounted for over 91% of our revenue.</w:t>
      </w:r>
    </w:p>
    <w:p>
      <w:pPr>
        <w:spacing w:after="0" w:line="153"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We routinely offer sales discounts and promotions through various programs to customers. These programs include rebates, temporary on-shelf price reductions, retailer advertisements, product coupons and other trade activities. The expense associated with these discounts and promotions is estimated and recorded as a reduction in total gross revenue in order to arrive at reported net revenue. We anticipate that these promotional activities could impact our net revenue and that changes in such activities could impact period-over-period results.</w:t>
      </w:r>
    </w:p>
    <w:p>
      <w:pPr>
        <w:spacing w:after="0" w:line="139" w:lineRule="exact"/>
        <w:rPr>
          <w:sz w:val="20"/>
          <w:szCs w:val="20"/>
          <w:color w:val="auto"/>
        </w:rPr>
      </w:pPr>
    </w:p>
    <w:p>
      <w:pPr>
        <w:ind w:right="160" w:firstLine="864"/>
        <w:spacing w:after="0" w:line="266" w:lineRule="auto"/>
        <w:rPr>
          <w:sz w:val="20"/>
          <w:szCs w:val="20"/>
          <w:color w:val="auto"/>
        </w:rPr>
      </w:pPr>
      <w:r>
        <w:rPr>
          <w:rFonts w:ascii="Times New Roman" w:cs="Times New Roman" w:eastAsia="Times New Roman" w:hAnsi="Times New Roman"/>
          <w:sz w:val="18"/>
          <w:szCs w:val="18"/>
          <w:color w:val="auto"/>
        </w:rPr>
        <w:t>To date we have experienced accelerated demand and our revenue growth has historically been constrained by limitations in our production capacity. As noted above we are in the process of significantly increasing our capacity to support our continued expansion and revenue growth across our three geographic regions.</w:t>
      </w:r>
    </w:p>
    <w:p>
      <w:pPr>
        <w:spacing w:after="0" w:line="135" w:lineRule="exact"/>
        <w:rPr>
          <w:sz w:val="20"/>
          <w:szCs w:val="20"/>
          <w:color w:val="auto"/>
        </w:rPr>
      </w:pPr>
    </w:p>
    <w:p>
      <w:pPr>
        <w:ind w:right="220" w:firstLine="864"/>
        <w:spacing w:after="0" w:line="282" w:lineRule="auto"/>
        <w:rPr>
          <w:sz w:val="20"/>
          <w:szCs w:val="20"/>
          <w:color w:val="auto"/>
        </w:rPr>
      </w:pPr>
      <w:r>
        <w:rPr>
          <w:rFonts w:ascii="Times New Roman" w:cs="Times New Roman" w:eastAsia="Times New Roman" w:hAnsi="Times New Roman"/>
          <w:sz w:val="18"/>
          <w:szCs w:val="18"/>
          <w:color w:val="auto"/>
        </w:rPr>
        <w:t>The following factors and trends in our business have driven net revenue growth over prior periods and are expected to be key drivers of our net revenue growth going forward:</w:t>
      </w:r>
    </w:p>
    <w:p>
      <w:pPr>
        <w:spacing w:after="0" w:line="162" w:lineRule="exact"/>
        <w:rPr>
          <w:sz w:val="20"/>
          <w:szCs w:val="20"/>
          <w:color w:val="auto"/>
        </w:rPr>
      </w:pPr>
    </w:p>
    <w:p>
      <w:pPr>
        <w:ind w:left="1300" w:right="480" w:hanging="442"/>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household penetration to reach new consumers and increase the repeat purchase rates of existing consumers by continuing to invest in advertising and marketing to increase awareness of our brand and products.</w:t>
      </w:r>
    </w:p>
    <w:p>
      <w:pPr>
        <w:spacing w:after="0" w:line="161" w:lineRule="exact"/>
        <w:rPr>
          <w:rFonts w:ascii="Times New Roman" w:cs="Times New Roman" w:eastAsia="Times New Roman" w:hAnsi="Times New Roman"/>
          <w:sz w:val="18"/>
          <w:szCs w:val="18"/>
          <w:color w:val="auto"/>
        </w:rPr>
      </w:pPr>
    </w:p>
    <w:p>
      <w:pPr>
        <w:ind w:left="1300" w:right="20" w:hanging="442"/>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within food retail channels by increasing our distribution points with existing and new customers, capturing greater shelf space and continuing to drive velocity increases.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300" w:right="120" w:hanging="442"/>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footprint across the foodservice channel, including independent coffee shops and branded foodservice chains such as Starbucks, as we believe this will help encourage trial, drive consumer awareness of our brand and create strong pull into the food retail and e-commerce channels.</w:t>
      </w:r>
    </w:p>
    <w:p>
      <w:pPr>
        <w:spacing w:after="0" w:line="175" w:lineRule="exact"/>
        <w:rPr>
          <w:rFonts w:ascii="Times New Roman" w:cs="Times New Roman" w:eastAsia="Times New Roman" w:hAnsi="Times New Roman"/>
          <w:sz w:val="18"/>
          <w:szCs w:val="18"/>
          <w:color w:val="auto"/>
        </w:rPr>
      </w:pPr>
    </w:p>
    <w:p>
      <w:pPr>
        <w:ind w:left="1300" w:right="580" w:hanging="442"/>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e-commerce capabilities by strategically partnering with leading third-party platforms and leveraging our own direct-to-consumer Oatly.com e-commerce platform to market our products and increase our reach.</w:t>
      </w:r>
    </w:p>
    <w:p>
      <w:pPr>
        <w:spacing w:after="0" w:line="161" w:lineRule="exact"/>
        <w:rPr>
          <w:rFonts w:ascii="Times New Roman" w:cs="Times New Roman" w:eastAsia="Times New Roman" w:hAnsi="Times New Roman"/>
          <w:sz w:val="18"/>
          <w:szCs w:val="18"/>
          <w:color w:val="auto"/>
        </w:rPr>
      </w:pPr>
    </w:p>
    <w:p>
      <w:pPr>
        <w:ind w:left="1300" w:right="360" w:hanging="442"/>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product offering through new product development within existing and new product categories to capture the market-specific consumer needs in each of the regions we operate in.</w:t>
      </w:r>
    </w:p>
    <w:p>
      <w:pPr>
        <w:spacing w:after="0" w:line="16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international markets through our proven foodservice-led strategy.</w:t>
      </w:r>
    </w:p>
    <w:p>
      <w:pPr>
        <w:spacing w:after="0" w:line="252"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global production capacity to meet consumer demand.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right="220" w:firstLine="864"/>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net revenue, as a result of the scaling of our business and optimizing our production footprint.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89"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Gross profit consists of our net revenue less costs of goods sold. We have scaled and continue to scale our production significantly, with a priority on growth and meeting demand over gross profit and margin optimization. As we continue to expand production by moving production capacity closer to our customers and consumers, shifting towards hybrid and end-to-end production solutions, we expect to gradually improve our manufacturing operational performance and leverage the cost of our fixed production and staff costs, including a higher focus on procurement efficiencies through scale of purchasing and diversification of suppliers.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consist primarily of personnel related expenses for our research and development staff,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 We expect these expenses to increase somewhat in absolute dollars but to slightly decrease as a percentage of revenue as we continue to scale production.</w:t>
      </w:r>
    </w:p>
    <w:p>
      <w:pPr>
        <w:spacing w:after="0" w:line="139"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include primarily personnel related expenses, brand awareness and advertising costs,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 We expect selling, general and administrative expenses to increase in absolute dollars as we increase our expansion efforts to meet our product demand but to decrease as a percentage of revenue over time.</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Other operating (expense)/income </w:t>
      </w:r>
      <w:r>
        <w:rPr>
          <w:rFonts w:ascii="Times New Roman" w:cs="Times New Roman" w:eastAsia="Times New Roman" w:hAnsi="Times New Roman"/>
          <w:sz w:val="18"/>
          <w:szCs w:val="18"/>
          <w:color w:val="auto"/>
        </w:rPr>
        <w:t>consists primarily of net foreign exchange gains (losses) on operating related activities.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ind w:right="540" w:firstLine="86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 net </w:t>
      </w:r>
      <w:r>
        <w:rPr>
          <w:rFonts w:ascii="Times New Roman" w:cs="Times New Roman" w:eastAsia="Times New Roman" w:hAnsi="Times New Roman"/>
          <w:sz w:val="18"/>
          <w:szCs w:val="18"/>
          <w:color w:val="auto"/>
        </w:rPr>
        <w:t>primarily consists of interest expense related to loans from credit institutions, interest expense on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and foreign exchange gains and losses attributable to our external and internal financing arrangements.</w:t>
      </w:r>
    </w:p>
    <w:p>
      <w:pPr>
        <w:spacing w:after="0" w:line="131" w:lineRule="exact"/>
        <w:rPr>
          <w:sz w:val="20"/>
          <w:szCs w:val="20"/>
          <w:color w:val="auto"/>
        </w:rPr>
      </w:pPr>
    </w:p>
    <w:p>
      <w:pPr>
        <w:ind w:right="120" w:firstLine="86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benefit/(expense) </w:t>
      </w:r>
      <w:r>
        <w:rPr>
          <w:rFonts w:ascii="Times New Roman" w:cs="Times New Roman" w:eastAsia="Times New Roman" w:hAnsi="Times New Roman"/>
          <w:sz w:val="18"/>
          <w:szCs w:val="18"/>
          <w:color w:val="auto"/>
        </w:rPr>
        <w:t>represents both current and deferred income tax expenses. Current tax expenses primarily represent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income in multiple foreign jurisdictions.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following table sets forth the consolidated statements of operations in U.S. dollars and as a percentage of revenue for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96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960" w:type="dxa"/>
            <w:vAlign w:val="bottom"/>
          </w:tcPr>
          <w:p>
            <w:pPr>
              <w:jc w:val="center"/>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80" w:type="dxa"/>
            <w:vAlign w:val="bottom"/>
            <w:tcBorders>
              <w:bottom w:val="single" w:sz="8" w:color="CFF0FC"/>
            </w:tcBorders>
          </w:tcPr>
          <w:p>
            <w:pPr>
              <w:spacing w:after="0"/>
              <w:rPr>
                <w:sz w:val="15"/>
                <w:szCs w:val="15"/>
                <w:color w:val="auto"/>
              </w:rPr>
            </w:pPr>
          </w:p>
        </w:tc>
        <w:tc>
          <w:tcPr>
            <w:tcW w:w="9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643,190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(488,177)</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(292,107)</w:t>
            </w: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155,013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129,244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30.7%</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(353,929)</w:t>
            </w:r>
          </w:p>
        </w:tc>
        <w:tc>
          <w:tcPr>
            <w:tcW w:w="16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(167,792)</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(expense)/income</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(213,743)</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(47,093)</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(215,048)</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(57,950)</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1"/>
        </w:trPr>
        <w:tc>
          <w:tcPr>
            <w:tcW w:w="468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Loss for the year, attributable to shareholders of</w:t>
            </w:r>
          </w:p>
        </w:tc>
        <w:tc>
          <w:tcPr>
            <w:tcW w:w="9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the parent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(212,393)</w:t>
            </w:r>
          </w:p>
        </w:tc>
        <w:tc>
          <w:tcPr>
            <w:tcW w:w="160" w:type="dxa"/>
            <w:vAlign w:val="bottom"/>
            <w:shd w:val="clear" w:color="auto" w:fill="CFF0FC"/>
          </w:tcPr>
          <w:p>
            <w:pPr>
              <w:spacing w:after="0"/>
              <w:rPr>
                <w:sz w:val="20"/>
                <w:szCs w:val="20"/>
                <w:color w:val="auto"/>
              </w:rPr>
            </w:pP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(60,361)</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2021 and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right="240" w:firstLine="864"/>
        <w:spacing w:after="0" w:line="258" w:lineRule="auto"/>
        <w:rPr>
          <w:sz w:val="20"/>
          <w:szCs w:val="20"/>
          <w:color w:val="auto"/>
        </w:rPr>
      </w:pPr>
      <w:r>
        <w:rPr>
          <w:rFonts w:ascii="Times New Roman" w:cs="Times New Roman" w:eastAsia="Times New Roman" w:hAnsi="Times New Roman"/>
          <w:sz w:val="18"/>
          <w:szCs w:val="18"/>
          <w:color w:val="auto"/>
        </w:rPr>
        <w:t>Revenue increased by $221.8 million, or 52.6%, to $643.2 million for the year ended December 31, 2021, net of sales discounts, rebates and trade promotions, from $421.4 million for the year ended December 31, 2020, which was primarily a result of the additional supply coming from our existing and new facilities to meet the growing demand we have for our products. The foreign exchange benefit on revenues was approximately $23.2 million. The produced finished goods volume for the year 2021 amounted to 470 million liters compared to 299 million liters for last year, an increase of 57.0%.</w:t>
      </w:r>
    </w:p>
    <w:p>
      <w:pPr>
        <w:spacing w:after="0" w:line="143" w:lineRule="exact"/>
        <w:rPr>
          <w:sz w:val="20"/>
          <w:szCs w:val="20"/>
          <w:color w:val="auto"/>
        </w:rPr>
      </w:pPr>
    </w:p>
    <w:p>
      <w:pPr>
        <w:ind w:right="20" w:firstLine="864"/>
        <w:spacing w:after="0" w:line="266" w:lineRule="auto"/>
        <w:rPr>
          <w:sz w:val="20"/>
          <w:szCs w:val="20"/>
          <w:color w:val="auto"/>
        </w:rPr>
      </w:pPr>
      <w:r>
        <w:rPr>
          <w:rFonts w:ascii="Times New Roman" w:cs="Times New Roman" w:eastAsia="Times New Roman" w:hAnsi="Times New Roman"/>
          <w:sz w:val="18"/>
          <w:szCs w:val="18"/>
          <w:color w:val="auto"/>
        </w:rPr>
        <w:t>This revenue growth was negatively impacted by several factors in the second half of the year, including lower than expected production output at the Company’s facility in Ogden, Utah due to a number of COVID-19 related and other factors that impacted the performance of the facility and lower than expected sales in Asia, primarily in China, as a result of foodservice location closures due to the COVID-19 variants.</w:t>
      </w:r>
    </w:p>
    <w:p>
      <w:pPr>
        <w:spacing w:after="0" w:line="149" w:lineRule="exact"/>
        <w:rPr>
          <w:sz w:val="20"/>
          <w:szCs w:val="20"/>
          <w:color w:val="auto"/>
        </w:rPr>
      </w:pPr>
    </w:p>
    <w:p>
      <w:pPr>
        <w:ind w:right="40" w:firstLine="864"/>
        <w:spacing w:after="0" w:line="261" w:lineRule="auto"/>
        <w:rPr>
          <w:sz w:val="20"/>
          <w:szCs w:val="20"/>
          <w:color w:val="auto"/>
        </w:rPr>
      </w:pPr>
      <w:r>
        <w:rPr>
          <w:rFonts w:ascii="Times New Roman" w:cs="Times New Roman" w:eastAsia="Times New Roman" w:hAnsi="Times New Roman"/>
          <w:sz w:val="18"/>
          <w:szCs w:val="18"/>
          <w:color w:val="auto"/>
        </w:rPr>
        <w:t>The Company experienced broad-based growth across retail and foodservice sales channels for the year ended December 31, 2021. The foodservice channel has rebounded compared to prior year period with the reopening of on-premise outlets from the relaxation of COVID-19 restrictions in our key markets. For the year ended December 31, 2021 and 2020, the foodservice channel accounted for 34.7% and 25.7% of our revenue, respectively, and the retail channel accounted for 60.3% and 70.7% of our revenue, respectively.</w:t>
      </w:r>
    </w:p>
    <w:p>
      <w:pPr>
        <w:spacing w:after="0" w:line="139"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8"/>
          <w:szCs w:val="18"/>
          <w:color w:val="auto"/>
        </w:rPr>
        <w:t>EMEA, the Americas and Asia accounted for 52.3%, 28.0% and 19.7% of our total revenue in the year ended December 31, 2021, respectively, as compared to 63.5%, 23.7% and 12.7% of our total revenue in the year ended December 31, 2020.</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2021, our products were available at over 85,000 retail doors and over 79,000 foodservice doors.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firstLine="864"/>
        <w:spacing w:after="0" w:line="282" w:lineRule="auto"/>
        <w:rPr>
          <w:sz w:val="20"/>
          <w:szCs w:val="20"/>
          <w:color w:val="auto"/>
        </w:rPr>
      </w:pPr>
      <w:r>
        <w:rPr>
          <w:rFonts w:ascii="Times New Roman" w:cs="Times New Roman" w:eastAsia="Times New Roman" w:hAnsi="Times New Roman"/>
          <w:sz w:val="18"/>
          <w:szCs w:val="18"/>
          <w:color w:val="auto"/>
        </w:rPr>
        <w:t>In order to support the significant growth of the business, our employee headcount has increased significantly compared to prior year, growing from 792 employees as of December 31, 2020, to 1,615 employees as of December 31,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$196.1 million, or 67.1%, to $488.2 million for the year ended December 31, 2021 from $292.1 million for the year ended December 31, 2020. This increase was primarily the result of higher revenue across our three segments.</w:t>
      </w:r>
    </w:p>
    <w:p>
      <w:pPr>
        <w:spacing w:after="0" w:line="121"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Inflationary pressure increased during the year, with more significant headwind in the latter part of 2021 compared to 2020 because of supply chain disruptions caused by the pandemic as well as a decrease in the yearly farm output of relevant ingredients for our products, such as oats and rapeseed oil. We experienced more significant levels of material cost inflation related to rapeseed oil. We expect higher prices for oats driven by the historically poor 2021 harvest in Canada to have a more significant impact in 2022. Oats account for approximately 10% of our cost of goods sold on a consolidated level. Rapeseed oil accounts for a minor portion of our total cost of goods sold.</w:t>
      </w:r>
    </w:p>
    <w:p>
      <w:pPr>
        <w:spacing w:after="0" w:line="156" w:lineRule="exact"/>
        <w:rPr>
          <w:sz w:val="20"/>
          <w:szCs w:val="20"/>
          <w:color w:val="auto"/>
        </w:rPr>
      </w:pPr>
    </w:p>
    <w:p>
      <w:pPr>
        <w:ind w:right="380" w:firstLine="864"/>
        <w:spacing w:after="0" w:line="266" w:lineRule="auto"/>
        <w:rPr>
          <w:sz w:val="20"/>
          <w:szCs w:val="20"/>
          <w:color w:val="auto"/>
        </w:rPr>
      </w:pPr>
      <w:r>
        <w:rPr>
          <w:rFonts w:ascii="Times New Roman" w:cs="Times New Roman" w:eastAsia="Times New Roman" w:hAnsi="Times New Roman"/>
          <w:sz w:val="18"/>
          <w:szCs w:val="18"/>
          <w:color w:val="auto"/>
        </w:rPr>
        <w:t>We experienced an increase in freight costs driven by the effects of the pandemic, primarily in Americas and EMEA due to shortage in capacity, which also impacted our shipments from EMEA to Asia. We expect that the localization and expansion of our production capacity within the regions will help to offset some of these freight cost headwinds in the future.</w:t>
      </w:r>
    </w:p>
    <w:p>
      <w:pPr>
        <w:spacing w:after="0" w:line="135" w:lineRule="exact"/>
        <w:rPr>
          <w:sz w:val="20"/>
          <w:szCs w:val="20"/>
          <w:color w:val="auto"/>
        </w:rPr>
      </w:pPr>
    </w:p>
    <w:p>
      <w:pPr>
        <w:ind w:right="100" w:firstLine="864"/>
        <w:spacing w:after="0" w:line="266" w:lineRule="auto"/>
        <w:rPr>
          <w:sz w:val="20"/>
          <w:szCs w:val="20"/>
          <w:color w:val="auto"/>
        </w:rPr>
      </w:pPr>
      <w:r>
        <w:rPr>
          <w:rFonts w:ascii="Times New Roman" w:cs="Times New Roman" w:eastAsia="Times New Roman" w:hAnsi="Times New Roman"/>
          <w:sz w:val="18"/>
          <w:szCs w:val="18"/>
          <w:color w:val="auto"/>
        </w:rPr>
        <w:t>Going into 2022, we expect inflationary pressure to impact our cost of goods sold more broadly, as oat prices and other commodity prices as well as packaging materials increase because of a number of different factors such as a poor harvest in Canada, supply chain disruptions more broadly and the recent geopolitical events impacting Russia and Ukraine. We also expect elevated inflationary levels related to labor, energy and co-packing.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02"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Gross profit increased by $25.8 million, or 19.9%, to $155.0 million for the year ended December 31, 2021 from $129.2 million for the year ended December 31, 2020. Gross margin decreased by 6.6%, to 24.1% for the year ended December 31, 2021 from 30.7% for the year ended December 31, 2020, which was primarily due to higher logistics expenses with 3.3 percentage points in EMEA and the Americas as well as higher container rates for our shipments from EMEA to Asia, a higher level of product promotions and a change in segment, channel and customer mix primarily in Americas offset by a positive channel and customer mix in Asia of 1.8 percentage points, higher depreciation expense of 1.7 percentage points primarily related to our new capacity investments, the product recall in EMEA (see the Company’s Form 6-K filed on November 17, 2021) and an asset impairment in EMEA related to an asset for which we have no alternative use at our Landskrona facility of 0.5 percentage points, 1.3 percentage points of other items, net, offset by a positive impact from foreign exchange of 2.0 percentage points.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ind w:right="40" w:firstLine="86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increased by $9.9 million, or 145.5%, to $16.8 million for the year ended December 31, 2021 from $6.8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2020 and as a percentage of revenues, 2.6% and 1.6%, respectively This increase was primarily due to an increase of $6.2 million in employee related expenses, which include $1.1 million in costs for the 2021 Incentive Award Plan (“2021 Plan”), due to higher headcount driven by our continuous investments in our innovation capabilities. There also were $2.0 million in increased costs relating to external consultants and other professional fees.</w:t>
      </w:r>
    </w:p>
    <w:p>
      <w:pPr>
        <w:spacing w:after="0" w:line="156" w:lineRule="exact"/>
        <w:rPr>
          <w:sz w:val="20"/>
          <w:szCs w:val="20"/>
          <w:color w:val="auto"/>
        </w:rPr>
      </w:pPr>
    </w:p>
    <w:p>
      <w:pPr>
        <w:ind w:right="80" w:firstLine="86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increased by $186.1 million, or 110.9%, to $353.9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from $167.8 million for the year ended December 31, 2020, and as a percentage of revenues 55.0% and 39.8%, respectively. This increase was primarily due to an increase of $65.2 million in employee related expenses, which include $22.9 million in costs for the 2021 Plan, as a result of increased headcount as we continue to invest in our growth and comply with our public company obligations. There also was $46.5 million in increased costs relating to external consultants, contractors, and other professional fees, of which $9.3 million is one-off costs related to our initial public offering, and $30.4 million is increased branding and</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marketing expenses, including our Super Bowl commercial and other marketing campaigns, as compared to lower branding and marketing activities in the prior year due to the COVID-19 pandemic. Customer distribution costs increased with $23.2 million mainly as a consequence of higher revenue, but also increased as percentage of revenue from 6.2% to 7.7%, due to a number of factors including higher freight rates and mix of sales.</w:t>
      </w:r>
    </w:p>
    <w:p>
      <w:pPr>
        <w:spacing w:after="0" w:line="147" w:lineRule="exact"/>
        <w:rPr>
          <w:sz w:val="20"/>
          <w:szCs w:val="20"/>
          <w:color w:val="auto"/>
        </w:rPr>
      </w:pPr>
    </w:p>
    <w:p>
      <w:pPr>
        <w:ind w:right="20" w:firstLine="864"/>
        <w:spacing w:after="0" w:line="267" w:lineRule="auto"/>
        <w:rPr>
          <w:sz w:val="20"/>
          <w:szCs w:val="20"/>
          <w:color w:val="auto"/>
        </w:rPr>
      </w:pPr>
      <w:r>
        <w:rPr>
          <w:rFonts w:ascii="Times New Roman" w:cs="Times New Roman" w:eastAsia="Times New Roman" w:hAnsi="Times New Roman"/>
          <w:sz w:val="18"/>
          <w:szCs w:val="18"/>
          <w:i w:val="1"/>
          <w:iCs w:val="1"/>
          <w:color w:val="auto"/>
        </w:rPr>
        <w:t>Other operating income and (expenses)</w:t>
      </w:r>
      <w:r>
        <w:rPr>
          <w:rFonts w:ascii="Times New Roman" w:cs="Times New Roman" w:eastAsia="Times New Roman" w:hAnsi="Times New Roman"/>
          <w:sz w:val="18"/>
          <w:szCs w:val="18"/>
          <w:color w:val="auto"/>
        </w:rPr>
        <w:t>, net primarily consists of foreign exchange gains and losses on operating items. Other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(expenses), net for the for the year ended December 31, 2021 include net foreign exchange gains of $1.9 million compared to net foreign exchange losses of $1.7 million for the year ended December 31, 2020.</w:t>
      </w:r>
    </w:p>
    <w:p>
      <w:pPr>
        <w:spacing w:after="0" w:line="133" w:lineRule="exact"/>
        <w:rPr>
          <w:sz w:val="20"/>
          <w:szCs w:val="20"/>
          <w:color w:val="auto"/>
        </w:rPr>
      </w:pPr>
    </w:p>
    <w:p>
      <w:pPr>
        <w:ind w:right="20" w:firstLine="86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expenses, net </w:t>
      </w:r>
      <w:r>
        <w:rPr>
          <w:rFonts w:ascii="Times New Roman" w:cs="Times New Roman" w:eastAsia="Times New Roman" w:hAnsi="Times New Roman"/>
          <w:sz w:val="18"/>
          <w:szCs w:val="18"/>
          <w:color w:val="auto"/>
        </w:rPr>
        <w:t>decreased by $9.6 million to net finance expenses of $1.3 million for the year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net finance expenses of $10.9 million for the year ended December 31, 2020. The decrease in net finance expenses was primarily due to an increase in net foreign exchange gains of $12.3 million. The foreign exchange gains and losses are mainly related to the revaluation of external and intercompany financing arrangements. The decrease in net finance expenses is partially offset by $3.6 million in increased lease interest expenses relating to our new leasing arrangements for production facilities in the UK, China, and US. There was also an increase of $3.0 million in loan interest expenses compared to the prior year, and a decrease of $2.1 million in interest expenses relating to shareholder loans which were completely settled during 2021.</w:t>
      </w:r>
    </w:p>
    <w:p>
      <w:pPr>
        <w:spacing w:after="0" w:line="142"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benefit/(expense) </w:t>
      </w:r>
      <w:r>
        <w:rPr>
          <w:rFonts w:ascii="Times New Roman" w:cs="Times New Roman" w:eastAsia="Times New Roman" w:hAnsi="Times New Roman"/>
          <w:sz w:val="18"/>
          <w:szCs w:val="18"/>
          <w:color w:val="auto"/>
        </w:rPr>
        <w:t>decreased by $5.1 million, or 210%, to a benefit of $2.7 million for the year ended December 31, 2021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$2.4 million for the year ended December 31, 2020. Current tax expenses primarily represent income taxes based on income in multiple foreign jurisdictions. In the twelve-month period ended December 31, 2021, Oatly Group had a negative effective tax rate (“ETR”) of 1.23% based on a total pre-tax loss of $215.0 million. Unrecognized tax losses in Sweden is one of the main drivers of the ETR.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ind w:right="140" w:firstLine="864"/>
        <w:spacing w:after="0" w:line="266" w:lineRule="auto"/>
        <w:rPr>
          <w:sz w:val="20"/>
          <w:szCs w:val="20"/>
          <w:color w:val="auto"/>
        </w:rPr>
      </w:pPr>
      <w:r>
        <w:rPr>
          <w:rFonts w:ascii="Times New Roman" w:cs="Times New Roman" w:eastAsia="Times New Roman" w:hAnsi="Times New Roman"/>
          <w:sz w:val="18"/>
          <w:szCs w:val="18"/>
          <w:color w:val="auto"/>
        </w:rPr>
        <w:t>To date, we have not experienced any pronounced seasonality, but such fluctuations may have been masked by our rapid growth and impacted by COVID consumption dynamics. As our company continues to grow, we expect to see additional seasonality effects, especially within our food retail channel, with revenue contribution from this channel tending to be linked with holiday season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02" w:lineRule="exact"/>
        <w:rPr>
          <w:sz w:val="20"/>
          <w:szCs w:val="20"/>
          <w:color w:val="auto"/>
        </w:rPr>
      </w:pPr>
    </w:p>
    <w:p>
      <w:pPr>
        <w:ind w:right="860" w:firstLine="864"/>
        <w:spacing w:after="0" w:line="282" w:lineRule="auto"/>
        <w:rPr>
          <w:sz w:val="20"/>
          <w:szCs w:val="20"/>
          <w:color w:val="auto"/>
        </w:rPr>
      </w:pPr>
      <w:r>
        <w:rPr>
          <w:rFonts w:ascii="Times New Roman" w:cs="Times New Roman" w:eastAsia="Times New Roman" w:hAnsi="Times New Roman"/>
          <w:sz w:val="18"/>
          <w:szCs w:val="18"/>
          <w:color w:val="auto"/>
        </w:rPr>
        <w:t>We use EBITDA and Adjusted EBITDA as non-IFRS financial measure in assessing our operating performance and in our financial communications:</w:t>
      </w:r>
    </w:p>
    <w:p>
      <w:pPr>
        <w:spacing w:after="0" w:line="121"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attributable to shareholders of the parent adjusted to exclude, when applicable, income tax expense, finance expenses, finance income, depreciation and amortization expense.</w:t>
      </w:r>
    </w:p>
    <w:p>
      <w:pPr>
        <w:spacing w:after="0" w:line="121" w:lineRule="exact"/>
        <w:rPr>
          <w:sz w:val="20"/>
          <w:szCs w:val="20"/>
          <w:color w:val="auto"/>
        </w:rPr>
      </w:pPr>
    </w:p>
    <w:p>
      <w:pPr>
        <w:ind w:right="20" w:firstLine="864"/>
        <w:spacing w:after="0" w:line="266" w:lineRule="auto"/>
        <w:rPr>
          <w:sz w:val="20"/>
          <w:szCs w:val="20"/>
          <w:color w:val="auto"/>
        </w:rPr>
      </w:pPr>
      <w:r>
        <w:rPr>
          <w:rFonts w:ascii="Times New Roman" w:cs="Times New Roman" w:eastAsia="Times New Roman" w:hAnsi="Times New Roman"/>
          <w:sz w:val="18"/>
          <w:szCs w:val="18"/>
          <w:color w:val="auto"/>
        </w:rPr>
        <w:t>“Adjusted EBITDA” is defined as loss for the period attributable to shareholders of the parent adjusted to exclude, when applicable, income tax expense, finance expenses, finance income, depreciation and amortization expense, share-based compensation expense, product recall expenses, asset impairment charge and IPO preparation and transaction costs.</w:t>
      </w:r>
    </w:p>
    <w:p>
      <w:pPr>
        <w:spacing w:after="0" w:line="149"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attributable to shareholders of the parent, which is the most directly comparable IFRS measure. Some of these limitations are:</w:t>
      </w:r>
    </w:p>
    <w:p>
      <w:pPr>
        <w:spacing w:after="0" w:line="135" w:lineRule="exact"/>
        <w:rPr>
          <w:sz w:val="20"/>
          <w:szCs w:val="20"/>
          <w:color w:val="auto"/>
        </w:rPr>
      </w:pPr>
    </w:p>
    <w:p>
      <w:pPr>
        <w:ind w:left="1300" w:right="800" w:hanging="442"/>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2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84" w:lineRule="exact"/>
        <w:rPr>
          <w:rFonts w:ascii="Times New Roman" w:cs="Times New Roman" w:eastAsia="Times New Roman" w:hAnsi="Times New Roman"/>
          <w:sz w:val="18"/>
          <w:szCs w:val="18"/>
          <w:color w:val="auto"/>
        </w:rPr>
      </w:pPr>
    </w:p>
    <w:p>
      <w:pPr>
        <w:ind w:left="1300" w:right="120" w:hanging="442"/>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12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IPO preparation and transaction costs that reduce cash available to us;</w:t>
      </w:r>
    </w:p>
    <w:p>
      <w:pPr>
        <w:spacing w:after="0" w:line="184" w:lineRule="exact"/>
        <w:rPr>
          <w:rFonts w:ascii="Times New Roman" w:cs="Times New Roman" w:eastAsia="Times New Roman" w:hAnsi="Times New Roman"/>
          <w:sz w:val="18"/>
          <w:szCs w:val="18"/>
          <w:color w:val="auto"/>
        </w:rPr>
      </w:pPr>
    </w:p>
    <w:p>
      <w:pPr>
        <w:ind w:left="1300" w:right="160" w:hanging="442"/>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tangible asset impairment expenses and although these are non-cash expenses, the impaired asset may have to be replaced in the future increasing our cash requirements; and</w:t>
      </w:r>
    </w:p>
    <w:p>
      <w:pPr>
        <w:spacing w:after="0" w:line="121" w:lineRule="exact"/>
        <w:rPr>
          <w:rFonts w:ascii="Times New Roman" w:cs="Times New Roman" w:eastAsia="Times New Roman" w:hAnsi="Times New Roman"/>
          <w:sz w:val="18"/>
          <w:szCs w:val="18"/>
          <w:color w:val="auto"/>
        </w:rPr>
      </w:pPr>
    </w:p>
    <w:p>
      <w:pPr>
        <w:ind w:left="1300" w:right="220" w:hanging="442"/>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product recall expenses incurred in EMEA during the fourth quarter and although the product recall expenses to a large extent were non-cash expenses, the recalled products will have to be replaced in the future increasing our cash requirements;</w:t>
      </w:r>
    </w:p>
    <w:p>
      <w:pPr>
        <w:spacing w:after="0" w:line="135" w:lineRule="exact"/>
        <w:rPr>
          <w:sz w:val="20"/>
          <w:szCs w:val="20"/>
          <w:color w:val="auto"/>
        </w:rPr>
      </w:pPr>
    </w:p>
    <w:p>
      <w:pPr>
        <w:ind w:right="180" w:firstLine="864"/>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attributable to shareholders of the parent, the most directly comparable financial measure calculated and presented in accordance with IFRS, for the period presented.</w:t>
      </w:r>
    </w:p>
    <w:p>
      <w:pPr>
        <w:spacing w:after="0" w:line="29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6"/>
        </w:trPr>
        <w:tc>
          <w:tcPr>
            <w:tcW w:w="7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8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 attributable to shareholders of the parent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(212,393)</w:t>
            </w: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(60,361)</w:t>
            </w:r>
          </w:p>
        </w:tc>
      </w:t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(2,655)</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9"/>
                <w:szCs w:val="19"/>
                <w:color w:val="auto"/>
              </w:rPr>
            </w:pPr>
          </w:p>
        </w:tc>
      </w:tr>
      <w:tr>
        <w:trPr>
          <w:trHeight w:val="230"/>
        </w:trPr>
        <w:tc>
          <w:tcPr>
            <w:tcW w:w="8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00" w:type="dxa"/>
            <w:vAlign w:val="bottom"/>
            <w:shd w:val="clear" w:color="auto" w:fill="CFF0FC"/>
          </w:tcPr>
          <w:p>
            <w:pPr>
              <w:spacing w:after="0"/>
              <w:rPr>
                <w:sz w:val="19"/>
                <w:szCs w:val="19"/>
                <w:color w:val="auto"/>
              </w:rPr>
            </w:pPr>
          </w:p>
        </w:tc>
      </w:t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tcPr>
          <w:p>
            <w:pPr>
              <w:spacing w:after="0"/>
              <w:rPr>
                <w:sz w:val="19"/>
                <w:szCs w:val="19"/>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(186,521)</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(33,975)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r>
      <w:tr>
        <w:trPr>
          <w:trHeight w:val="230"/>
        </w:trPr>
        <w:tc>
          <w:tcPr>
            <w:tcW w:w="8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recall expenses</w:t>
            </w:r>
            <w:r>
              <w:rPr>
                <w:rFonts w:ascii="Times New Roman" w:cs="Times New Roman" w:eastAsia="Times New Roman" w:hAnsi="Times New Roman"/>
                <w:sz w:val="15"/>
                <w:szCs w:val="15"/>
                <w:color w:val="auto"/>
              </w:rPr>
              <w:t>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charge</w:t>
            </w:r>
            <w:r>
              <w:rPr>
                <w:rFonts w:ascii="Times New Roman" w:cs="Times New Roman" w:eastAsia="Times New Roman" w:hAnsi="Times New Roman"/>
                <w:sz w:val="15"/>
                <w:szCs w:val="15"/>
                <w:color w:val="auto"/>
              </w:rPr>
              <w:t>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preparation and transaction costs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(146,977)</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(32,282)</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right="120" w:hanging="572"/>
        <w:spacing w:after="0" w:line="261" w:lineRule="auto"/>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recall of products in Sweden as previously communicated on November 17, 2021. See the Company’s Form 6-K filed on November 17, 2021.</w:t>
      </w:r>
    </w:p>
    <w:p>
      <w:pPr>
        <w:ind w:left="580" w:right="440" w:hanging="572"/>
        <w:spacing w:after="0" w:line="260" w:lineRule="auto"/>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 asset impairment charge of certain production equipment at our Landskrona production facility in Sweden for which we have no alternative use.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jc w:val="both"/>
        <w:ind w:right="120" w:firstLine="864"/>
        <w:spacing w:after="0" w:line="266" w:lineRule="auto"/>
        <w:rPr>
          <w:sz w:val="20"/>
          <w:szCs w:val="20"/>
          <w:color w:val="auto"/>
        </w:rPr>
      </w:pPr>
      <w:r>
        <w:rPr>
          <w:rFonts w:ascii="Times New Roman" w:cs="Times New Roman" w:eastAsia="Times New Roman" w:hAnsi="Times New Roman"/>
          <w:sz w:val="18"/>
          <w:szCs w:val="18"/>
          <w:color w:val="auto"/>
        </w:rPr>
        <w:t>Our operating segments are reported in a manner consistent with the internal reporting provided to the chief operating decision maker, who is our CEO. Our operating segments and reportable segments are EMEA, Asia and Americas. The CEO primarily uses a measure of earnings before interest, tax, depreciation and amortization (“EBITDA”) to assess the performance of the operating segments.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200" w:type="dxa"/>
            <w:vAlign w:val="bottom"/>
          </w:tcPr>
          <w:p>
            <w:pPr>
              <w:spacing w:after="0"/>
              <w:rPr>
                <w:sz w:val="13"/>
                <w:szCs w:val="13"/>
                <w:color w:val="auto"/>
              </w:rPr>
            </w:pPr>
          </w:p>
        </w:tc>
        <w:tc>
          <w:tcPr>
            <w:tcW w:w="1180" w:type="dxa"/>
            <w:vAlign w:val="bottom"/>
            <w:tcBorders>
              <w:bottom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EMEA</w:t>
            </w:r>
          </w:p>
        </w:tc>
        <w:tc>
          <w:tcPr>
            <w:tcW w:w="1180" w:type="dxa"/>
            <w:vAlign w:val="bottom"/>
            <w:tcBorders>
              <w:bottom w:val="single" w:sz="8" w:color="auto"/>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Americas</w:t>
            </w:r>
          </w:p>
        </w:tc>
        <w:tc>
          <w:tcPr>
            <w:tcW w:w="1200" w:type="dxa"/>
            <w:vAlign w:val="bottom"/>
            <w:tcBorders>
              <w:bottom w:val="single" w:sz="8" w:color="auto"/>
            </w:tcBorders>
            <w:gridSpan w:val="2"/>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Asia</w:t>
            </w:r>
          </w:p>
        </w:tc>
        <w:tc>
          <w:tcPr>
            <w:tcW w:w="1180" w:type="dxa"/>
            <w:vAlign w:val="bottom"/>
            <w:tcBorders>
              <w:bottom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tcBorders>
              <w:bottom w:val="single" w:sz="8" w:color="auto"/>
            </w:tcBorders>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4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4"/>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336,452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179,830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126,908</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643,190</w:t>
            </w:r>
          </w:p>
        </w:tc>
        <w:tc>
          <w:tcPr>
            <w:tcW w:w="10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89,460</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(90,368)</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425,912</w:t>
            </w:r>
          </w:p>
        </w:tc>
        <w:tc>
          <w:tcPr>
            <w:tcW w:w="2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180,738</w:t>
            </w:r>
          </w:p>
        </w:tc>
        <w:tc>
          <w:tcPr>
            <w:tcW w:w="2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126,908</w:t>
            </w:r>
          </w:p>
        </w:tc>
        <w:tc>
          <w:tcPr>
            <w:tcW w:w="2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(90,368)</w:t>
            </w:r>
          </w:p>
        </w:tc>
        <w:tc>
          <w:tcPr>
            <w:tcW w:w="2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643,190</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21,959</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(44,560)</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(16,480)</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(107,896)</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(146,977)</w:t>
            </w:r>
          </w:p>
        </w:tc>
        <w:tc>
          <w:tcPr>
            <w:tcW w:w="10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10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recall expenses</w:t>
            </w:r>
            <w:r>
              <w:rPr>
                <w:rFonts w:ascii="Times New Roman" w:cs="Times New Roman" w:eastAsia="Times New Roman" w:hAnsi="Times New Roman"/>
                <w:sz w:val="15"/>
                <w:szCs w:val="15"/>
                <w:color w:val="auto"/>
              </w:rPr>
              <w:t>1</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(1,654)</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(1,654)</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w:t>
            </w:r>
            <w:r>
              <w:rPr>
                <w:rFonts w:ascii="Times New Roman" w:cs="Times New Roman" w:eastAsia="Times New Roman" w:hAnsi="Times New Roman"/>
                <w:sz w:val="15"/>
                <w:szCs w:val="15"/>
                <w:color w:val="auto"/>
              </w:rPr>
              <w:t>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(4,970)</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(4,970)</w:t>
            </w: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preparation and transaction costs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(9,288)</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(9,288)</w:t>
            </w:r>
          </w:p>
        </w:tc>
      </w:tr>
      <w:tr>
        <w:trPr>
          <w:trHeight w:val="223"/>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11,555</w:t>
            </w:r>
          </w:p>
        </w:tc>
        <w:tc>
          <w:tcPr>
            <w:tcW w:w="2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(47,523)</w:t>
            </w:r>
          </w:p>
        </w:tc>
        <w:tc>
          <w:tcPr>
            <w:tcW w:w="2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(20,672)</w:t>
            </w:r>
          </w:p>
        </w:tc>
        <w:tc>
          <w:tcPr>
            <w:tcW w:w="2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(129,881)</w:t>
            </w:r>
          </w:p>
        </w:tc>
        <w:tc>
          <w:tcPr>
            <w:tcW w:w="2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(186,521)</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(15,740)</w:t>
            </w: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(27,222)</w:t>
            </w: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(215,048)</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4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200" w:type="dxa"/>
            <w:vAlign w:val="bottom"/>
          </w:tcPr>
          <w:p>
            <w:pPr>
              <w:spacing w:after="0"/>
              <w:rPr>
                <w:sz w:val="13"/>
                <w:szCs w:val="13"/>
                <w:color w:val="auto"/>
              </w:rPr>
            </w:pPr>
          </w:p>
        </w:tc>
        <w:tc>
          <w:tcPr>
            <w:tcW w:w="1180" w:type="dxa"/>
            <w:vAlign w:val="bottom"/>
            <w:tcBorders>
              <w:bottom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EMEA</w:t>
            </w:r>
          </w:p>
        </w:tc>
        <w:tc>
          <w:tcPr>
            <w:tcW w:w="1180" w:type="dxa"/>
            <w:vAlign w:val="bottom"/>
            <w:tcBorders>
              <w:bottom w:val="single" w:sz="8" w:color="auto"/>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Americas</w:t>
            </w:r>
          </w:p>
        </w:tc>
        <w:tc>
          <w:tcPr>
            <w:tcW w:w="1200" w:type="dxa"/>
            <w:vAlign w:val="bottom"/>
            <w:tcBorders>
              <w:bottom w:val="single" w:sz="8" w:color="auto"/>
            </w:tcBorders>
            <w:gridSpan w:val="2"/>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Asia</w:t>
            </w:r>
          </w:p>
        </w:tc>
        <w:tc>
          <w:tcPr>
            <w:tcW w:w="1180" w:type="dxa"/>
            <w:vAlign w:val="bottom"/>
            <w:tcBorders>
              <w:bottom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tcBorders>
              <w:bottom w:val="single" w:sz="8" w:color="auto"/>
            </w:tcBorders>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4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4"/>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99,997</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53,663</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421,351</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35,208</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(35,438)</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302,899</w:t>
            </w:r>
          </w:p>
        </w:tc>
        <w:tc>
          <w:tcPr>
            <w:tcW w:w="2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100,227</w:t>
            </w:r>
          </w:p>
        </w:tc>
        <w:tc>
          <w:tcPr>
            <w:tcW w:w="2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53,663</w:t>
            </w:r>
          </w:p>
        </w:tc>
        <w:tc>
          <w:tcPr>
            <w:tcW w:w="2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(35,438)</w:t>
            </w:r>
          </w:p>
        </w:tc>
        <w:tc>
          <w:tcPr>
            <w:tcW w:w="2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421,351</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39,456</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(25,117)</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(2,141)</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(44,480)</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(32,282)</w:t>
            </w:r>
          </w:p>
        </w:tc>
        <w:tc>
          <w:tcPr>
            <w:tcW w:w="10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preparation and transaction costs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(679)</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w:t>
            </w:r>
          </w:p>
        </w:tc>
      </w:tr>
      <w:tr>
        <w:trPr>
          <w:trHeight w:val="223"/>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39,456</w:t>
            </w:r>
          </w:p>
        </w:tc>
        <w:tc>
          <w:tcPr>
            <w:tcW w:w="2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(25,117)</w:t>
            </w:r>
          </w:p>
        </w:tc>
        <w:tc>
          <w:tcPr>
            <w:tcW w:w="2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(2,141)</w:t>
            </w:r>
          </w:p>
        </w:tc>
        <w:tc>
          <w:tcPr>
            <w:tcW w:w="2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(46,173)</w:t>
            </w:r>
          </w:p>
        </w:tc>
        <w:tc>
          <w:tcPr>
            <w:tcW w:w="2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(33,975)</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(11,372)</w:t>
            </w: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(13,118)</w:t>
            </w: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(57,950)</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consists of general overhead costs not allocated to the segments.</w:t>
      </w:r>
    </w:p>
    <w:p>
      <w:pPr>
        <w:spacing w:after="0" w:line="27" w:lineRule="exact"/>
        <w:rPr>
          <w:sz w:val="20"/>
          <w:szCs w:val="20"/>
          <w:color w:val="auto"/>
        </w:rPr>
      </w:pPr>
    </w:p>
    <w:p>
      <w:pPr>
        <w:ind w:left="580" w:hanging="572"/>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refer to intersegment revenue for sales of products from EMEA and Americas to Asia.</w:t>
      </w:r>
    </w:p>
    <w:p>
      <w:pPr>
        <w:spacing w:after="0" w:line="9" w:lineRule="exact"/>
        <w:rPr>
          <w:sz w:val="20"/>
          <w:szCs w:val="20"/>
          <w:color w:val="auto"/>
        </w:rPr>
      </w:pPr>
    </w:p>
    <w:p>
      <w:pPr>
        <w:ind w:left="580" w:right="120" w:hanging="572"/>
        <w:spacing w:after="0" w:line="250" w:lineRule="auto"/>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recall of products in Sweden as previously communicated on November 17, 2021. See the Company’s Form 6-K filed on November 17, 2021.</w:t>
      </w:r>
    </w:p>
    <w:p>
      <w:pPr>
        <w:ind w:left="580" w:right="440" w:hanging="572"/>
        <w:spacing w:after="0" w:line="260" w:lineRule="auto"/>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 asset impairment charge of certain production equipment at our Landskrona production facility in Sweden for which we have no alternative use. Of the $5.0 million, $4.3 million relates to property, plant and equipment and $0.7 million relates to leases.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89"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are permitted to and rely on certain reduced reporting and other requirements that are otherwise generally applicable to public companies. As an emerging growth company, we are not required to, among other things, (i) provide an auditor’s attestation report on our system of internal controls over financial reporting pursuant to Section 404(b) of the Sarbanes-Oxley Act, which would otherwise be required beginning with our second annual report on Form 20-F,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189"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by the issuance of equity securities and from borrowings. Our primary requirements for liquidity and capital are to finance working capital, capital expenditures, to invest in our organizational capabilities to support our growth and for general corporate purposes. We expect to continue to use this combination of financing in addition to proceeds from our initial public offering to fund our continued expansion. We expect our net capital expenditures for 2022 to be in the range of $400 million to $500 million, related primarily to our third generation production facilities in each of our three segments. The amount and allocation of our future capital expenditures depend on several factors, and our strategic investment priorities may change. Any delays in our expected increase in production capacity, including as a result of the COVID-19 pandemic, could delay future capital expenditures. We believe that our sources of liquidity and capital will be sufficient to meet our existing business needs for at least the next 12 months.</w:t>
      </w:r>
    </w:p>
    <w:p>
      <w:pPr>
        <w:spacing w:after="0" w:line="151"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short term investments and our credit facilities. As of December 31, 2021, we had cash and cash equivalents of $295.6 million. Our cash and cash equivalents consist of cash in bank accounts and short-term deposits. Short-term deposits are time deposits and structured deposits.</w:t>
      </w:r>
    </w:p>
    <w:p>
      <w:pPr>
        <w:spacing w:after="0" w:line="149"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In addition to the cash and cash equivalents, we have short-term investments with low risk and high liquidity. The investment portfolio consists of funds, bonds and certificates in USD and SEK with a market value equivalent of $249.9 million. Funds consist of primarily “money market funds”, i.e. a kind of mutual fund that invests in highly liquid, near-term instruments and high-credit-rating debt-based securities with a short-term maturity. Bonds and certificates consist of corporate bonds and commercial papers.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to the above, we had access to $391.1 million in undrawn bank facilities as of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02" w:lineRule="exact"/>
        <w:rPr>
          <w:sz w:val="20"/>
          <w:szCs w:val="20"/>
          <w:color w:val="auto"/>
        </w:rPr>
      </w:pPr>
    </w:p>
    <w:p>
      <w:pPr>
        <w:ind w:right="60" w:firstLine="864"/>
        <w:spacing w:after="0" w:line="266" w:lineRule="auto"/>
        <w:rPr>
          <w:sz w:val="20"/>
          <w:szCs w:val="20"/>
          <w:color w:val="auto"/>
        </w:rPr>
      </w:pPr>
      <w:r>
        <w:rPr>
          <w:rFonts w:ascii="Times New Roman" w:cs="Times New Roman" w:eastAsia="Times New Roman" w:hAnsi="Times New Roman"/>
          <w:sz w:val="18"/>
          <w:szCs w:val="18"/>
          <w:color w:val="auto"/>
        </w:rPr>
        <w:t>In October 2019, we entered into a European Investment Fund guaranteed three-year term loan facility of €7.5 million with Svensk Exportkredit (the “EIF Facility”). The EIF Facility bears interest at EURIBOR + 2.75%. As of December 31, 2021, we had €4.7 million outstanding on the EIF Facility.</w:t>
      </w:r>
    </w:p>
    <w:p>
      <w:pPr>
        <w:spacing w:after="0" w:line="135" w:lineRule="exact"/>
        <w:rPr>
          <w:sz w:val="20"/>
          <w:szCs w:val="20"/>
          <w:color w:val="auto"/>
        </w:rPr>
      </w:pPr>
    </w:p>
    <w:p>
      <w:pPr>
        <w:ind w:right="440" w:firstLine="864"/>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a credit agreement with Israel Discount Bank of New York (as amended in December 2020, the “IDB Facility”) for a total amount of $15 million. The IDB Facility was pre-terminated in June 2021.</w:t>
      </w:r>
    </w:p>
    <w:p>
      <w:pPr>
        <w:spacing w:after="0" w:line="121"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In March 2020, we entered into a Subordinated Bridge Facilities Agreement with our majority shareholders that provided for three separate term loan facilities: one facility for SEK 145.2 million and two facilities for a total of €65.6 million (as amended, the “Bridge Facilities”). Of the $115.0 million aggregate principal amount of the Bridge Facilities outstanding, upon consummation of our initial public offering, $10.9 million was repaid in cash, and the remainder was converted into 6,124,004 ordinary shares.</w:t>
      </w:r>
    </w:p>
    <w:p>
      <w:pPr>
        <w:spacing w:after="0" w:line="153" w:lineRule="exact"/>
        <w:rPr>
          <w:sz w:val="20"/>
          <w:szCs w:val="20"/>
          <w:color w:val="auto"/>
        </w:rPr>
      </w:pPr>
    </w:p>
    <w:p>
      <w:pPr>
        <w:ind w:right="360" w:firstLine="864"/>
        <w:spacing w:after="0" w:line="266" w:lineRule="auto"/>
        <w:rPr>
          <w:sz w:val="20"/>
          <w:szCs w:val="20"/>
          <w:color w:val="auto"/>
        </w:rPr>
      </w:pPr>
      <w:r>
        <w:rPr>
          <w:rFonts w:ascii="Times New Roman" w:cs="Times New Roman" w:eastAsia="Times New Roman" w:hAnsi="Times New Roman"/>
          <w:sz w:val="18"/>
          <w:szCs w:val="18"/>
          <w:color w:val="auto"/>
        </w:rPr>
        <w:t>In June 2020, we entered into a Sustainability Linked Loan agreement (the “SLL Agreement”) with Nordea Bank Abp, filial i Sverige, Coöperatieve Rabobank U.A., BNP Paribas SA, Bankfilial Sverige and Svensk Exportkredit including a term loan of SEK 725 million and a revolving credit facility of SEK 1.2 billion with an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accordion option of another SEK 1 billion, subject to the fulfillment of certain conditions as well as at the lenders’ discretion. We repaid all amounts outstanding under the SLL Agreement in connection with our initial public offering in May 2021, and the SLL Agreement was replaced by the SRCF Agreement described below.</w:t>
      </w:r>
    </w:p>
    <w:p>
      <w:pPr>
        <w:spacing w:after="0" w:line="149" w:lineRule="exact"/>
        <w:rPr>
          <w:sz w:val="20"/>
          <w:szCs w:val="20"/>
          <w:color w:val="auto"/>
        </w:rPr>
      </w:pPr>
    </w:p>
    <w:p>
      <w:pPr>
        <w:ind w:firstLine="864"/>
        <w:spacing w:after="0" w:line="252" w:lineRule="auto"/>
        <w:rPr>
          <w:sz w:val="20"/>
          <w:szCs w:val="20"/>
          <w:color w:val="auto"/>
        </w:rPr>
      </w:pPr>
      <w:r>
        <w:rPr>
          <w:rFonts w:ascii="Times New Roman" w:cs="Times New Roman" w:eastAsia="Times New Roman" w:hAnsi="Times New Roman"/>
          <w:sz w:val="18"/>
          <w:szCs w:val="18"/>
          <w:color w:val="auto"/>
        </w:rPr>
        <w:t>On April 14, 2021, we entered into a Sustainable Revolving Credit Facility Agreement (the “SRCF Agreement”) with BNP Paribas SA, Bankfilial Sverige, Cooperative Rabobank U.A., Nordea Bank ABP, Filial I Sverige and Skandinaviska Enskilda Banken AB (publ) as Bookrunning Mandated Lead Arrangers, Barclays Bank Ireland PLC, J.P. Morgan AG and Morgan Stanley Bank International Limited as Mandated Lead Arrangers and Credit Suisse (Deutschland) Aktiengesellschaft as Lead Arranger and Skandinaviska Enskilda Banken AB (publ) as Agent and Security Agent, including a multicurrency revolving credit facility of SEK 3.6 billion (equivalent of $397.8 million) with an accordion option of another SEK 850 million (equivalent of $93.9 million), subject to the fulfilment of certain conditions and at the lenders’ discretion. The SRCF Agreement replaced the SLL Agreement at the closing of our IPO. The initial term of the SRCF Agreement is three years from the settlement date of our IPO, with an option to extend twice, for one additional year each at the lenders’ discretion. Borrowings under the SRCF Agreement are repayable at the end of the interest period to which that loan relates and carry an interest rate of the aggregate of the applicable margin and SONIA, LIBOR (with a rate switch to SOFR), STIBOR or EURIBOR, depending on the denominated currency, amounts loaned and if the denominated currency is a rate switch currency. Under the SRCF Agreement, we are subject to ongoing covenants such as tangible solvency, minimum EBITDA and liquidity requirements and, subject to the exercise of our conversion right relating to such covenants, total net leverage ratio. The covenant conversion right is subject to the provision of notice and no Event of Default (as defined in the SRCF Agreement) continuing at the relevant time, and it may be exercised at our discretion from December 31, 2023, and following such conversion, the existing tangible solvency, minimum EBITDA and liquidity covenants will fall away and be replaced with a total net leverage ratio. The SRCF Agreement also contains limitations on our ability to pay dividends until we exercise our covenant conversion right. Furthermore, we are subject to non-financial covenants linked to sustainability measures.</w:t>
      </w:r>
    </w:p>
    <w:p>
      <w:pPr>
        <w:spacing w:after="0" w:line="154" w:lineRule="exact"/>
        <w:rPr>
          <w:sz w:val="20"/>
          <w:szCs w:val="20"/>
          <w:color w:val="auto"/>
        </w:rPr>
      </w:pPr>
    </w:p>
    <w:p>
      <w:pPr>
        <w:ind w:right="80" w:firstLine="864"/>
        <w:spacing w:after="0" w:line="255" w:lineRule="auto"/>
        <w:rPr>
          <w:sz w:val="20"/>
          <w:szCs w:val="20"/>
          <w:color w:val="auto"/>
        </w:rPr>
      </w:pPr>
      <w:r>
        <w:rPr>
          <w:rFonts w:ascii="Times New Roman" w:cs="Times New Roman" w:eastAsia="Times New Roman" w:hAnsi="Times New Roman"/>
          <w:sz w:val="18"/>
          <w:szCs w:val="18"/>
          <w:color w:val="auto"/>
        </w:rPr>
        <w:t>On March 28, 2022, the SRCF Agreement was amended for the purpose of, among other things, (i) postponing the application of the minimum EBITDA financial covenant from the third quarter of 2022 to (A) the second quarter of 2023 or (B) provided that the Group has successfully raised capital of at least $400 million by December 31, 2022, the second quarter of 2024, (ii) lowering the applicable tangible solvency ratio financial covenant levels, and (iii) introducing further restrictions on dividends from the Company stipulating that, following the exercise of the covenant conversion right, in addition to the requirement that no Event of Default (as defined in the SRCF Agreement) is outstanding or would occur immediately thereafter, any dividend from the Company is subject to the total net leverage ratio being equal to or less than 1.00:1 immediately before and after the making of such dividend.</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160" w:firstLine="864"/>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43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71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5"/>
        </w:trPr>
        <w:tc>
          <w:tcPr>
            <w:tcW w:w="43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right"/>
              <w:ind w:right="7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3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(213,832)</w:t>
            </w:r>
          </w:p>
        </w:tc>
        <w:tc>
          <w:tcPr>
            <w:tcW w:w="56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(44,308)</w:t>
            </w: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(544,328)</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(141,373)</w:t>
            </w: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3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955,797</w:t>
            </w:r>
          </w:p>
        </w:tc>
        <w:tc>
          <w:tcPr>
            <w:tcW w:w="56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273,907</w:t>
            </w:r>
          </w:p>
        </w:tc>
        <w:tc>
          <w:tcPr>
            <w:tcW w:w="100" w:type="dxa"/>
            <w:vAlign w:val="bottom"/>
            <w:shd w:val="clear" w:color="auto" w:fill="CFF0FC"/>
          </w:tcPr>
          <w:p>
            <w:pPr>
              <w:spacing w:after="0"/>
              <w:rPr>
                <w:sz w:val="19"/>
                <w:szCs w:val="19"/>
                <w:color w:val="auto"/>
              </w:rPr>
            </w:pPr>
          </w:p>
        </w:tc>
      </w:tr>
      <w:tr>
        <w:trPr>
          <w:trHeight w:val="837"/>
        </w:trPr>
        <w:tc>
          <w:tcPr>
            <w:tcW w:w="4300" w:type="dxa"/>
            <w:vAlign w:val="bottom"/>
          </w:tcPr>
          <w:p>
            <w:pPr>
              <w:spacing w:after="0"/>
              <w:rPr>
                <w:sz w:val="24"/>
                <w:szCs w:val="24"/>
                <w:color w:val="auto"/>
              </w:rPr>
            </w:pPr>
          </w:p>
        </w:tc>
        <w:tc>
          <w:tcPr>
            <w:tcW w:w="348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89" w:lineRule="exact"/>
        <w:rPr>
          <w:sz w:val="20"/>
          <w:szCs w:val="20"/>
          <w:color w:val="auto"/>
        </w:rPr>
      </w:pPr>
    </w:p>
    <w:p>
      <w:pPr>
        <w:ind w:right="60" w:firstLine="86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by $169.5 million to $213.8 million for the year ended December 31, 2021 from $44.3 million for the year ended December 31, 2020, which was primarily driven by a loss from operations as we continue to invest and scale our business to support our growth.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jc w:val="both"/>
        <w:ind w:right="140" w:firstLine="86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by $403.0 million to $544.3 million for the year ended December 31, 2021 from $141.4 million for the year ended December 31, 2020, which was primarily driven by net purchase of short-term investments of $267.3 million and an increase of $139.5 million in investments in our production capacity to meet the growing demand for our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02"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increased by $681.9 million to $955.8 million for the year ended December 31, 2021 from $273.9 million for the year ended December 31, 2020. The increase in cash was due primarily to the net proceeds of $1,037.3 million from our initial public offering, proceeds from the exercise of warrants of $38.5 million, partially offset by a net decrease of liabilities to credit institutions and shareholders of $105.8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suppliers, primarily for production and packaging services. These contracts contain minimum purchase commitments. The commitments are associated with contracts that are enforceable and legally binding and that specify all significant terms, including fixed or minimum services to be used and fixed, minimum or variable price provisions. Historically, the Group’s annual purchase volumes have exceeded the minimum purchase commitments. For the year ended December 31, 2021, the Group had volume shortfalls during the transition to, and ramp-up of, new production facilities. The financial impact of the volume shortfalls was not material.</w:t>
      </w:r>
    </w:p>
    <w:p>
      <w:pPr>
        <w:spacing w:after="0" w:line="146" w:lineRule="exact"/>
        <w:rPr>
          <w:sz w:val="20"/>
          <w:szCs w:val="20"/>
          <w:color w:val="auto"/>
        </w:rPr>
      </w:pPr>
    </w:p>
    <w:p>
      <w:pPr>
        <w:ind w:right="20" w:firstLine="864"/>
        <w:spacing w:after="0" w:line="253" w:lineRule="auto"/>
        <w:rPr>
          <w:sz w:val="20"/>
          <w:szCs w:val="20"/>
          <w:color w:val="auto"/>
        </w:rPr>
      </w:pPr>
      <w:r>
        <w:rPr>
          <w:rFonts w:ascii="Times New Roman" w:cs="Times New Roman" w:eastAsia="Times New Roman" w:hAnsi="Times New Roman"/>
          <w:sz w:val="18"/>
          <w:szCs w:val="18"/>
          <w:color w:val="auto"/>
        </w:rPr>
        <w:t>In addition, we have entered lease agreements for offices, production facilities and production equipment. Lease terms for properties are generally between one and ten years, except for our Ogden, Utah production facility, where extension options of 30 years have been included resulting in a total lease period of 40 years, for our Fort Worth, Texas production facility with a 20-year lease period, and for our Peterborough, UK production facility with a total lease period of 40 years having included two extension options of 10 years each. Furthermore, we have a lease agreement for land in China (Asia III) with a lease term of 50 years. Lease terms for production equipment are generally between one and seven years. Most of the extension and termination options held are exercisable only by us and not by the respective lessor. We have one lease agreement regarding production equipment in Ma’anshan, China under which our obligations collectively amount to $8.0 million for a term of six years, and the commencement date is expected to be in the first half of 2022. For our Ogden facility, we modified the lease agreement regarding the addition of two buildings and amended the original lease term. One of the two additional building leases commenced in June 2021. The second additional building lease has a commencement date of December 31, 2022, and the lease term, if all extension options are exercised, is 40 years and our obligation amounts to approximately $27.9 million for the fully extended lease term. We have one lease agreement regarding R&amp;D premises in Lund, Sweden under which the Group’s obligation amounts to $13.8 million for a lease term of 15 years and the commencement date is September 1, 2023.</w:t>
      </w:r>
    </w:p>
    <w:p>
      <w:pPr>
        <w:spacing w:after="0" w:line="163" w:lineRule="exact"/>
        <w:rPr>
          <w:sz w:val="20"/>
          <w:szCs w:val="20"/>
          <w:color w:val="auto"/>
        </w:rPr>
      </w:pPr>
    </w:p>
    <w:p>
      <w:pPr>
        <w:ind w:right="880" w:firstLine="864"/>
        <w:spacing w:after="0" w:line="312" w:lineRule="auto"/>
        <w:rPr>
          <w:sz w:val="20"/>
          <w:szCs w:val="20"/>
          <w:color w:val="auto"/>
        </w:rPr>
      </w:pPr>
      <w:r>
        <w:rPr>
          <w:rFonts w:ascii="Times New Roman" w:cs="Times New Roman" w:eastAsia="Times New Roman" w:hAnsi="Times New Roman"/>
          <w:sz w:val="17"/>
          <w:szCs w:val="17"/>
          <w:color w:val="auto"/>
        </w:rPr>
        <w:t>In addition to the lease agreements above, the Group is committed to two purchase agreements regarding production equipment in Peterborough, UK, under which the Group’s obligation amount to $68.5 million. The production equipment is expected to be delivered in 2022.</w:t>
      </w:r>
    </w:p>
    <w:p>
      <w:pPr>
        <w:spacing w:after="0" w:line="99" w:lineRule="exact"/>
        <w:rPr>
          <w:sz w:val="20"/>
          <w:szCs w:val="20"/>
          <w:color w:val="auto"/>
        </w:rPr>
      </w:pPr>
    </w:p>
    <w:p>
      <w:pPr>
        <w:ind w:right="340" w:firstLine="86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contractual commitments and contingencies, see Note 33 to our consolidated financial statements, which are included elsewhere in this Annual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00" w:lineRule="exact"/>
        <w:rPr>
          <w:sz w:val="20"/>
          <w:szCs w:val="20"/>
          <w:color w:val="auto"/>
        </w:rPr>
      </w:pPr>
    </w:p>
    <w:p>
      <w:pPr>
        <w:ind w:right="260" w:firstLine="864"/>
        <w:spacing w:after="0" w:line="284" w:lineRule="auto"/>
        <w:rPr>
          <w:sz w:val="20"/>
          <w:szCs w:val="20"/>
          <w:color w:val="auto"/>
        </w:rPr>
      </w:pPr>
      <w:r>
        <w:rPr>
          <w:rFonts w:ascii="Times New Roman" w:cs="Times New Roman" w:eastAsia="Times New Roman" w:hAnsi="Times New Roman"/>
          <w:sz w:val="18"/>
          <w:szCs w:val="18"/>
          <w:color w:val="auto"/>
        </w:rPr>
        <w:t>For a description of the Company’s research and development policies, see Item 4.B. “</w:t>
      </w:r>
      <w:r>
        <w:rPr>
          <w:rFonts w:ascii="Times New Roman" w:cs="Times New Roman" w:eastAsia="Times New Roman" w:hAnsi="Times New Roman"/>
          <w:sz w:val="18"/>
          <w:szCs w:val="18"/>
          <w:i w:val="1"/>
          <w:iCs w:val="1"/>
          <w:color w:val="auto"/>
        </w:rPr>
        <w:t>Business Overview</w:t>
      </w:r>
      <w:r>
        <w:rPr>
          <w:rFonts w:ascii="Times New Roman" w:cs="Times New Roman" w:eastAsia="Times New Roman" w:hAnsi="Times New Roman"/>
          <w:sz w:val="18"/>
          <w:szCs w:val="18"/>
          <w:color w:val="auto"/>
        </w:rPr>
        <w:t>” and discussions elsewhere in this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189" w:lineRule="exact"/>
        <w:rPr>
          <w:sz w:val="20"/>
          <w:szCs w:val="20"/>
          <w:color w:val="auto"/>
        </w:rPr>
      </w:pPr>
    </w:p>
    <w:p>
      <w:pPr>
        <w:jc w:val="both"/>
        <w:ind w:right="120" w:firstLine="864"/>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December 31, 2021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189" w:lineRule="exact"/>
        <w:rPr>
          <w:sz w:val="20"/>
          <w:szCs w:val="20"/>
          <w:color w:val="auto"/>
        </w:rPr>
      </w:pPr>
    </w:p>
    <w:p>
      <w:pPr>
        <w:ind w:right="340" w:firstLine="864"/>
        <w:spacing w:after="0" w:line="282" w:lineRule="auto"/>
        <w:rPr>
          <w:sz w:val="20"/>
          <w:szCs w:val="20"/>
          <w:color w:val="auto"/>
        </w:rPr>
      </w:pPr>
      <w:r>
        <w:rPr>
          <w:rFonts w:ascii="Times New Roman" w:cs="Times New Roman" w:eastAsia="Times New Roman" w:hAnsi="Times New Roman"/>
          <w:sz w:val="18"/>
          <w:szCs w:val="18"/>
          <w:color w:val="auto"/>
        </w:rPr>
        <w:t>See Note 4 to our consolidated financial statements, included elsewhere in this Annual Report, for a summary of our significant accounting policies, estimates and judgments.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Board Members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presents information about our current executive officers and board members, including their ages as of the date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Executive Officers</w:t>
            </w: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Toni Petersson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Board Member</w:t>
            </w:r>
          </w:p>
        </w:tc>
      </w:tr>
      <w:tr>
        <w:trPr>
          <w:trHeight w:val="2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Hanke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Board Members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Fredrik Berg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Chu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Chung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Hours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Hannah Jones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Mattias Klintemar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Tomakin Lai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Melloul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Frances Rathke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Yawen Wu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34"/>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 Zhang</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Board Member</w:t>
            </w:r>
          </w:p>
        </w:tc>
      </w:tr>
    </w:tbl>
    <w:p>
      <w:pPr>
        <w:spacing w:after="0" w:line="198" w:lineRule="exact"/>
        <w:rPr>
          <w:sz w:val="20"/>
          <w:szCs w:val="20"/>
          <w:color w:val="auto"/>
        </w:rPr>
      </w:pPr>
    </w:p>
    <w:p>
      <w:pPr>
        <w:ind w:right="280" w:firstLine="864"/>
        <w:spacing w:after="0" w:line="282" w:lineRule="auto"/>
        <w:rPr>
          <w:sz w:val="20"/>
          <w:szCs w:val="20"/>
          <w:color w:val="auto"/>
        </w:rPr>
      </w:pPr>
      <w:r>
        <w:rPr>
          <w:rFonts w:ascii="Times New Roman" w:cs="Times New Roman" w:eastAsia="Times New Roman" w:hAnsi="Times New Roman"/>
          <w:sz w:val="18"/>
          <w:szCs w:val="18"/>
          <w:color w:val="auto"/>
        </w:rPr>
        <w:t>Unless otherwise indicated, the current business addresses for our executive officers and the members of our Board of Directors is c/o Oatly Group AB, Jagaregatan 4 211 19 Malmö, Sweden.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185" w:lineRule="exact"/>
        <w:rPr>
          <w:sz w:val="20"/>
          <w:szCs w:val="20"/>
          <w:color w:val="auto"/>
        </w:rPr>
      </w:pPr>
    </w:p>
    <w:p>
      <w:pPr>
        <w:jc w:val="both"/>
        <w:ind w:right="180" w:firstLine="864"/>
        <w:spacing w:after="0" w:line="266" w:lineRule="auto"/>
        <w:rPr>
          <w:sz w:val="20"/>
          <w:szCs w:val="20"/>
          <w:color w:val="auto"/>
        </w:rPr>
      </w:pPr>
      <w:r>
        <w:rPr>
          <w:rFonts w:ascii="Times New Roman" w:cs="Times New Roman" w:eastAsia="Times New Roman" w:hAnsi="Times New Roman"/>
          <w:sz w:val="18"/>
          <w:szCs w:val="18"/>
          <w:color w:val="auto"/>
        </w:rPr>
        <w:t>Toni Petersson has served as our Chief Executive Officer since November 2012 and as a member of our Board of Directors since May 2021. Prior to joining the Company, Mr. Petersson founded several businesses, including a real estate company and companies in the hospitality industry before he served as the CEO of Boblbee from October 2009 to November 2012.</w:t>
      </w:r>
    </w:p>
    <w:p>
      <w:pPr>
        <w:spacing w:after="0" w:line="149" w:lineRule="exact"/>
        <w:rPr>
          <w:sz w:val="20"/>
          <w:szCs w:val="20"/>
          <w:color w:val="auto"/>
        </w:rPr>
      </w:pPr>
    </w:p>
    <w:p>
      <w:pPr>
        <w:ind w:right="260" w:firstLine="864"/>
        <w:spacing w:after="0" w:line="282" w:lineRule="auto"/>
        <w:rPr>
          <w:sz w:val="20"/>
          <w:szCs w:val="20"/>
          <w:color w:val="auto"/>
        </w:rPr>
      </w:pPr>
      <w:r>
        <w:rPr>
          <w:rFonts w:ascii="Times New Roman" w:cs="Times New Roman" w:eastAsia="Times New Roman" w:hAnsi="Times New Roman"/>
          <w:sz w:val="18"/>
          <w:szCs w:val="18"/>
          <w:color w:val="auto"/>
        </w:rPr>
        <w:t>Christian Hanke has served as our Chief Financial Officer since March 2020. Prior to joining the Company, Mr. Hanke served as the Interim Chief Financial Officer and Vice President, Corporate Controller from March 2019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March 2020 and Vice President, Corporate Controller of Autoliv from November 2016 to March 2019. Mr. Hanke served as the Vice President, Financial Controller of Nasdaq Stockholm overseeing the EMEA and Asia Finance function from April 2013 to November 2016. Mr. Hanke holds a Bachelor’s degree in Business Administration, with a concentration in Accounting, from Uppsala University. Mr. Hanke is a Certified Public Accountant.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Members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board members.</w:t>
      </w:r>
    </w:p>
    <w:p>
      <w:pPr>
        <w:spacing w:after="0" w:line="185" w:lineRule="exact"/>
        <w:rPr>
          <w:sz w:val="20"/>
          <w:szCs w:val="20"/>
          <w:color w:val="auto"/>
        </w:rPr>
      </w:pPr>
    </w:p>
    <w:p>
      <w:pPr>
        <w:ind w:right="280" w:firstLine="864"/>
        <w:spacing w:after="0" w:line="282" w:lineRule="auto"/>
        <w:rPr>
          <w:sz w:val="20"/>
          <w:szCs w:val="20"/>
          <w:color w:val="auto"/>
        </w:rPr>
      </w:pPr>
      <w:r>
        <w:rPr>
          <w:rFonts w:ascii="Times New Roman" w:cs="Times New Roman" w:eastAsia="Times New Roman" w:hAnsi="Times New Roman"/>
          <w:sz w:val="18"/>
          <w:szCs w:val="18"/>
          <w:color w:val="auto"/>
        </w:rPr>
        <w:t>Fredrik Berg has served as a member of our Board of Directors since July 2020. Mr. Berg has been an employee of our company since 2013 and currently serves as the employee representative on our Board of Directors in accordance with Swedish law.</w:t>
      </w:r>
    </w:p>
    <w:p>
      <w:pPr>
        <w:spacing w:after="0" w:line="133" w:lineRule="exact"/>
        <w:rPr>
          <w:sz w:val="20"/>
          <w:szCs w:val="20"/>
          <w:color w:val="auto"/>
        </w:rPr>
      </w:pPr>
    </w:p>
    <w:p>
      <w:pPr>
        <w:ind w:right="20" w:firstLine="86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Steven Chu </w:t>
      </w:r>
      <w:r>
        <w:rPr>
          <w:rFonts w:ascii="Times New Roman" w:cs="Times New Roman" w:eastAsia="Times New Roman" w:hAnsi="Times New Roman"/>
          <w:sz w:val="18"/>
          <w:szCs w:val="18"/>
          <w:color w:val="auto"/>
        </w:rPr>
        <w:t>has served as a member of our Board of Directors since May 2021. Mr. Chu has been a professor at Stanford University since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previously served as the Secretary of Energy at the U.S. Department of Energy from 2009 to 2013. Mr. Chu currently serves on the boards of directors of Zymergen Inc. and several private companies. He served on the Board of Directors of Nvidia Corporation from 2004 to 2009, the Okinawa Institute of Science and Technology from 2004 to 2009, the Hewlett Foundation from 2003 to 2009 and the University of Rochester from 1999 to 2009. He was director of the Lawrence Berkeley National Laboratory from 2004 to 2009. Previously, he was a professor of Physics and professor of Applied Physics at Stanford and worked at AT&amp;T Bell Laboratories. Mr. Chu holds a Bachelor of Science in Physics and a Bachelor of Arts in Mathematics from the University of Rochester. He also holds a Ph.D. in Physics and did a postdoctoral fellowship at the University of California, Berkeley. Mr. Chu was awarded the Nobel Prize in Physics in 1997. He has been a Member of the National Academy of Sciences since 1993 and is a member or foreign member of nine other academies. He has won numerous other awards, including 33 honorary university degrees.</w:t>
      </w:r>
    </w:p>
    <w:p>
      <w:pPr>
        <w:spacing w:after="0" w:line="148" w:lineRule="exact"/>
        <w:rPr>
          <w:sz w:val="20"/>
          <w:szCs w:val="20"/>
          <w:color w:val="auto"/>
        </w:rPr>
      </w:pPr>
    </w:p>
    <w:p>
      <w:pPr>
        <w:ind w:right="40" w:firstLine="86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Ann Chung </w:t>
      </w:r>
      <w:r>
        <w:rPr>
          <w:rFonts w:ascii="Times New Roman" w:cs="Times New Roman" w:eastAsia="Times New Roman" w:hAnsi="Times New Roman"/>
          <w:sz w:val="18"/>
          <w:szCs w:val="18"/>
          <w:color w:val="auto"/>
        </w:rPr>
        <w:t>has served as a member of our Board of Directors since July 2020. Ms. Chung has served as a Managing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Blackstone Group since January 2020. She previously served as a Principal at Fremont Private Holdings from 2018 to 2019 and as a Principal at J.H. Whitney Capital Partners from 2013 to 2018. Ms. Chung served on the Board of Directors of CJ Foods, Inc. from 2014 to 2020, Confluence Outdoors from 2014 to 2018 and Accupac, Inc. from 2017 to 2018. Ms. Chung holds a Masters of Business Administration in Entrepreneurial Management and a Bachelor’s of Science in Commerce from the University of Virginia.</w:t>
      </w:r>
    </w:p>
    <w:p>
      <w:pPr>
        <w:spacing w:after="0" w:line="143" w:lineRule="exact"/>
        <w:rPr>
          <w:sz w:val="20"/>
          <w:szCs w:val="20"/>
          <w:color w:val="auto"/>
        </w:rPr>
      </w:pPr>
    </w:p>
    <w:p>
      <w:pPr>
        <w:ind w:right="120" w:firstLine="86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Bernard Hours </w:t>
      </w:r>
      <w:r>
        <w:rPr>
          <w:rFonts w:ascii="Times New Roman" w:cs="Times New Roman" w:eastAsia="Times New Roman" w:hAnsi="Times New Roman"/>
          <w:sz w:val="18"/>
          <w:szCs w:val="18"/>
          <w:color w:val="auto"/>
        </w:rPr>
        <w:t>has served as a member of our Board of Directors since March 2019. Mr. Hours has served as the President of Andros España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Chef Sam in Spain since January 2017. Mr. Hours also currently serves as the President of Metved Limited, a position he has held since December 2014. Prior to these roles, Mr. Hours served as the Chief Operating Officer of Danone S.A. from 2008 to 2014. Mr. Hours currently serves on the Board of Directors of Verlinvest since 2015. Previously, he served on Board of Directors of Essilor International from 2009 to 2019. Mr. Hours holds a degree in Business from HEC Paris.</w:t>
      </w:r>
    </w:p>
    <w:p>
      <w:pPr>
        <w:spacing w:after="0" w:line="156" w:lineRule="exact"/>
        <w:rPr>
          <w:sz w:val="20"/>
          <w:szCs w:val="20"/>
          <w:color w:val="auto"/>
        </w:rPr>
      </w:pPr>
    </w:p>
    <w:p>
      <w:pPr>
        <w:ind w:right="220" w:firstLine="86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Hannah Jones </w:t>
      </w:r>
      <w:r>
        <w:rPr>
          <w:rFonts w:ascii="Times New Roman" w:cs="Times New Roman" w:eastAsia="Times New Roman" w:hAnsi="Times New Roman"/>
          <w:sz w:val="18"/>
          <w:szCs w:val="18"/>
          <w:color w:val="auto"/>
        </w:rPr>
        <w:t>has served as a member of our Board of Directors since April 2021. Ms. Jones has served as the CEO of Earthshot Prize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2021. Previously, she served as President of Nike Innovation Labs and has held numerous positions at Nike since 1998, including as Chief Sustainability Officer and Senior Director of Corporate Social Responsibility EMEA. Ms. Jones served as a member of the Board of Directors, including serving on the Sustainability Committee, of People Against Dirty from 2013 to 2017. Ms. Jones has won numerous awards, including the C.K.Prahalad Award of Global Business Sustainability Leadership in 2013 and Fast Company #8 Most Creative People Award in 2010.</w:t>
      </w:r>
    </w:p>
    <w:p>
      <w:pPr>
        <w:spacing w:after="0" w:line="143" w:lineRule="exact"/>
        <w:rPr>
          <w:sz w:val="20"/>
          <w:szCs w:val="20"/>
          <w:color w:val="auto"/>
        </w:rPr>
      </w:pPr>
    </w:p>
    <w:p>
      <w:pPr>
        <w:ind w:right="60" w:firstLine="86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Mattias Klintemar </w:t>
      </w:r>
      <w:r>
        <w:rPr>
          <w:rFonts w:ascii="Times New Roman" w:cs="Times New Roman" w:eastAsia="Times New Roman" w:hAnsi="Times New Roman"/>
          <w:sz w:val="18"/>
          <w:szCs w:val="18"/>
          <w:color w:val="auto"/>
        </w:rPr>
        <w:t>has served as a member of our Board of Directors since November 2016. Mr. Klintemar has served as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Ostersjostiftelsen, or the Foundation for Eastern and European Studies, since May 2012. From 2010 to 2013, Mr. Klintemar served as the Chief Executive Officer of Morphic Technologies, and he served as the CFO of Hexaformer from 2006 to 2009 and between 1997 to 2005 he worked for the Nordic investment bank ABG Sundal Collier. Before that he served as Treasury and Financial controller for HSBC and before that as a senior auditor at Arthur Andersen. Mr. Klintemar has served as a member of the Board of Directors of Palette Life Sciences since 2018 and Moberg Pharma since 2015, including serving on its remuneration committee and audit committee, from April 2018 to April 2019. He also serves on the board for Biosergen and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Oncozenge since 2021. Mr. Klintemar has been a licensed Financial Advisor in Sweden since 2002. Mr. Klintemar holds a Bachelor’s degree in Accounting and Finance from Karlstad University.</w:t>
      </w:r>
    </w:p>
    <w:p>
      <w:pPr>
        <w:spacing w:after="0" w:line="133" w:lineRule="exact"/>
        <w:rPr>
          <w:sz w:val="20"/>
          <w:szCs w:val="20"/>
          <w:color w:val="auto"/>
        </w:rPr>
      </w:pPr>
    </w:p>
    <w:p>
      <w:pPr>
        <w:ind w:right="120" w:firstLine="86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Tomakin Lai </w:t>
      </w:r>
      <w:r>
        <w:rPr>
          <w:rFonts w:ascii="Times New Roman" w:cs="Times New Roman" w:eastAsia="Times New Roman" w:hAnsi="Times New Roman"/>
          <w:sz w:val="18"/>
          <w:szCs w:val="18"/>
          <w:color w:val="auto"/>
        </w:rPr>
        <w:t>has served as a member of our Board of Directors since April 2021. Mr. Lai has served on the Board of Directors for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Enterprise, Limited since 2021 and the Vice President, Chief Financial Officer and Company Secretary of China Resources Enterprise, Limited since 2016 and joined this company in 2008. Prior to that, he served as the Financial Controller and Company Secretary of Zhong An Real Estate Limited (now known as Zhong An Group Limited) from January to September 2008 and the Financial Controller and Company Secretary of China Oriental Group Company Limited from 2004 to 2008. Mr. Lai is also a Fellow of a number of Chartered Accountant and similar bodies, including the Association of Chartered Certified Accountants, a Fellow of the Hong Kong Institute of Certified Public Accountants, the Chartered Governance Institute in the United Kingdom, the Institute of Internal Auditors, the Institute of Chartered Accountants in England and Wales. Mr. Lai has been a Certified Internal Auditor since 2012 and a Certified Information Systems Auditor since 2014. Mr. Lai has won several awards throughout his career, including Asia’s Best CFO (Investor Relations) in 2021, 2020 and 2019 by Corporate Governance Asia, the Best CFO (first place) in 2021 and 2019 and (second place) in 2020 in consumer staples of the All-Asia Executive Team Survey by Institutional Investor and the Best IR by CFO – Large Cap of the HKIRA 7th &amp; 5th Investor Relations Awards by the Hong Kong Investor Relations Association in 2021 and 2019.</w:t>
      </w:r>
    </w:p>
    <w:p>
      <w:pPr>
        <w:spacing w:after="0" w:line="151" w:lineRule="exact"/>
        <w:rPr>
          <w:sz w:val="20"/>
          <w:szCs w:val="20"/>
          <w:color w:val="auto"/>
        </w:rPr>
      </w:pPr>
    </w:p>
    <w:p>
      <w:pPr>
        <w:ind w:right="320" w:firstLine="86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Eric Melloul </w:t>
      </w:r>
      <w:r>
        <w:rPr>
          <w:rFonts w:ascii="Times New Roman" w:cs="Times New Roman" w:eastAsia="Times New Roman" w:hAnsi="Times New Roman"/>
          <w:sz w:val="18"/>
          <w:szCs w:val="18"/>
          <w:color w:val="auto"/>
        </w:rPr>
        <w:t>has served as a member of our Board of Directors since November 2016. Mr. Melloul has served as a Managing Director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Verlinvest since August 2008. Prior to Verlinvest, Mr. Melloul served as Global Marketing VP and China Commercial Head for Anheuser-Busch InBev from 2003 to 2008 and as an Associate Partner at McKinsey &amp; Company from 1999 to 2003. Mr. Melloul has served on the Board of Directors for Vita Coco (All Market Inc.), Hint Inc. and Mutti S.p.A.. Mr. Melloul holds a MPA from the Kennedy School at Harvard University and a Post Graduate Diploma from the London School of Economics and Political Science.</w:t>
      </w:r>
    </w:p>
    <w:p>
      <w:pPr>
        <w:spacing w:after="0" w:line="143" w:lineRule="exact"/>
        <w:rPr>
          <w:sz w:val="20"/>
          <w:szCs w:val="20"/>
          <w:color w:val="auto"/>
        </w:rPr>
      </w:pPr>
    </w:p>
    <w:p>
      <w:pPr>
        <w:ind w:right="40" w:firstLine="86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Frances Rathke </w:t>
      </w:r>
      <w:r>
        <w:rPr>
          <w:rFonts w:ascii="Times New Roman" w:cs="Times New Roman" w:eastAsia="Times New Roman" w:hAnsi="Times New Roman"/>
          <w:sz w:val="18"/>
          <w:szCs w:val="18"/>
          <w:color w:val="auto"/>
        </w:rPr>
        <w:t>has served as a member of our Board of Directors since May 2021. Ms. Rathke served as the CFO and Treasurer of Keurig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 Mountain, Inc. from 2003 to 2015, as well as the Strategic Advisor to the CEO in 2015, and she served as the CFO and Secretary from 1990 to 2000 and the Corporate Controller from 1989 to 1990 of Ben &amp; Jerry’s Homemade, Inc. Ms. Rathke has served on the Board of Directors of Planet Fitness, Inc. since 2016. She also currently serves on the Board of Directors of several private companies, including Green Mountain Power Corporation, Northern New England Energy Corporation, John Hancock Investment Management, Flynn Center for Performing Arts and Citizen Cider Holding, Inc. Ms. Rathke holds a Bachelor’s of Science in Accounting and Business Administration from the University of Vermont and previously was a certified public accountant.</w:t>
      </w:r>
    </w:p>
    <w:p>
      <w:pPr>
        <w:spacing w:after="0" w:line="155"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Yawen Wu </w:t>
      </w:r>
      <w:r>
        <w:rPr>
          <w:rFonts w:ascii="Times New Roman" w:cs="Times New Roman" w:eastAsia="Times New Roman" w:hAnsi="Times New Roman"/>
          <w:sz w:val="18"/>
          <w:szCs w:val="18"/>
          <w:color w:val="auto"/>
        </w:rPr>
        <w:t>has served as a member of our Board of Directors since January 2021. Ms. Wu joined China Resources in April 2012 as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the Strategy Management Department of China Resources (Holdings) Company Limited, and Ms. Wu also serves as the Chief Executive Officer of China Resources Verlinvest Health Investment Limited. Ms. Wu currently is the General Manager of the Asset Management Department of China Resources Enterprise, Limited.</w:t>
      </w:r>
    </w:p>
    <w:p>
      <w:pPr>
        <w:spacing w:after="0" w:line="139" w:lineRule="exact"/>
        <w:rPr>
          <w:sz w:val="20"/>
          <w:szCs w:val="20"/>
          <w:color w:val="auto"/>
        </w:rPr>
      </w:pPr>
    </w:p>
    <w:p>
      <w:pPr>
        <w:ind w:right="160" w:firstLine="86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Tim Zhang </w:t>
      </w:r>
      <w:r>
        <w:rPr>
          <w:rFonts w:ascii="Times New Roman" w:cs="Times New Roman" w:eastAsia="Times New Roman" w:hAnsi="Times New Roman"/>
          <w:sz w:val="18"/>
          <w:szCs w:val="18"/>
          <w:color w:val="auto"/>
        </w:rPr>
        <w:t>has served as a member of our Board of Directors since April 2021. Mr. Zhang served as the Chief Investment Officer of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Capital Management Limited since 2018. Prior to that, he served as a Managing Director of Mount Flag, LLC from 2015 to 2018, the Chief Operating Officer of China Merchants Capital Limited from 2012 to 2014 and a Managing Director at JPMorgan Securities (Asian Pacific) Limited from 2007 to 2011. Mr. Zhang served on the Board of Directors, including as a member of the Nomination and Compensation Committees, of HC Group Inc. since 2011, and Mr. Zhang also serves on the Board of Directors for several private companies, including Genesis Care Pty Ltd., Asia Food Growth Advisors Limited and CR Life Sciences Group Limited. Mr. Zhang also served on the Board of Directors for the US-China Green Energy Council, a non-profit organization, since 2017.</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Rights</w:t>
      </w:r>
    </w:p>
    <w:p>
      <w:pPr>
        <w:spacing w:after="0" w:line="202"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8"/>
          <w:szCs w:val="18"/>
          <w:color w:val="auto"/>
        </w:rPr>
        <w:t>Pursuant to our shareholders’ agreement that terminated in connection with our IPO, certain of our shareholders had rights to appoint members of our Board of Directors. Our currently serving directors were nominated as follows:</w:t>
      </w:r>
    </w:p>
    <w:p>
      <w:pPr>
        <w:spacing w:after="0" w:line="121" w:lineRule="exact"/>
        <w:rPr>
          <w:sz w:val="20"/>
          <w:szCs w:val="20"/>
          <w:color w:val="auto"/>
        </w:rPr>
      </w:pPr>
    </w:p>
    <w:p>
      <w:pPr>
        <w:ind w:left="1300" w:right="560" w:hanging="442"/>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Chu, Tomakin Lai, Yawen Wu and Tim Zhang were nominated by China Resources (Holdings) Company Limited (“China Resources”);</w:t>
      </w:r>
    </w:p>
    <w:p>
      <w:pPr>
        <w:spacing w:after="0" w:line="12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Bernard Hours, Hannah Jones, Eric Melloul and Frances Rathke were nominated by Verlinvest S.A. (“Verlinvest”); and</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Chung was nominated by BXG Redhawk S.à.r.l.</w:t>
      </w:r>
    </w:p>
    <w:p>
      <w:pPr>
        <w:spacing w:after="0" w:line="212"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Pursuant to our articles of association and nominating and corporate governance committee charter, certain of our shareholders have rights to appoint members of our Board of Directors. Pursuant to our articles of association, so long as Verlinvest and China Resources, directly or indirectly, hold at least 5%, 10% or 15% of the total number of our outstanding ordinary shares, respectively, then each of Verlinvest and China Resources has the right to appoint one, two or three board members, respectively, subject to Swedish law. Pursuant to our nominating and corporate governance committee charter, provided that Verlinvest or China Resources, directly or indirectly, owns more than 10% of our total outstanding ordinary shares, Verlinvest or China Resources shall appoint one director to the nominating and corporate governance committee, respectively. Further, pursuant to our nominating and corporate governance charter, provided that Verlinvest and China Resources, directly or indirectly, own more than 15% of our outstanding ordinary shares, if the percentage of directors of the board appointed by each of Verlinvest or China Resources (or their respective designated persons), respectively, is less than their respective percentage ownership of our total outstanding ordinary shares (which disregards any increase in shareholding through purchases in the open market or through a private placement), one independent director shall be proposed by Verlinvest and China Resources through their respective nominating and corporate governance committee members, to the extent permitted under Swedish law. The calculation of the ownership percentages described in this paragraph shall exclude any unvested or unexercised equity incentive awards, which are not entitled to voting.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02" w:lineRule="exact"/>
        <w:rPr>
          <w:sz w:val="20"/>
          <w:szCs w:val="20"/>
          <w:color w:val="auto"/>
        </w:rPr>
      </w:pPr>
    </w:p>
    <w:p>
      <w:pPr>
        <w:ind w:right="40" w:firstLine="864"/>
        <w:spacing w:after="0" w:line="266" w:lineRule="auto"/>
        <w:rPr>
          <w:sz w:val="20"/>
          <w:szCs w:val="20"/>
          <w:color w:val="auto"/>
        </w:rPr>
      </w:pPr>
      <w:r>
        <w:rPr>
          <w:rFonts w:ascii="Times New Roman" w:cs="Times New Roman" w:eastAsia="Times New Roman" w:hAnsi="Times New Roman"/>
          <w:sz w:val="18"/>
          <w:szCs w:val="18"/>
          <w:color w:val="auto"/>
        </w:rPr>
        <w:t>We set out below the amount of compensation paid and benefits in kind provided by us or our subsidiaries to our executive officers and members of our board for services in all capacities to us or our subsidiaries for the year ended December 31, 2021, as well as the amount we contributed to retirement benefit plans for our executive officers and members of our board.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Non-Executive Director and Key Management Compensation</w:t>
      </w:r>
    </w:p>
    <w:p>
      <w:pPr>
        <w:spacing w:after="0" w:line="189" w:lineRule="exact"/>
        <w:rPr>
          <w:sz w:val="20"/>
          <w:szCs w:val="20"/>
          <w:color w:val="auto"/>
        </w:rPr>
      </w:pPr>
    </w:p>
    <w:p>
      <w:pPr>
        <w:ind w:right="40" w:firstLine="864"/>
        <w:spacing w:after="0" w:line="255" w:lineRule="auto"/>
        <w:rPr>
          <w:sz w:val="20"/>
          <w:szCs w:val="20"/>
          <w:color w:val="auto"/>
        </w:rPr>
      </w:pPr>
      <w:r>
        <w:rPr>
          <w:rFonts w:ascii="Times New Roman" w:cs="Times New Roman" w:eastAsia="Times New Roman" w:hAnsi="Times New Roman"/>
          <w:sz w:val="18"/>
          <w:szCs w:val="18"/>
          <w:color w:val="auto"/>
        </w:rPr>
        <w:t>The compensation for our key management personnel is comprised of the following elements: base salary, bonus, statutory and contractual health and welfare benefits and statutory and contractual pension contributions. During and for the year ended December 31, 2021, the aggregate compensation accrued or paid to our other key management personnel as a group (12 individuals excluding our Chief Executive Officer and Board of Directors) was base pay of $4.3 million, variable pay of $0.7 million, pension costs of $0.7 million, and other remuneration of $0.1 million. We also recognized share-based compensation expense of $9.2 million for these 12 individuals for the year ended December 31, 2021, related to stock options granted in 2021; amount represents the expense recognized, in accordance with IFRS 2, based on the grant date fair value. Our non-executive directors and certain of our non-executive officers are paid board fees in connection with their service.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80" w:firstLine="864"/>
        <w:spacing w:after="0" w:line="282" w:lineRule="auto"/>
        <w:rPr>
          <w:sz w:val="20"/>
          <w:szCs w:val="20"/>
          <w:color w:val="auto"/>
        </w:rPr>
      </w:pPr>
      <w:r>
        <w:rPr>
          <w:rFonts w:ascii="Times New Roman" w:cs="Times New Roman" w:eastAsia="Times New Roman" w:hAnsi="Times New Roman"/>
          <w:sz w:val="18"/>
          <w:szCs w:val="18"/>
          <w:color w:val="auto"/>
        </w:rPr>
        <w:t>Our Chief Executive Officer and non-executive directors received the following compensation, accrued or paid, for the year ended December 31, 2021 (in USD):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w:t>
            </w:r>
          </w:p>
        </w:tc>
        <w:tc>
          <w:tcPr>
            <w:tcW w:w="1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Base pay/Board fees</w:t>
            </w:r>
          </w:p>
        </w:tc>
        <w:tc>
          <w:tcPr>
            <w:tcW w:w="3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Pension costs</w:t>
            </w: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remuneration</w:t>
            </w:r>
          </w:p>
        </w:tc>
        <w:tc>
          <w:tcPr>
            <w:tcW w:w="0" w:type="dxa"/>
            <w:vAlign w:val="bottom"/>
          </w:tcPr>
          <w:p>
            <w:pPr>
              <w:spacing w:after="0"/>
              <w:rPr>
                <w:sz w:val="1"/>
                <w:szCs w:val="1"/>
                <w:color w:val="auto"/>
              </w:rPr>
            </w:pPr>
          </w:p>
        </w:tc>
      </w:tr>
      <w:tr>
        <w:trPr>
          <w:trHeight w:val="173"/>
        </w:trPr>
        <w:tc>
          <w:tcPr>
            <w:tcW w:w="360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remuneration</w:t>
            </w:r>
            <w:r>
              <w:rPr>
                <w:rFonts w:ascii="Times New Roman" w:cs="Times New Roman" w:eastAsia="Times New Roman" w:hAnsi="Times New Roman"/>
                <w:sz w:val="12"/>
                <w:szCs w:val="12"/>
                <w:b w:val="1"/>
                <w:bCs w:val="1"/>
                <w:color w:val="auto"/>
              </w:rPr>
              <w:t>(1)</w:t>
            </w:r>
          </w:p>
        </w:tc>
        <w:tc>
          <w:tcPr>
            <w:tcW w:w="1460" w:type="dxa"/>
            <w:vAlign w:val="bottom"/>
            <w:gridSpan w:val="2"/>
            <w:vMerge w:val="continue"/>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12"/>
                <w:szCs w:val="12"/>
                <w:b w:val="1"/>
                <w:bCs w:val="1"/>
                <w:color w:val="auto"/>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c>
          <w:tcPr>
            <w:tcW w:w="2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Toni Petersson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728,810</w:t>
            </w:r>
          </w:p>
        </w:tc>
        <w:tc>
          <w:tcPr>
            <w:tcW w:w="3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4,409,029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1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Hours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3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86,682</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Frances Rathke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86,682</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Chu</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86,682</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Hannah Jones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86,682</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Mattias Klintemar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70,833</w:t>
            </w:r>
          </w:p>
        </w:tc>
        <w:tc>
          <w:tcPr>
            <w:tcW w:w="3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Eric Melloul</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57,666</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Chung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55,833</w:t>
            </w:r>
          </w:p>
        </w:tc>
        <w:tc>
          <w:tcPr>
            <w:tcW w:w="3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Yawen Wu</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 Zhang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3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Tomakin Lai</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Björn Öste</w:t>
            </w:r>
            <w:r>
              <w:rPr>
                <w:rFonts w:ascii="Times New Roman" w:cs="Times New Roman" w:eastAsia="Times New Roman" w:hAnsi="Times New Roman"/>
                <w:sz w:val="15"/>
                <w:szCs w:val="15"/>
                <w:color w:val="auto"/>
              </w:rPr>
              <w:t>(4)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35,833</w:t>
            </w:r>
          </w:p>
        </w:tc>
        <w:tc>
          <w:tcPr>
            <w:tcW w:w="3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Employee representatives</w:t>
            </w:r>
          </w:p>
        </w:tc>
        <w:tc>
          <w:tcPr>
            <w:tcW w:w="1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Fredrik Berg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5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1,306,059</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110,156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4,755,757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6,194,976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hanging="432"/>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remuneration is comprised of car benefit, holiday allowance and health insurance.</w:t>
      </w:r>
    </w:p>
    <w:p>
      <w:pPr>
        <w:spacing w:after="0" w:line="27" w:lineRule="exact"/>
        <w:rPr>
          <w:rFonts w:ascii="Times New Roman" w:cs="Times New Roman" w:eastAsia="Times New Roman" w:hAnsi="Times New Roman"/>
          <w:sz w:val="18"/>
          <w:szCs w:val="18"/>
          <w:color w:val="auto"/>
        </w:rPr>
      </w:pPr>
    </w:p>
    <w:p>
      <w:pPr>
        <w:ind w:left="440" w:right="280" w:hanging="432"/>
        <w:spacing w:after="0" w:line="250" w:lineRule="auto"/>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stock options granted in 2021 for Mr. Petersson and RSUs granted in 2021 for certain non-executive directors, where amounts indicated. Amounts represent the expense recognized, in accordance with IFRS 2, in the income statement, based on the grant date fair value.</w:t>
      </w:r>
    </w:p>
    <w:p>
      <w:pPr>
        <w:ind w:left="440" w:right="140" w:hanging="432"/>
        <w:spacing w:after="0" w:line="250" w:lineRule="auto"/>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for service as Chief Executive Officer; Mr. Petersson does not receive compensation for his service as a director. In addition, Mr. Petersson declined to receive any variable bonus payment for 2021.</w:t>
      </w:r>
    </w:p>
    <w:p>
      <w:pPr>
        <w:ind w:left="440" w:hanging="432"/>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Björn Öste resigned from the Board of Directors, effective December 2021.</w:t>
      </w:r>
    </w:p>
    <w:p>
      <w:pPr>
        <w:spacing w:after="0" w:line="166"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Mr. Petersson was granted stock options to purchase 1,867,647 shares in May 2021 with an exercise price of $17 per share. Mr. Hanke was granted stock options to purchase 147,059 shares in May 2021 with an exercise price of $17 per share. One-third of Mr. Petersson’s and Mr. Hanke’s stock options vest annually on the first, second and third anniversary after grant date, and the expiration date for each vested tranche of options is five years after the relevant vesting date.</w:t>
      </w:r>
    </w:p>
    <w:p>
      <w:pPr>
        <w:spacing w:after="0" w:line="139"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Mr. Chu, Mr. Hours, Ms. Jones and Ms. Rathke each hold 8,235 RSUs granted in May 2021. The RSUs granted to these non-executive directors vest in full on the date of the next Annual General Meeting of shareholders following the grant date, subject to continued service through the date of such Annual General Meeting.</w:t>
      </w:r>
    </w:p>
    <w:p>
      <w:pPr>
        <w:spacing w:after="0" w:line="149" w:lineRule="exact"/>
        <w:rPr>
          <w:sz w:val="20"/>
          <w:szCs w:val="20"/>
          <w:color w:val="auto"/>
        </w:rPr>
      </w:pPr>
    </w:p>
    <w:p>
      <w:pPr>
        <w:jc w:val="both"/>
        <w:ind w:right="240" w:firstLine="864"/>
        <w:spacing w:after="0" w:line="266" w:lineRule="auto"/>
        <w:rPr>
          <w:sz w:val="20"/>
          <w:szCs w:val="20"/>
          <w:color w:val="auto"/>
        </w:rPr>
      </w:pPr>
      <w:r>
        <w:rPr>
          <w:rFonts w:ascii="Times New Roman" w:cs="Times New Roman" w:eastAsia="Times New Roman" w:hAnsi="Times New Roman"/>
          <w:sz w:val="18"/>
          <w:szCs w:val="18"/>
          <w:color w:val="auto"/>
        </w:rPr>
        <w:t>For share-based compensation information for the year ended December 31, 2021 for our executive officers and non-executive directors, see "2021 Incentive Award Plan" below and "Note 8 - Share-based payments" in the Notes to the Consolidated Financial Statements contained elsewhere in this Annual Report.</w:t>
      </w:r>
    </w:p>
    <w:p>
      <w:pPr>
        <w:spacing w:after="0" w:line="135" w:lineRule="exact"/>
        <w:rPr>
          <w:sz w:val="20"/>
          <w:szCs w:val="20"/>
          <w:color w:val="auto"/>
        </w:rPr>
      </w:pPr>
    </w:p>
    <w:p>
      <w:pPr>
        <w:jc w:val="both"/>
        <w:ind w:right="340" w:firstLine="864"/>
        <w:spacing w:after="0" w:line="266" w:lineRule="auto"/>
        <w:rPr>
          <w:sz w:val="20"/>
          <w:szCs w:val="20"/>
          <w:color w:val="auto"/>
        </w:rPr>
      </w:pPr>
      <w:r>
        <w:rPr>
          <w:rFonts w:ascii="Times New Roman" w:cs="Times New Roman" w:eastAsia="Times New Roman" w:hAnsi="Times New Roman"/>
          <w:sz w:val="18"/>
          <w:szCs w:val="18"/>
          <w:color w:val="auto"/>
        </w:rPr>
        <w:t>In December 2021, Oatly entered into a consulting agreement (the “Consulting Agreement”) with Bernard Hours, a non-executive director, pursuant to which Oatly agreed to pay a fixed rate of $0.1 million for services performed through June 2022 pursuant to the Consulting Agreement. No amounts were paid to Mr. Hours in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Employment Arrangements</w:t>
      </w:r>
    </w:p>
    <w:p>
      <w:pPr>
        <w:spacing w:after="0" w:line="202" w:lineRule="exact"/>
        <w:rPr>
          <w:sz w:val="20"/>
          <w:szCs w:val="20"/>
          <w:color w:val="auto"/>
        </w:rPr>
      </w:pPr>
    </w:p>
    <w:p>
      <w:pPr>
        <w:ind w:right="320" w:firstLine="864"/>
        <w:spacing w:after="0" w:line="266" w:lineRule="auto"/>
        <w:rPr>
          <w:sz w:val="20"/>
          <w:szCs w:val="20"/>
          <w:color w:val="auto"/>
        </w:rPr>
      </w:pPr>
      <w:r>
        <w:rPr>
          <w:rFonts w:ascii="Times New Roman" w:cs="Times New Roman" w:eastAsia="Times New Roman" w:hAnsi="Times New Roman"/>
          <w:sz w:val="18"/>
          <w:szCs w:val="18"/>
          <w:color w:val="auto"/>
        </w:rPr>
        <w:t>Our executive officers are party to employment agreements with the Company. These agreements include customary terms of employment, including compensation and benefits and provide for benefits upon a termination of service. In addition, these agreements each contain customary provisions regarding noncompetition, non-solicitation, confidentiality of information and assignment of inventions.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202" w:lineRule="exact"/>
        <w:rPr>
          <w:sz w:val="20"/>
          <w:szCs w:val="20"/>
          <w:color w:val="auto"/>
        </w:rPr>
      </w:pPr>
    </w:p>
    <w:p>
      <w:pPr>
        <w:jc w:val="both"/>
        <w:ind w:right="20" w:firstLine="864"/>
        <w:spacing w:after="0" w:line="266" w:lineRule="auto"/>
        <w:rPr>
          <w:sz w:val="20"/>
          <w:szCs w:val="20"/>
          <w:color w:val="auto"/>
        </w:rPr>
      </w:pPr>
      <w:r>
        <w:rPr>
          <w:rFonts w:ascii="Times New Roman" w:cs="Times New Roman" w:eastAsia="Times New Roman" w:hAnsi="Times New Roman"/>
          <w:sz w:val="18"/>
          <w:szCs w:val="18"/>
          <w:color w:val="auto"/>
        </w:rPr>
        <w:t>In connection with our IPO, we adopted the 2021 Plan, which became effective on May 6, 2021 (the “effective date”). The principal purpose of the 2021 Plan is to attract, retain and motivate selected employees, consultants and directors through the granting of share-based compensation awards and cash-based performance bonus awards. The material terms of the 2021 Plan, as it is currently contemplated, are summarized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187" w:lineRule="exact"/>
        <w:rPr>
          <w:sz w:val="20"/>
          <w:szCs w:val="20"/>
          <w:color w:val="auto"/>
        </w:rPr>
      </w:pPr>
    </w:p>
    <w:p>
      <w:pPr>
        <w:ind w:right="60" w:firstLine="864"/>
        <w:spacing w:after="0" w:line="277" w:lineRule="auto"/>
        <w:rPr>
          <w:sz w:val="20"/>
          <w:szCs w:val="20"/>
          <w:color w:val="auto"/>
        </w:rPr>
      </w:pPr>
      <w:r>
        <w:rPr>
          <w:rFonts w:ascii="Times New Roman" w:cs="Times New Roman" w:eastAsia="Times New Roman" w:hAnsi="Times New Roman"/>
          <w:sz w:val="17"/>
          <w:szCs w:val="17"/>
          <w:color w:val="auto"/>
        </w:rPr>
        <w:t>Under the 2021 Plan, 69,496,515 Shares are reserved for grants pursuant to a variety of share-based compensation awards, including share options, share appreciation rights (“SARs”), restricted share unit awards, performance bonus awards, performance share unit awards, dividend equivalents, other share-based awards, and other cash-based awards; provided, however, that no more than 69,496,515 Shares may be issued upon the exercise of incentive share options. “Shares” means, as determined by the administrator, (i) ordinary shares, (ii) an equivalent number of American Depositary Shares or (iii) a warrant entitling the holder to the subscription of one ordinary share against the (at the time) quota value of such ordinary share.</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counting provisions are in effect for the Share reserve under the 2021 Plan:</w:t>
      </w:r>
    </w:p>
    <w:p>
      <w:pPr>
        <w:spacing w:after="0" w:line="185" w:lineRule="exact"/>
        <w:rPr>
          <w:sz w:val="20"/>
          <w:szCs w:val="20"/>
          <w:color w:val="auto"/>
        </w:rPr>
      </w:pPr>
    </w:p>
    <w:p>
      <w:pPr>
        <w:ind w:left="1300" w:right="180" w:hanging="442"/>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terminates, expires or lapses for any reason or an award is settled in cash without the delivery of Shares, any Shares subject to the award at such time will be available for future grants under the 2021 Plan;</w:t>
      </w:r>
    </w:p>
    <w:p>
      <w:pPr>
        <w:spacing w:after="0" w:line="121" w:lineRule="exact"/>
        <w:rPr>
          <w:rFonts w:ascii="Times New Roman" w:cs="Times New Roman" w:eastAsia="Times New Roman" w:hAnsi="Times New Roman"/>
          <w:sz w:val="18"/>
          <w:szCs w:val="18"/>
          <w:color w:val="auto"/>
        </w:rPr>
      </w:pPr>
    </w:p>
    <w:p>
      <w:pPr>
        <w:ind w:left="1300" w:right="220" w:hanging="442"/>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are tendered or withheld to satisfy the grant, exercise price or tax withholding obligation with respect to any award under the 2021 Plan, such tendered or withheld Shares will be available for future grants under the 2021 Plan, provided it is permitted under applicable law;</w:t>
      </w:r>
    </w:p>
    <w:p>
      <w:pPr>
        <w:spacing w:after="0" w:line="135" w:lineRule="exact"/>
        <w:rPr>
          <w:rFonts w:ascii="Times New Roman" w:cs="Times New Roman" w:eastAsia="Times New Roman" w:hAnsi="Times New Roman"/>
          <w:sz w:val="18"/>
          <w:szCs w:val="18"/>
          <w:color w:val="auto"/>
        </w:rPr>
      </w:pPr>
    </w:p>
    <w:p>
      <w:pPr>
        <w:ind w:left="1300" w:right="260" w:hanging="442"/>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subject to stock appreciation rights are not issued in connection with the settlement of stock appreciation rights on exercise thereof, such Shares will be available for future grants under the 2021 Plan;</w:t>
      </w:r>
    </w:p>
    <w:p>
      <w:pPr>
        <w:spacing w:after="0" w:line="121" w:lineRule="exact"/>
        <w:rPr>
          <w:rFonts w:ascii="Times New Roman" w:cs="Times New Roman" w:eastAsia="Times New Roman" w:hAnsi="Times New Roman"/>
          <w:sz w:val="18"/>
          <w:szCs w:val="18"/>
          <w:color w:val="auto"/>
        </w:rPr>
      </w:pPr>
    </w:p>
    <w:p>
      <w:pPr>
        <w:ind w:left="1300" w:right="120" w:hanging="442"/>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that are subject to awards that may only be settled in cash will not be counted against the Shares available for issuance under the 2021 Plan; and</w:t>
      </w:r>
    </w:p>
    <w:p>
      <w:pPr>
        <w:spacing w:after="0" w:line="121" w:lineRule="exact"/>
        <w:rPr>
          <w:rFonts w:ascii="Times New Roman" w:cs="Times New Roman" w:eastAsia="Times New Roman" w:hAnsi="Times New Roman"/>
          <w:sz w:val="18"/>
          <w:szCs w:val="18"/>
          <w:color w:val="auto"/>
        </w:rPr>
      </w:pPr>
    </w:p>
    <w:p>
      <w:pPr>
        <w:ind w:left="1300" w:hanging="442"/>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35"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In connection with our IPO, we granted an aggregate of 8,124,776 share options and restricted share unit awards out of the 2021 Plan to certain of our employees, directors and full-time consultants, of which 2,055,881 awards were granted, based on a price of $17.00 per ADS, to our executive officers and certain of our directors in May 2021. In November 2021, we granted an aggregate of 710,431 share options and restricted share unit awards out of the 2021 Plan, based on a price of $9.92 per ADS, to certain of our employees and full-time consultants. Such awards shall vest in equal installments over three years from the date of grant for our executive officers and one year for our directors, subject to the terms and conditions of the 2021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00" w:lineRule="exact"/>
        <w:rPr>
          <w:sz w:val="20"/>
          <w:szCs w:val="20"/>
          <w:color w:val="auto"/>
        </w:rPr>
      </w:pPr>
    </w:p>
    <w:p>
      <w:pPr>
        <w:ind w:right="60" w:firstLine="864"/>
        <w:spacing w:after="0" w:line="255" w:lineRule="auto"/>
        <w:rPr>
          <w:sz w:val="20"/>
          <w:szCs w:val="20"/>
          <w:color w:val="auto"/>
        </w:rPr>
      </w:pPr>
      <w:r>
        <w:rPr>
          <w:rFonts w:ascii="Times New Roman" w:cs="Times New Roman" w:eastAsia="Times New Roman" w:hAnsi="Times New Roman"/>
          <w:sz w:val="18"/>
          <w:szCs w:val="18"/>
          <w:color w:val="auto"/>
        </w:rPr>
        <w:t>The remuneration committee of our Board of Directors administers the 2021 Plan unless our Board of Directors assumes authority for administration. To the extent required to comply with the provisions of Rule 16b-3 (“Rule 16b-3”) under the Exchange Act, each member of the remuneration committee will be, at the time the committee takes any action with respect to an award that is subject to Rule 16b-3, a “non-employee director” within the meaning of Rule 16b-3. The 2021 Plan provides that the board or remuneration committee may delegate its powers under the 2021 Plan; provided, however, in no event may one of our officers or any of our subsidiaries be delegated the authority to grant awards to, or amend awards held by: (i) individuals who are subject to Section 16 of the Exchange Act, or (ii) any of our officers or any of our subsidiaries or directors to whom authority to grant or amend awards has been delegated.</w:t>
      </w:r>
    </w:p>
    <w:p>
      <w:pPr>
        <w:spacing w:after="0" w:line="148" w:lineRule="exact"/>
        <w:rPr>
          <w:sz w:val="20"/>
          <w:szCs w:val="20"/>
          <w:color w:val="auto"/>
        </w:rPr>
      </w:pPr>
    </w:p>
    <w:p>
      <w:pPr>
        <w:ind w:right="100" w:firstLine="864"/>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2021 Plan, the administrator has the authority, subject to any limitations conferred by applicable law or any resolution of the shareholders from time to time,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subject to any limitations conferred by applicable law or any resolution of our shareholders from time to time, adopt, amend or rescind rules relating to administration of the 2021 Plan. Our Board of Directors may at any time remove the delegated committee as the administrator and revest in itself the authority to administer the 2021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00" w:lineRule="exact"/>
        <w:rPr>
          <w:sz w:val="20"/>
          <w:szCs w:val="20"/>
          <w:color w:val="auto"/>
        </w:rPr>
      </w:pPr>
    </w:p>
    <w:p>
      <w:pPr>
        <w:ind w:right="60" w:firstLine="864"/>
        <w:spacing w:after="0" w:line="266" w:lineRule="auto"/>
        <w:rPr>
          <w:sz w:val="20"/>
          <w:szCs w:val="20"/>
          <w:color w:val="auto"/>
        </w:rPr>
      </w:pPr>
      <w:r>
        <w:rPr>
          <w:rFonts w:ascii="Times New Roman" w:cs="Times New Roman" w:eastAsia="Times New Roman" w:hAnsi="Times New Roman"/>
          <w:sz w:val="18"/>
          <w:szCs w:val="18"/>
          <w:color w:val="auto"/>
        </w:rPr>
        <w:t>Options, SARs, restricted share units and all other share-based and cash-based awards under the 2021 Plan may be granted to individuals who are then our officers, employees or consultants or are the officers, employees or consultants of certain of our subsidiaries. Such awards also may be granted to our directors. Only employees of our company or certain of our subsidiaries may be granted incentive share options (“ISOs”).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187"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The 2021 Plan provides that the administrator may grant or issue share options, SARs, restricted share units, other share- or cash-based awards and dividend equivalents, or any combination thereof. Each award will be set forth in a separate agreement with the person receiving the award and will indicate the type, terms and conditions of the award.</w:t>
      </w:r>
    </w:p>
    <w:p>
      <w:pPr>
        <w:spacing w:after="0" w:line="149" w:lineRule="exact"/>
        <w:rPr>
          <w:sz w:val="20"/>
          <w:szCs w:val="20"/>
          <w:color w:val="auto"/>
        </w:rPr>
      </w:pPr>
    </w:p>
    <w:p>
      <w:pPr>
        <w:ind w:left="1300" w:right="100" w:hanging="442"/>
        <w:spacing w:after="0" w:line="258"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share options (“NSOs”) will provide for the right to purchase Shares at a specified price that 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42"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share options (“ISOs”) will be designed in a manner intended to comply with the provisions of Section 422 of the Code and will be subject to specified restrictions contained in the Code. Among such restrictions, ISOs must have an exercise price of not less than the fair market value of a Share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share capital, the 2021 Plan provides that the exercise price must be at least 110% of the fair market value of a Share on the date of grant and the ISO must not be exercisable after a period of five years measured from the date of grant.</w:t>
      </w:r>
    </w:p>
    <w:p>
      <w:pPr>
        <w:spacing w:after="0" w:line="148" w:lineRule="exact"/>
        <w:rPr>
          <w:rFonts w:ascii="Times New Roman" w:cs="Times New Roman" w:eastAsia="Times New Roman" w:hAnsi="Times New Roman"/>
          <w:sz w:val="18"/>
          <w:szCs w:val="18"/>
          <w:color w:val="auto"/>
        </w:rPr>
      </w:pPr>
    </w:p>
    <w:p>
      <w:pPr>
        <w:ind w:left="1300" w:right="180" w:hanging="442"/>
        <w:spacing w:after="0" w:line="261"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may be awarded to any eligible individual, typically without payment of consideration, but subject to vesting conditions based on continued employment or service or on performance criteria established by the administrator. Restricted share units may not be sold, or otherwise transferred or hypothecated, until vesting conditions are removed or expire. Shares underlying restricted share units will not be issued until the restricted share units have vested, and</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recipients of restricted share units generally will have no voting or dividend rights prior to the time when vesting conditions are satisfied.</w:t>
      </w:r>
    </w:p>
    <w:p>
      <w:pPr>
        <w:spacing w:after="0" w:line="212" w:lineRule="exact"/>
        <w:rPr>
          <w:sz w:val="20"/>
          <w:szCs w:val="20"/>
          <w:color w:val="auto"/>
        </w:rPr>
      </w:pPr>
    </w:p>
    <w:p>
      <w:pPr>
        <w:ind w:left="1300" w:right="200" w:hanging="442"/>
        <w:spacing w:after="0" w:line="258"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appreciation rights (“SARs”) may be granted in connection with share options or other awards, or separately. SARs granted in connection with share options or other awards typically will provide for payments to the holder based upon increases in the price of our Shares over a set exercise price. The exercise price of any SAR granted under the 2021 Plan must be at least 100% of the fair market value of a Share on the date of grant. SARs under the 2021 Plan will be settled in cash or Shares, or in a combination of both, at the election of the administrator.</w:t>
      </w:r>
    </w:p>
    <w:p>
      <w:pPr>
        <w:spacing w:after="0" w:line="142" w:lineRule="exact"/>
        <w:rPr>
          <w:rFonts w:ascii="Times New Roman" w:cs="Times New Roman" w:eastAsia="Times New Roman" w:hAnsi="Times New Roman"/>
          <w:sz w:val="18"/>
          <w:szCs w:val="18"/>
          <w:color w:val="auto"/>
        </w:rPr>
      </w:pPr>
    </w:p>
    <w:p>
      <w:pPr>
        <w:ind w:left="1300" w:right="160" w:hanging="442"/>
        <w:spacing w:after="0" w:line="25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Share or cash-based awards are awards of cash, Shares and other awards valued wholly or partially by referring to, or otherwise based on, Shares.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Share or cash-based awards, which may include vesting conditions based on continued service, performance and/or other conditions.</w:t>
      </w:r>
    </w:p>
    <w:p>
      <w:pPr>
        <w:spacing w:after="0" w:line="146" w:lineRule="exact"/>
        <w:rPr>
          <w:rFonts w:ascii="Times New Roman" w:cs="Times New Roman" w:eastAsia="Times New Roman" w:hAnsi="Times New Roman"/>
          <w:sz w:val="18"/>
          <w:szCs w:val="18"/>
          <w:color w:val="auto"/>
        </w:rPr>
      </w:pPr>
    </w:p>
    <w:p>
      <w:pPr>
        <w:ind w:left="1300" w:right="60" w:hanging="442"/>
        <w:spacing w:after="0" w:line="258"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represent the right to receive the equivalent value of dividends paid on Shares and may be granted alone or in tandem with awards other than share options or SARs. Dividend equivalents are credited as of dividend payments dates during the period between a specified date and the date such award terminates or expires, as determined by the plan administrator. In addition, dividend equivalents with respect to awards subject to vesting will only be paid to the participant at the same time or times and to the same extent that the vesting conditions, if any, are subsequently satisfied and the award vests.</w:t>
      </w:r>
    </w:p>
    <w:p>
      <w:pPr>
        <w:spacing w:after="0" w:line="143" w:lineRule="exact"/>
        <w:rPr>
          <w:sz w:val="20"/>
          <w:szCs w:val="20"/>
          <w:color w:val="auto"/>
        </w:rPr>
      </w:pPr>
    </w:p>
    <w:p>
      <w:pPr>
        <w:ind w:right="120" w:firstLine="864"/>
        <w:spacing w:after="0" w:line="282" w:lineRule="auto"/>
        <w:rPr>
          <w:sz w:val="20"/>
          <w:szCs w:val="20"/>
          <w:color w:val="auto"/>
        </w:rPr>
      </w:pPr>
      <w:r>
        <w:rPr>
          <w:rFonts w:ascii="Times New Roman" w:cs="Times New Roman" w:eastAsia="Times New Roman" w:hAnsi="Times New Roman"/>
          <w:sz w:val="18"/>
          <w:szCs w:val="18"/>
          <w:color w:val="auto"/>
        </w:rPr>
        <w:t>Any award may be granted as a performance award, meaning that the award will be subject to vesting and/or payment based on the attainment of specified performance goals.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87" w:lineRule="exact"/>
        <w:rPr>
          <w:sz w:val="20"/>
          <w:szCs w:val="20"/>
          <w:color w:val="auto"/>
        </w:rPr>
      </w:pPr>
    </w:p>
    <w:p>
      <w:pPr>
        <w:ind w:right="100" w:firstLine="864"/>
        <w:spacing w:after="0" w:line="255" w:lineRule="auto"/>
        <w:rPr>
          <w:sz w:val="20"/>
          <w:szCs w:val="20"/>
          <w:color w:val="auto"/>
        </w:rPr>
      </w:pPr>
      <w:r>
        <w:rPr>
          <w:rFonts w:ascii="Times New Roman" w:cs="Times New Roman" w:eastAsia="Times New Roman" w:hAnsi="Times New Roman"/>
          <w:sz w:val="18"/>
          <w:szCs w:val="18"/>
          <w:color w:val="auto"/>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of awards</w:t>
      </w:r>
    </w:p>
    <w:p>
      <w:pPr>
        <w:spacing w:after="0" w:line="200"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In the event of any extraordinary share dividend or other value transfer, share split, reverse share split, reorganization, combination or exchange of shares, merger, consolidation, split-up, spin-off, recapitalization, repurchase or any other corporate event affecting the number of outstanding Shares or the price of our Shares that would require adjustments to the 2021 Plan or any awards under the 2021 Plan in order to prevent the dilution or enlargement of the potential benefits intended to be made available thereunder, the administrator may make appropriate, proportionate adjustments to: (i) the aggregate number and type of Shares subject to the 2021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Participants, Claw-Back Provisions, Transferability and Participant Payments</w:t>
      </w:r>
    </w:p>
    <w:p>
      <w:pPr>
        <w:spacing w:after="0" w:line="187" w:lineRule="exact"/>
        <w:rPr>
          <w:sz w:val="20"/>
          <w:szCs w:val="20"/>
          <w:color w:val="auto"/>
        </w:rPr>
      </w:pPr>
    </w:p>
    <w:p>
      <w:pPr>
        <w:ind w:right="320" w:firstLine="864"/>
        <w:spacing w:after="0" w:line="282" w:lineRule="auto"/>
        <w:rPr>
          <w:sz w:val="20"/>
          <w:szCs w:val="20"/>
          <w:color w:val="auto"/>
        </w:rPr>
      </w:pPr>
      <w:r>
        <w:rPr>
          <w:rFonts w:ascii="Times New Roman" w:cs="Times New Roman" w:eastAsia="Times New Roman" w:hAnsi="Times New Roman"/>
          <w:sz w:val="18"/>
          <w:szCs w:val="18"/>
          <w:color w:val="auto"/>
        </w:rPr>
        <w:t>The plan administrator may modify award terms, establish subplans and/or adjust other terms and conditions of awards, subject to the share limits described above, in order to addresses governmental or regulatory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law, rules, regulations or customs, non-U.S. securities exchange requirements or other regulatory exemptions or approvals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our ordinary shares that meet specified conditions to be repurchased, allow a “market sell order” or such other consideration as it deems suitable.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87"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8"/>
          <w:szCs w:val="18"/>
          <w:color w:val="auto"/>
        </w:rPr>
        <w:t>The administrator may terminate, amend or modify the 2021 Plan at any time and from time to time. However, we must generally obtain the shareholders’ approval to the extent required by applicable law, rule or regulation (including any applicable stock exchange rule). No amendment, other than an increase to the share limit, pursuant to an adjustment, or to comply with or be exempt from Section 409A of the Internal Revenue Code of 1986, as amended, may materially and adversely affect any award outstanding at the time of such amendment without the affected participant’s consent. No award may be granted pursuant to the 2021 Plan after the tenth anniversary of the effective date, provided, however, no incentive share options may be granted pursuant to the 2021 Plan after the tenth anniversary of the earlier of (i) the date the 2021 Plan was adopted by us and (ii) the date the 2021 Plan was approved by our shareholders. Any award that is outstanding on the termination date of the 2021 Plan will remain in force according to the terms of the 2021 Plan and the applicable award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Indemnification</w:t>
      </w:r>
    </w:p>
    <w:p>
      <w:pPr>
        <w:spacing w:after="0" w:line="189" w:lineRule="exact"/>
        <w:rPr>
          <w:sz w:val="20"/>
          <w:szCs w:val="20"/>
          <w:color w:val="auto"/>
        </w:rPr>
      </w:pPr>
    </w:p>
    <w:p>
      <w:pPr>
        <w:ind w:right="860" w:firstLine="864"/>
        <w:spacing w:after="0" w:line="282"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executive officers, and certain other employees. The indemnification agreements require us to indemnify our directors and officers to the fullest extent permitted by Swedish law.</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to such indemnification, we provide our directors and executive officers with directors’ and officers’ lability insurance.</w:t>
      </w:r>
    </w:p>
    <w:p>
      <w:pPr>
        <w:spacing w:after="0" w:line="185" w:lineRule="exact"/>
        <w:rPr>
          <w:sz w:val="20"/>
          <w:szCs w:val="20"/>
          <w:color w:val="auto"/>
        </w:rPr>
      </w:pPr>
    </w:p>
    <w:p>
      <w:pPr>
        <w:ind w:right="20" w:firstLine="864"/>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89"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twelve members. Our Board has determined that Steven Chu, Ann Chung, Bernard Hours, Hannah Jones, Mattias Klintemar, Tomakin Lai, Eric Melloul, Frances Rathke, Yawen Wu and Tim Zhang do not have a relationship that would interfere with the exercise of independent judgment in carrying out the responsibilities of director and that each of these directors is “independent” as that term is defined under the rules of Nasdaq. There are no family relationships among any of our directors or executive officers.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Powers of the Directors</w:t>
      </w:r>
    </w:p>
    <w:p>
      <w:pPr>
        <w:spacing w:after="0" w:line="189" w:lineRule="exact"/>
        <w:rPr>
          <w:sz w:val="20"/>
          <w:szCs w:val="20"/>
          <w:color w:val="auto"/>
        </w:rPr>
      </w:pPr>
    </w:p>
    <w:p>
      <w:pPr>
        <w:ind w:right="20" w:firstLine="864"/>
        <w:spacing w:after="0" w:line="266" w:lineRule="auto"/>
        <w:rPr>
          <w:sz w:val="20"/>
          <w:szCs w:val="20"/>
          <w:color w:val="auto"/>
        </w:rPr>
      </w:pPr>
      <w:r>
        <w:rPr>
          <w:rFonts w:ascii="Times New Roman" w:cs="Times New Roman" w:eastAsia="Times New Roman" w:hAnsi="Times New Roman"/>
          <w:sz w:val="18"/>
          <w:szCs w:val="18"/>
          <w:color w:val="auto"/>
        </w:rPr>
        <w:t>Our Board of Directors directs our policy and supervises the performance of our chief executive officer and his actions. Our Board of Directors may exercise all powers that are not required under the Swedish Companies Act or under our articles of association to be exercised or taken by our shareholders.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202" w:lineRule="exact"/>
        <w:rPr>
          <w:sz w:val="20"/>
          <w:szCs w:val="20"/>
          <w:color w:val="auto"/>
        </w:rPr>
      </w:pPr>
    </w:p>
    <w:p>
      <w:pPr>
        <w:ind w:right="220" w:firstLine="864"/>
        <w:spacing w:after="0" w:line="261" w:lineRule="auto"/>
        <w:rPr>
          <w:sz w:val="20"/>
          <w:szCs w:val="20"/>
          <w:color w:val="auto"/>
        </w:rPr>
      </w:pPr>
      <w:r>
        <w:rPr>
          <w:rFonts w:ascii="Times New Roman" w:cs="Times New Roman" w:eastAsia="Times New Roman" w:hAnsi="Times New Roman"/>
          <w:sz w:val="18"/>
          <w:szCs w:val="18"/>
          <w:color w:val="auto"/>
        </w:rPr>
        <w:t>Our articles of association provide that our Board of Directors shall consist of three to thirteen members with no more than five deputy board members. Our Board of Directors currently has twelve members. Members shall serve for a term ending on the date of the third annual general meeting following the annual general meeting at which such member was appointed, provided that the term of each member of the board shall continue until the election of his or her successor and be subject to his or her earlier death, resignation or removal.</w:t>
      </w:r>
    </w:p>
    <w:p>
      <w:pPr>
        <w:spacing w:after="0" w:line="137" w:lineRule="exact"/>
        <w:rPr>
          <w:sz w:val="20"/>
          <w:szCs w:val="20"/>
          <w:color w:val="auto"/>
        </w:rPr>
      </w:pPr>
    </w:p>
    <w:p>
      <w:pPr>
        <w:ind w:right="3840" w:firstLine="864"/>
        <w:spacing w:after="0" w:line="462" w:lineRule="auto"/>
        <w:rPr>
          <w:sz w:val="20"/>
          <w:szCs w:val="20"/>
          <w:color w:val="auto"/>
        </w:rPr>
      </w:pPr>
      <w:r>
        <w:rPr>
          <w:rFonts w:ascii="Times New Roman" w:cs="Times New Roman" w:eastAsia="Times New Roman" w:hAnsi="Times New Roman"/>
          <w:sz w:val="18"/>
          <w:szCs w:val="18"/>
          <w:color w:val="auto"/>
        </w:rPr>
        <w:t>For information as to shareholder appointment rights, see Item 6.A. “</w:t>
      </w:r>
      <w:r>
        <w:rPr>
          <w:rFonts w:ascii="Times New Roman" w:cs="Times New Roman" w:eastAsia="Times New Roman" w:hAnsi="Times New Roman"/>
          <w:sz w:val="18"/>
          <w:szCs w:val="18"/>
          <w:i w:val="1"/>
          <w:iCs w:val="1"/>
          <w:color w:val="auto"/>
        </w:rPr>
        <w:t>Appointment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Removal of Directors</w:t>
      </w:r>
    </w:p>
    <w:p>
      <w:pPr>
        <w:spacing w:after="0" w:line="2" w:lineRule="exact"/>
        <w:rPr>
          <w:sz w:val="20"/>
          <w:szCs w:val="20"/>
          <w:color w:val="auto"/>
        </w:rPr>
      </w:pPr>
    </w:p>
    <w:p>
      <w:pPr>
        <w:ind w:right="360" w:firstLine="864"/>
        <w:spacing w:after="0" w:line="282" w:lineRule="auto"/>
        <w:rPr>
          <w:sz w:val="20"/>
          <w:szCs w:val="20"/>
          <w:color w:val="auto"/>
        </w:rPr>
      </w:pPr>
      <w:r>
        <w:rPr>
          <w:rFonts w:ascii="Times New Roman" w:cs="Times New Roman" w:eastAsia="Times New Roman" w:hAnsi="Times New Roman"/>
          <w:sz w:val="18"/>
          <w:szCs w:val="18"/>
          <w:color w:val="auto"/>
        </w:rPr>
        <w:t>Under the Swedish Companies Act, directors appointed at a general meeting may be removed by a resolution adopted at a general meeting, upon the affirmative vote of a simple majority of the votes cast.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 on the Board of Directors</w:t>
      </w:r>
    </w:p>
    <w:p>
      <w:pPr>
        <w:spacing w:after="0" w:line="189"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Under the Swedish Companies Act, if a board member’s tenure should terminate prematurely, the other members of the Board of Directors shall take measures to appoint a new director for the remainder of the term, unless the outgoing board member was an employee representative. If the outgoing board member was elected by the shareholders, then the election of a new board member may be deferred until the time of the next annual general meeting, providing there are enough remaining board members to constitute a quorum.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Board Members and Conflicts of Interest</w:t>
      </w:r>
    </w:p>
    <w:p>
      <w:pPr>
        <w:spacing w:after="0" w:line="189"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Pursuant to the Swedish Companies Act, the Board of Directors is responsible for the organization of the Company and the management of the Company’s affairs, which means that the Board of Directors is responsible for, among other things, setting targets and strategies, securing routines and systems for evaluation of established targets, continuously assessing the financial position and profits and evaluating the operating management. Under Swedish law, members of our board have a duty of loyalty to act honestly, in good faith and with a view to our best interests. The members of our board also have a duty to exercise the care, diligence and skills that a reasonably prudent person would exercise in comparable circumstances. In fulfilling their duty of care to us, the members of our board must ensure compliance with our articles of association. In certain limited circumstances, a shareholder has the right to seek damages if a duty owed by a member of our board is breached.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requirements</w:t>
      </w:r>
    </w:p>
    <w:p>
      <w:pPr>
        <w:spacing w:after="0" w:line="189" w:lineRule="exact"/>
        <w:rPr>
          <w:sz w:val="20"/>
          <w:szCs w:val="20"/>
          <w:color w:val="auto"/>
        </w:rPr>
      </w:pPr>
    </w:p>
    <w:p>
      <w:pPr>
        <w:ind w:right="300" w:firstLine="864"/>
        <w:spacing w:after="0" w:line="282" w:lineRule="auto"/>
        <w:rPr>
          <w:sz w:val="20"/>
          <w:szCs w:val="20"/>
          <w:color w:val="auto"/>
        </w:rPr>
      </w:pPr>
      <w:r>
        <w:rPr>
          <w:rFonts w:ascii="Times New Roman" w:cs="Times New Roman" w:eastAsia="Times New Roman" w:hAnsi="Times New Roman"/>
          <w:sz w:val="18"/>
          <w:szCs w:val="18"/>
          <w:color w:val="auto"/>
        </w:rPr>
        <w:t>We must have an audit committee that satisfies Nasdaq Rule 5605(c)(3), which addresses audit committee responsibilities and authority and requires that the audit committee consist of members who meet the independence requirements of Nasdaq Rule 5605(c)(2)(A)(ii).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role</w:t>
      </w:r>
    </w:p>
    <w:p>
      <w:pPr>
        <w:spacing w:after="0" w:line="202" w:lineRule="exact"/>
        <w:rPr>
          <w:sz w:val="20"/>
          <w:szCs w:val="20"/>
          <w:color w:val="auto"/>
        </w:rPr>
      </w:pPr>
    </w:p>
    <w:p>
      <w:pPr>
        <w:ind w:right="60" w:firstLine="864"/>
        <w:spacing w:after="0" w:line="258" w:lineRule="auto"/>
        <w:rPr>
          <w:sz w:val="20"/>
          <w:szCs w:val="20"/>
          <w:color w:val="auto"/>
        </w:rPr>
      </w:pPr>
      <w:r>
        <w:rPr>
          <w:rFonts w:ascii="Times New Roman" w:cs="Times New Roman" w:eastAsia="Times New Roman" w:hAnsi="Times New Roman"/>
          <w:sz w:val="18"/>
          <w:szCs w:val="18"/>
          <w:color w:val="auto"/>
        </w:rPr>
        <w:t>The audit committee, which consists of Ann Chung, Mattias Klintemar and Frances Rathke, assists the board in overseeing our accounting and financial reporting processes and the audits of our financial statements. Frances Rathke serves as Chairman of the committee. The audit committee consists exclusively of members of our board who are financially literate, and Frances Rathke is considered an “audit committee financial expert” as defined by the SEC. Our board has determined that Ann Chung, Mattias Klintemar and Frances Rathke satisfy the “independence” requirements set forth in Rule 10A-3 under the Exchange Act and Nasdaq. The audit committee is governed by a charter that complies with Nasdaq rules.</w:t>
      </w:r>
    </w:p>
    <w:p>
      <w:pPr>
        <w:spacing w:after="0" w:line="1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85" w:lineRule="exact"/>
        <w:rPr>
          <w:sz w:val="20"/>
          <w:szCs w:val="20"/>
          <w:color w:val="auto"/>
        </w:rPr>
      </w:pPr>
    </w:p>
    <w:p>
      <w:pPr>
        <w:ind w:left="1300" w:right="200" w:hanging="442"/>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(as permitted pursuant to the applicable instructions under Rule 10A-3) the appointment of the independent auditor to the general meeting of shareholders;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300" w:right="180" w:hanging="44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appointment, compensation, retention and oversight of any accounting firm engaged for the purpose of preparing or issuing an audit report or performing other audit services;</w:t>
      </w:r>
    </w:p>
    <w:p>
      <w:pPr>
        <w:spacing w:after="0" w:line="121" w:lineRule="exact"/>
        <w:rPr>
          <w:rFonts w:ascii="Times New Roman" w:cs="Times New Roman" w:eastAsia="Times New Roman" w:hAnsi="Times New Roman"/>
          <w:sz w:val="18"/>
          <w:szCs w:val="18"/>
          <w:color w:val="auto"/>
        </w:rPr>
      </w:pPr>
    </w:p>
    <w:p>
      <w:pPr>
        <w:ind w:left="1300" w:hanging="44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audit services and non-audit services to be provided by our independent auditor before the auditor is engaged to render such services;</w:t>
      </w:r>
    </w:p>
    <w:p>
      <w:pPr>
        <w:spacing w:after="0" w:line="121" w:lineRule="exact"/>
        <w:rPr>
          <w:rFonts w:ascii="Times New Roman" w:cs="Times New Roman" w:eastAsia="Times New Roman" w:hAnsi="Times New Roman"/>
          <w:sz w:val="18"/>
          <w:szCs w:val="18"/>
          <w:color w:val="auto"/>
        </w:rPr>
      </w:pPr>
    </w:p>
    <w:p>
      <w:pPr>
        <w:ind w:left="1300" w:right="40" w:hanging="44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 and presenting its conclusions to the full board on at least an annual basis;</w:t>
      </w:r>
    </w:p>
    <w:p>
      <w:pPr>
        <w:spacing w:after="0" w:line="121" w:lineRule="exact"/>
        <w:rPr>
          <w:rFonts w:ascii="Times New Roman" w:cs="Times New Roman" w:eastAsia="Times New Roman" w:hAnsi="Times New Roman"/>
          <w:sz w:val="18"/>
          <w:szCs w:val="18"/>
          <w:color w:val="auto"/>
        </w:rPr>
      </w:pPr>
    </w:p>
    <w:p>
      <w:pPr>
        <w:ind w:left="1300" w:right="200" w:hanging="442"/>
        <w:spacing w:after="0" w:line="312" w:lineRule="auto"/>
        <w:tabs>
          <w:tab w:leader="none" w:pos="1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the board and the independent auditor our annual audited financial statements and quarterly financial statements prior to the filing of the respective annual and quarterly reports and the public disclosure of our quarterly earnings releases;</w:t>
      </w:r>
    </w:p>
    <w:p>
      <w:pPr>
        <w:spacing w:after="0" w:line="99" w:lineRule="exact"/>
        <w:rPr>
          <w:rFonts w:ascii="Times New Roman" w:cs="Times New Roman" w:eastAsia="Times New Roman" w:hAnsi="Times New Roman"/>
          <w:sz w:val="17"/>
          <w:szCs w:val="17"/>
          <w:color w:val="auto"/>
        </w:rPr>
      </w:pPr>
    </w:p>
    <w:p>
      <w:pPr>
        <w:ind w:left="1300" w:right="160" w:hanging="44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policies with respect to risk assessment and risk management and overseeing management of the Company’s enterprise risk, including financial and cybersecurity risks.</w:t>
      </w:r>
    </w:p>
    <w:p>
      <w:pPr>
        <w:spacing w:after="0" w:line="121" w:lineRule="exact"/>
        <w:rPr>
          <w:rFonts w:ascii="Times New Roman" w:cs="Times New Roman" w:eastAsia="Times New Roman" w:hAnsi="Times New Roman"/>
          <w:sz w:val="18"/>
          <w:szCs w:val="18"/>
          <w:color w:val="auto"/>
        </w:rPr>
      </w:pPr>
    </w:p>
    <w:p>
      <w:pPr>
        <w:ind w:left="1300" w:right="460" w:hanging="44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compliance with laws and regulations, including major legal and regulatory initiatives and also reviewing any major litigation or investigations against us that may have a material impact on our financial statements; and</w:t>
      </w:r>
    </w:p>
    <w:p>
      <w:pPr>
        <w:spacing w:after="0" w:line="121" w:lineRule="exact"/>
        <w:rPr>
          <w:rFonts w:ascii="Times New Roman" w:cs="Times New Roman" w:eastAsia="Times New Roman" w:hAnsi="Times New Roman"/>
          <w:sz w:val="18"/>
          <w:szCs w:val="18"/>
          <w:color w:val="auto"/>
        </w:rPr>
      </w:pPr>
    </w:p>
    <w:p>
      <w:pPr>
        <w:ind w:left="1300" w:right="320" w:hanging="442"/>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ratifying any related party transaction (as defined in our related party transaction policy) in accordance with our related party transaction policy.</w:t>
      </w:r>
    </w:p>
    <w:p>
      <w:pPr>
        <w:spacing w:after="0" w:line="121"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8"/>
          <w:szCs w:val="18"/>
          <w:color w:val="auto"/>
        </w:rPr>
        <w:t>The audit committee meets as often as one or more members of the audit committee deem necessary, but in any event meets at least four times per year. The audit committee meets at least once per year with our independent accountant, without our executive officers being present.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committee</w:t>
      </w:r>
    </w:p>
    <w:p>
      <w:pPr>
        <w:spacing w:after="0" w:line="189" w:lineRule="exact"/>
        <w:rPr>
          <w:sz w:val="20"/>
          <w:szCs w:val="20"/>
          <w:color w:val="auto"/>
        </w:rPr>
      </w:pPr>
    </w:p>
    <w:p>
      <w:pPr>
        <w:ind w:right="260" w:firstLine="864"/>
        <w:spacing w:after="0" w:line="266" w:lineRule="auto"/>
        <w:rPr>
          <w:sz w:val="20"/>
          <w:szCs w:val="20"/>
          <w:color w:val="auto"/>
        </w:rPr>
      </w:pPr>
      <w:r>
        <w:rPr>
          <w:rFonts w:ascii="Times New Roman" w:cs="Times New Roman" w:eastAsia="Times New Roman" w:hAnsi="Times New Roman"/>
          <w:sz w:val="18"/>
          <w:szCs w:val="18"/>
          <w:color w:val="auto"/>
        </w:rPr>
        <w:t>The remuneration committee, which consists of Mattias Klintemar, Eric Melloul and Yawen Wu, assists the board in determining executive officer compensation. Mattias Klintemar serves as Chairman of the committee. The committee recommends to the board for determination the compensation of each of our executive officers.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remuneration committee is responsible for:</w:t>
      </w:r>
    </w:p>
    <w:p>
      <w:pPr>
        <w:spacing w:after="0" w:line="198" w:lineRule="exact"/>
        <w:rPr>
          <w:sz w:val="20"/>
          <w:szCs w:val="20"/>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approving corporate goals and objectives relevant to executive officer compensation;</w:t>
      </w:r>
    </w:p>
    <w:p>
      <w:pPr>
        <w:spacing w:after="0" w:line="211" w:lineRule="exact"/>
        <w:rPr>
          <w:rFonts w:ascii="Times New Roman" w:cs="Times New Roman" w:eastAsia="Times New Roman" w:hAnsi="Times New Roman"/>
          <w:sz w:val="18"/>
          <w:szCs w:val="18"/>
          <w:color w:val="auto"/>
        </w:rPr>
      </w:pPr>
    </w:p>
    <w:p>
      <w:pPr>
        <w:ind w:left="1300" w:right="220" w:hanging="442"/>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possible outcomes of the variable remuneration components and how they may affect the remuneration of our executive officers;</w:t>
      </w:r>
    </w:p>
    <w:p>
      <w:pPr>
        <w:spacing w:after="0" w:line="121" w:lineRule="exact"/>
        <w:rPr>
          <w:rFonts w:ascii="Times New Roman" w:cs="Times New Roman" w:eastAsia="Times New Roman" w:hAnsi="Times New Roman"/>
          <w:sz w:val="18"/>
          <w:szCs w:val="18"/>
          <w:color w:val="auto"/>
        </w:rPr>
      </w:pPr>
    </w:p>
    <w:p>
      <w:pPr>
        <w:ind w:left="1300" w:right="800" w:hanging="442"/>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each executive officer’s performance in light of such goals and objectives and determining each executive officer’s compensation based on such evaluation;</w:t>
      </w:r>
    </w:p>
    <w:p>
      <w:pPr>
        <w:spacing w:after="0" w:line="121" w:lineRule="exact"/>
        <w:rPr>
          <w:rFonts w:ascii="Times New Roman" w:cs="Times New Roman" w:eastAsia="Times New Roman" w:hAnsi="Times New Roman"/>
          <w:sz w:val="18"/>
          <w:szCs w:val="18"/>
          <w:color w:val="auto"/>
        </w:rPr>
      </w:pPr>
    </w:p>
    <w:p>
      <w:pPr>
        <w:ind w:left="1300" w:right="460" w:hanging="442"/>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any long-term incentive component of each executive officer’s compensation in line with the remuneration policy and reviewing our executive officer compensation and benefits policies generally;</w:t>
      </w:r>
    </w:p>
    <w:p>
      <w:pPr>
        <w:spacing w:after="0" w:line="121" w:lineRule="exact"/>
        <w:rPr>
          <w:rFonts w:ascii="Times New Roman" w:cs="Times New Roman" w:eastAsia="Times New Roman" w:hAnsi="Times New Roman"/>
          <w:sz w:val="18"/>
          <w:szCs w:val="18"/>
          <w:color w:val="auto"/>
        </w:rPr>
      </w:pPr>
    </w:p>
    <w:p>
      <w:pPr>
        <w:ind w:left="1300" w:right="600" w:hanging="442"/>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regarding director compensation, subject to any applicable shareholder approval requirements pursuant to Swedish law; and</w:t>
      </w:r>
    </w:p>
    <w:p>
      <w:pPr>
        <w:spacing w:after="0" w:line="121" w:lineRule="exact"/>
        <w:rPr>
          <w:rFonts w:ascii="Times New Roman" w:cs="Times New Roman" w:eastAsia="Times New Roman" w:hAnsi="Times New Roman"/>
          <w:sz w:val="18"/>
          <w:szCs w:val="18"/>
          <w:color w:val="auto"/>
        </w:rPr>
      </w:pPr>
    </w:p>
    <w:p>
      <w:pPr>
        <w:ind w:left="1300" w:right="280" w:hanging="442"/>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risks arising from our compensation policies and practices for our employees and whether any such risks are reasonably likely to have a material adverse effect on us.</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89" w:lineRule="exact"/>
        <w:rPr>
          <w:sz w:val="20"/>
          <w:szCs w:val="20"/>
          <w:color w:val="auto"/>
        </w:rPr>
      </w:pPr>
    </w:p>
    <w:p>
      <w:pPr>
        <w:jc w:val="both"/>
        <w:ind w:right="580" w:firstLine="864"/>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which consists of Steven Chu, Hannah Jones and Tim Zhang, assists our board in identifying individuals qualified to become members of our board consistent with criteria established by our board and in developing our corporate governance principles. Steven Chu serves as Chairman of the committee.</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w:t>
      </w:r>
    </w:p>
    <w:p>
      <w:pPr>
        <w:spacing w:after="0" w:line="185" w:lineRule="exact"/>
        <w:rPr>
          <w:sz w:val="20"/>
          <w:szCs w:val="20"/>
          <w:color w:val="auto"/>
        </w:rPr>
      </w:pPr>
    </w:p>
    <w:p>
      <w:pPr>
        <w:ind w:left="1300" w:right="600" w:hanging="442"/>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and ensuring these individuals have the requisite expertise with sufficiently diverse and independent backgrounds;</w:t>
      </w:r>
    </w:p>
    <w:p>
      <w:pPr>
        <w:spacing w:after="0" w:line="12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composition, function and duties of our board;</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for selection to our board and its corresponding committees;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as to determinations of board member independence;</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board in a self-evaluation, at least annually, to determine whether it and its committees are functioning effectively;</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efforts with regard to environmental, social and governance matters; and</w:t>
      </w:r>
    </w:p>
    <w:p>
      <w:pPr>
        <w:spacing w:after="0" w:line="211" w:lineRule="exact"/>
        <w:rPr>
          <w:rFonts w:ascii="Times New Roman" w:cs="Times New Roman" w:eastAsia="Times New Roman" w:hAnsi="Times New Roman"/>
          <w:sz w:val="18"/>
          <w:szCs w:val="18"/>
          <w:color w:val="auto"/>
        </w:rPr>
      </w:pPr>
    </w:p>
    <w:p>
      <w:pPr>
        <w:ind w:left="1300" w:hanging="442"/>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our rules governing the board and Business Conduct and Ethics Guidelines and reviewing and reassessing the adequacy of such rules governing the board and Business Conduct and Ethics Guidelines and recommending any proposed changes to the board.</w:t>
      </w:r>
    </w:p>
    <w:p>
      <w:pPr>
        <w:spacing w:after="0" w:line="1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2021, we had 1,615 employees. The Company also employs a significant number of consultants. During the year ended December 31, 2021, we employed an average of 310 consultants.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table below sets out the number of employees by geography: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Geography</w:t>
            </w:r>
          </w:p>
        </w:tc>
        <w:tc>
          <w:tcPr>
            <w:tcW w:w="12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60" w:type="dxa"/>
            <w:vAlign w:val="bottom"/>
            <w:gridSpan w:val="2"/>
            <w:vMerge w:val="continue"/>
          </w:tcPr>
          <w:p>
            <w:pPr>
              <w:spacing w:after="0"/>
              <w:rPr>
                <w:sz w:val="15"/>
                <w:szCs w:val="15"/>
                <w:color w:val="auto"/>
              </w:rPr>
            </w:pPr>
          </w:p>
        </w:tc>
        <w:tc>
          <w:tcPr>
            <w:tcW w:w="12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7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15"/>
                <w:szCs w:val="15"/>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w:t>
            </w:r>
            <w:r>
              <w:rPr>
                <w:rFonts w:ascii="Times New Roman" w:cs="Times New Roman" w:eastAsia="Times New Roman" w:hAnsi="Times New Roman"/>
                <w:sz w:val="15"/>
                <w:szCs w:val="15"/>
                <w:color w:val="auto"/>
              </w:rPr>
              <w:t>2</w:t>
            </w:r>
          </w:p>
        </w:tc>
        <w:tc>
          <w:tcPr>
            <w:tcW w:w="12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1,615</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EMEA employees are located in Sweden.</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employees primarily based in Shanghai, Hong Kong and Singapore.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table below sets out the number of employees by category of activity: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60" w:type="dxa"/>
            <w:vAlign w:val="bottom"/>
            <w:gridSpan w:val="2"/>
            <w:vMerge w:val="continue"/>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7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 supply chain and operations</w:t>
            </w:r>
          </w:p>
        </w:tc>
        <w:tc>
          <w:tcPr>
            <w:tcW w:w="1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Innovation management and research and development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and branding</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Corporate Management, IT, HR and Sustainability &amp; Internal Communication.</w:t>
      </w:r>
    </w:p>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line with industry standards in the country of employment, our employees maintain a range of relationships with union groups.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have not previously experienced labor-related work stoppages or strikes and believe that our relations with our employees are satisfactory.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02" w:lineRule="exact"/>
        <w:rPr>
          <w:sz w:val="20"/>
          <w:szCs w:val="20"/>
          <w:color w:val="auto"/>
        </w:rPr>
      </w:pPr>
    </w:p>
    <w:p>
      <w:pPr>
        <w:ind w:right="180" w:firstLine="864"/>
        <w:spacing w:after="0" w:line="266" w:lineRule="auto"/>
        <w:rPr>
          <w:sz w:val="20"/>
          <w:szCs w:val="20"/>
          <w:color w:val="auto"/>
        </w:rPr>
      </w:pPr>
      <w:r>
        <w:rPr>
          <w:rFonts w:ascii="Times New Roman" w:cs="Times New Roman" w:eastAsia="Times New Roman" w:hAnsi="Times New Roman"/>
          <w:sz w:val="18"/>
          <w:szCs w:val="18"/>
          <w:color w:val="auto"/>
        </w:rPr>
        <w:t>For information regarding the share ownership of directors and officers, see Item 7.A. “Major Shareholders and Related Party Transactions— Major Shareholders.” For information as to our equity incentive plans, see Item 6.B. “Director, Senior Management and Employees—Compensation— Incentive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March 31, 2022 by:</w:t>
      </w:r>
    </w:p>
    <w:p>
      <w:pPr>
        <w:spacing w:after="0" w:line="198" w:lineRule="exact"/>
        <w:rPr>
          <w:sz w:val="20"/>
          <w:szCs w:val="20"/>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our outstanding ordinary shares;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our Board of Directors; and</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our Board of Directors as a group.</w:t>
      </w:r>
    </w:p>
    <w:p>
      <w:pPr>
        <w:spacing w:after="0" w:line="212"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executive officer or board member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31, 2022 through the exercise of any option, restricted stock unit and warrant or other right. Except as otherwise indicated, and subject to applicable community property laws, the persons named in the table have sole voting and investment power with respect to all ordinary shares held by that person.</w:t>
      </w:r>
    </w:p>
    <w:p>
      <w:pPr>
        <w:spacing w:after="0" w:line="1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Unless otherwise indicated below, the address for each beneficial owner listed is Oatly Group AB, Jagaregatan 4 211 19 Malmö, Sweden.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material transactions between us and principal shareholders, see Item 7.B. “Major Shareholders and Related Party Transactions—Related Party Transactions.”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4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7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5% or Greater Shareholders</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r>
      <w:tr>
        <w:trPr>
          <w:trHeight w:val="23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Nativus Company Limited</w:t>
            </w:r>
            <w:r>
              <w:rPr>
                <w:rFonts w:ascii="Times New Roman" w:cs="Times New Roman" w:eastAsia="Times New Roman" w:hAnsi="Times New Roman"/>
                <w:sz w:val="15"/>
                <w:szCs w:val="15"/>
                <w:color w:val="auto"/>
              </w:rPr>
              <w:t>(1)</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271,763,953</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7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Blackstone Funds</w:t>
            </w:r>
            <w:r>
              <w:rPr>
                <w:rFonts w:ascii="Times New Roman" w:cs="Times New Roman" w:eastAsia="Times New Roman" w:hAnsi="Times New Roman"/>
                <w:sz w:val="15"/>
                <w:szCs w:val="15"/>
                <w:color w:val="auto"/>
              </w:rPr>
              <w:t>(2)</w:t>
            </w: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39,778,182</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7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Board Members</w:t>
            </w: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Toni Petersson</w:t>
            </w:r>
            <w:r>
              <w:rPr>
                <w:rFonts w:ascii="Times New Roman" w:cs="Times New Roman" w:eastAsia="Times New Roman" w:hAnsi="Times New Roman"/>
                <w:sz w:val="15"/>
                <w:szCs w:val="15"/>
                <w:color w:val="auto"/>
              </w:rPr>
              <w:t>(3)</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9,281,355</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Christian Hanke</w:t>
            </w:r>
            <w:r>
              <w:rPr>
                <w:rFonts w:ascii="Times New Roman" w:cs="Times New Roman" w:eastAsia="Times New Roman" w:hAnsi="Times New Roman"/>
                <w:sz w:val="15"/>
                <w:szCs w:val="15"/>
                <w:color w:val="auto"/>
              </w:rPr>
              <w:t>(4)</w:t>
            </w: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893,209</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Fredrik Berg</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Steven Chu</w:t>
            </w:r>
            <w:r>
              <w:rPr>
                <w:rFonts w:ascii="Times New Roman" w:cs="Times New Roman" w:eastAsia="Times New Roman" w:hAnsi="Times New Roman"/>
                <w:sz w:val="15"/>
                <w:szCs w:val="15"/>
                <w:color w:val="auto"/>
              </w:rPr>
              <w:t>(5)</w:t>
            </w: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8,235</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Ann Chung</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Bernard Hours</w:t>
            </w:r>
            <w:r>
              <w:rPr>
                <w:rFonts w:ascii="Times New Roman" w:cs="Times New Roman" w:eastAsia="Times New Roman" w:hAnsi="Times New Roman"/>
                <w:sz w:val="15"/>
                <w:szCs w:val="15"/>
                <w:color w:val="auto"/>
              </w:rPr>
              <w:t>(6)</w:t>
            </w: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33,507</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Hannah Jones</w:t>
            </w:r>
            <w:r>
              <w:rPr>
                <w:rFonts w:ascii="Times New Roman" w:cs="Times New Roman" w:eastAsia="Times New Roman" w:hAnsi="Times New Roman"/>
                <w:sz w:val="15"/>
                <w:szCs w:val="15"/>
                <w:color w:val="auto"/>
              </w:rPr>
              <w:t>(5)</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8,235</w:t>
            </w:r>
          </w:p>
        </w:tc>
        <w:tc>
          <w:tcPr>
            <w:tcW w:w="16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Mattias Klintemar</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Tomakin Lai</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Eric Melloul</w:t>
            </w: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58,482</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Frances Rathke</w:t>
            </w:r>
            <w:r>
              <w:rPr>
                <w:rFonts w:ascii="Times New Roman" w:cs="Times New Roman" w:eastAsia="Times New Roman" w:hAnsi="Times New Roman"/>
                <w:sz w:val="15"/>
                <w:szCs w:val="15"/>
                <w:color w:val="auto"/>
              </w:rPr>
              <w:t>(5)</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8,235</w:t>
            </w:r>
          </w:p>
        </w:tc>
        <w:tc>
          <w:tcPr>
            <w:tcW w:w="16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Yawen Wu</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 Zhang</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board members as a group (13 persons)</w:t>
            </w:r>
          </w:p>
        </w:tc>
        <w:tc>
          <w:tcPr>
            <w:tcW w:w="16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10,291,258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972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1" w:lineRule="exact"/>
        <w:rPr>
          <w:sz w:val="20"/>
          <w:szCs w:val="20"/>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ordinary shares.</w:t>
      </w:r>
    </w:p>
    <w:p>
      <w:pPr>
        <w:spacing w:after="0" w:line="198" w:lineRule="exact"/>
        <w:rPr>
          <w:sz w:val="20"/>
          <w:szCs w:val="20"/>
          <w:color w:val="auto"/>
        </w:rPr>
      </w:pPr>
    </w:p>
    <w:p>
      <w:pPr>
        <w:ind w:left="580" w:right="40" w:hanging="572"/>
        <w:spacing w:after="0" w:line="268" w:lineRule="auto"/>
        <w:tabs>
          <w:tab w:leader="none" w:pos="5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a Schedule 13G filed with the SEC on February 14, 2022, Nativus Company Limited directly holds 271,763,953 shares of the Company. Nativus Company Limited is a wholly owned subsidiary of China Resources Verlinvest Health Investment Limited (“CRVV”), a limited company incorporated in Hong Kong and a joint venture that is 50% owned by Verlinvest S.A., a company incorporated in Belgium, and 50% owned by Blossom Key (Hong Kong) Holdings Limited, a limited company incorporated in Hong Kong. Each of Nativus Company Limited and CRVV have sole voting and dispositive power over 271,763,953 ordinary shares. Blossom Key (Hong Kong) Holdings Limited is a wholly owned subsidiary of CRH (CRE) Limited. CRH (CRE) Limited is a wholly owned subsidiary of China Resources (Holdings) Company Limited. CRC Bluesky Limited holds substantially all the voting shares in China Resources (Holdings) Company Limited. CRC Bluesky Limited is a wholly owned subsidiary of China Resources Inc. China Resources Company Limited holds substantially all the shares in China Resources Inc.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 of the People’s Republic of China. Each of Blossom Key (Hong Kong) Holdings Limited, CRH (CRE) Limited, China Resources (Holdings) Company Limited, CRC Bluesky Limited, China Resources Inc., China Resources Company Limited and Verlinvest S.A. have shared voting and dispositive power over 271,763,953 ordinary shares. The address for Nativus Company Limited is 39F, China Resources Building, 26 Harbour Road, Wanchai, Hong Kong and the address for CRVV is 39F, China Resources Building, 26 Harbour Road, Wanchai, Hong Kong.</w:t>
      </w:r>
    </w:p>
    <w:p>
      <w:pPr>
        <w:spacing w:after="0" w:line="143" w:lineRule="exact"/>
        <w:rPr>
          <w:rFonts w:ascii="Times New Roman" w:cs="Times New Roman" w:eastAsia="Times New Roman" w:hAnsi="Times New Roman"/>
          <w:sz w:val="17"/>
          <w:szCs w:val="17"/>
          <w:color w:val="auto"/>
        </w:rPr>
      </w:pPr>
    </w:p>
    <w:p>
      <w:pPr>
        <w:ind w:left="580" w:right="80" w:hanging="572"/>
        <w:spacing w:after="0" w:line="274" w:lineRule="auto"/>
        <w:tabs>
          <w:tab w:leader="none" w:pos="5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a Schedule 13G filed with the SEC on February 11, 2022, represents 39,402,666 ordinary shares directly held by BXG Redhawk S.à r.l. and 375,516 ordinary shares directly held by BXG SPV ESC (CYM) L.P. (together, the “Blackstone Funds”). BXG Redhawk S.à r.l. is controlled by BXG Redhawk Holdings (CYM) L.P., the general partner of which is BXG Holdings Manager L.L.C. Blackstone Growth Associates L.P. is the managing member of BXG Holdings Manager L.L.C and BXGA L.L.C. is the general partner of Blackstone Growth Associates L.P. Blackstone Holdings II L.P. is the managing member of BXGA L.L.C. The general partner of BXG SPV ESC (CYM) L.P. is BXG Side-by-Side GP L.L.C. Blackstone Holdings II L.P. is the sole member of BXG Side-by-Side GP L.L.C. Blackstone Holdings I/II GP L.L.C. is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580"/>
        <w:spacing w:after="0" w:line="253" w:lineRule="auto"/>
        <w:rPr>
          <w:sz w:val="20"/>
          <w:szCs w:val="20"/>
          <w:color w:val="auto"/>
        </w:rPr>
      </w:pPr>
      <w:r>
        <w:rPr>
          <w:rFonts w:ascii="Times New Roman" w:cs="Times New Roman" w:eastAsia="Times New Roman" w:hAnsi="Times New Roman"/>
          <w:sz w:val="18"/>
          <w:szCs w:val="18"/>
          <w:color w:val="auto"/>
        </w:rPr>
        <w:t>the general partner of Blackstone Holdings II L.P. The Blackstone Group Inc. is the sole member of Blackstone Holdings I/II GP L.L.C. The sole holder of the Series II preferred stock of The Blackstone Group Inc. is Blackstone Group Management L.L.C. Blackstone Group Management L.L.C. is wholly owned by Blackstone’s senior managing directors and controlled by its founder, Stephen A. Schwarzman. BXG Redhawk S.à r.l. has sole voting and dispositive power over 39,402,666 ordinary shares. Each of BXG SPV ESC (CYM) L.P. and BXG Side-by-Side GP L.L.C. have sole voting and dispositive power over 375,516 ordinary shares. BXG Redhawk Holdings (CYM) L.P., BXG Holdings Manager L.L.C., Blackstone Growth Associates L.P. and BXGA L.L.C. have shared voting and dispositive power over 39,402,666 ordinary shares. Each of Blackstone Holdings II L.P., Blackstone Holdings I/II GP L.L.C. Blackstone Inc., Blackstone Group Management L.L.C. and Stephen A. Schwarzman have sole voting and dispositive power over 39,778,182 ordinary shares. 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The Blackstone Group Inc., 345 Park Avenue, New York, New York 10154; provided that the address of BXG Redhawk S.à r.l. is 2-4, rue Eugène Ruppert, L-2453 Luxembourg, Grand Duchy of Luxembourg.</w:t>
      </w:r>
    </w:p>
    <w:p>
      <w:pPr>
        <w:spacing w:after="0" w:line="149" w:lineRule="exact"/>
        <w:rPr>
          <w:sz w:val="20"/>
          <w:szCs w:val="20"/>
          <w:color w:val="auto"/>
        </w:rPr>
      </w:pPr>
    </w:p>
    <w:p>
      <w:pPr>
        <w:ind w:left="580" w:right="400" w:hanging="572"/>
        <w:spacing w:after="0" w:line="282"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9,281,355 ordinary shares, including 622,549 stock options that will become immediately exercisable within 60 days of March 31, 2022.</w:t>
      </w:r>
    </w:p>
    <w:p>
      <w:pPr>
        <w:spacing w:after="0" w:line="12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893,209 ordinary shares, including 49,019 stock options that will become immediately exercisable within 60 days of March 31, 2022.</w:t>
      </w:r>
    </w:p>
    <w:p>
      <w:pPr>
        <w:spacing w:after="0" w:line="184" w:lineRule="exact"/>
        <w:rPr>
          <w:rFonts w:ascii="Times New Roman" w:cs="Times New Roman" w:eastAsia="Times New Roman" w:hAnsi="Times New Roman"/>
          <w:sz w:val="18"/>
          <w:szCs w:val="18"/>
          <w:color w:val="auto"/>
        </w:rPr>
      </w:pPr>
    </w:p>
    <w:p>
      <w:pPr>
        <w:ind w:left="580" w:right="40" w:hanging="572"/>
        <w:spacing w:after="0" w:line="282"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for each of Steven Chu, Hannah Jones, and Frances Rathke, 8,235 restricted stock units vesting at the Company’s next Annual General Meeting of Shareholders.</w:t>
      </w:r>
    </w:p>
    <w:p>
      <w:pPr>
        <w:spacing w:after="0" w:line="12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33,507 ordinary shares, including 8,235 restricted stock units vesting at the Company’s next Annual General Meeting of Shareholders.</w:t>
      </w:r>
    </w:p>
    <w:p>
      <w:pPr>
        <w:spacing w:after="0" w:line="200" w:lineRule="exact"/>
        <w:rPr>
          <w:sz w:val="20"/>
          <w:szCs w:val="20"/>
          <w:color w:val="auto"/>
        </w:rPr>
      </w:pPr>
    </w:p>
    <w:p>
      <w:pPr>
        <w:spacing w:after="0" w:line="390" w:lineRule="exact"/>
        <w:rPr>
          <w:sz w:val="20"/>
          <w:szCs w:val="20"/>
          <w:color w:val="auto"/>
        </w:rPr>
      </w:pPr>
    </w:p>
    <w:p>
      <w:pPr>
        <w:ind w:right="80" w:firstLine="864"/>
        <w:spacing w:after="0" w:line="255" w:lineRule="auto"/>
        <w:rPr>
          <w:sz w:val="20"/>
          <w:szCs w:val="20"/>
          <w:color w:val="auto"/>
        </w:rPr>
      </w:pPr>
      <w:r>
        <w:rPr>
          <w:rFonts w:ascii="Times New Roman" w:cs="Times New Roman" w:eastAsia="Times New Roman" w:hAnsi="Times New Roman"/>
          <w:sz w:val="18"/>
          <w:szCs w:val="18"/>
          <w:color w:val="auto"/>
        </w:rPr>
        <w:t>According to the depositary, as of March 31, 2022, the Company had no registered holders of its ADSs with addresses in the United States, excluding any of the Company’s ADSs held by Cede &amp; Co. as a nominee for the Depository Trust Company, whose shareholding represented all of the ADSs outstanding as of that date and approximately 36% of the Company’s outstanding ordinary shares as of that date. According to our registrar, as of December 31, 2021, there were ten registered holders of our ordinary shares with addresses in the United States representing approximately 88.52% of our outstanding ordinary shares as of that date. Because some of the Company’s ADSs and ordinary shares are held through brokers or other nominees, the number of record holders of the Company’s ADSs or ordinary shares with addresses in the United States may be fewer than the number of beneficial owners of ADSs and ordinary shares in the United States.</w:t>
      </w:r>
    </w:p>
    <w:p>
      <w:pPr>
        <w:spacing w:after="0" w:line="148" w:lineRule="exact"/>
        <w:rPr>
          <w:sz w:val="20"/>
          <w:szCs w:val="20"/>
          <w:color w:val="auto"/>
        </w:rPr>
      </w:pPr>
    </w:p>
    <w:p>
      <w:pPr>
        <w:ind w:right="400" w:firstLine="864"/>
        <w:spacing w:after="0" w:line="266" w:lineRule="auto"/>
        <w:rPr>
          <w:sz w:val="20"/>
          <w:szCs w:val="20"/>
          <w:color w:val="auto"/>
        </w:rPr>
      </w:pPr>
      <w:r>
        <w:rPr>
          <w:rFonts w:ascii="Times New Roman" w:cs="Times New Roman" w:eastAsia="Times New Roman" w:hAnsi="Times New Roman"/>
          <w:sz w:val="18"/>
          <w:szCs w:val="18"/>
          <w:color w:val="231F20"/>
        </w:rPr>
        <w:t>To our knowledge, other than as provided in the table above, our other filings with the SEC and this Annual Report, there has been no significant change in the percentage ownership held by any major shareholder since January 1, 2019. The major shareholders listed above do not have voting rights with respect to their ordinary shares that are different from the voting rights of other holders of our ordinary shares.</w:t>
      </w:r>
    </w:p>
    <w:p>
      <w:pPr>
        <w:spacing w:after="0" w:line="135" w:lineRule="exact"/>
        <w:rPr>
          <w:sz w:val="20"/>
          <w:szCs w:val="20"/>
          <w:color w:val="auto"/>
        </w:rPr>
      </w:pPr>
    </w:p>
    <w:p>
      <w:pPr>
        <w:ind w:right="400" w:firstLine="864"/>
        <w:spacing w:after="0" w:line="266" w:lineRule="auto"/>
        <w:rPr>
          <w:sz w:val="20"/>
          <w:szCs w:val="20"/>
          <w:color w:val="auto"/>
        </w:rPr>
      </w:pPr>
      <w:r>
        <w:rPr>
          <w:rFonts w:ascii="Times New Roman" w:cs="Times New Roman" w:eastAsia="Times New Roman" w:hAnsi="Times New Roman"/>
          <w:sz w:val="18"/>
          <w:szCs w:val="18"/>
          <w:color w:val="auto"/>
        </w:rPr>
        <w:t>We are not aware of any arrangement whereby we are directly or indirectly owned or controlled by another corporation, by any foreign government or by any other natural or legal person severally or jointly, nor are we aware of any arrangement that may, at a subsequent date, result in a change of control of our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189" w:lineRule="exact"/>
        <w:rPr>
          <w:sz w:val="20"/>
          <w:szCs w:val="20"/>
          <w:color w:val="auto"/>
        </w:rPr>
      </w:pPr>
    </w:p>
    <w:p>
      <w:pPr>
        <w:ind w:right="220" w:firstLine="864"/>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our related party transactions since January 1, 2021. For a description of our agreements with our executive officers and certain of our directors, see Item 6.B. “</w:t>
      </w:r>
      <w:r>
        <w:rPr>
          <w:rFonts w:ascii="Times New Roman" w:cs="Times New Roman" w:eastAsia="Times New Roman" w:hAnsi="Times New Roman"/>
          <w:sz w:val="18"/>
          <w:szCs w:val="18"/>
          <w:i w:val="1"/>
          <w:iCs w:val="1"/>
          <w:color w:val="auto"/>
        </w:rPr>
        <w:t>Director, Senior Management and Employees—Compensation—Executive Officer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00"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In May 2021, we entered into a Registration Rights Agreement with Nativus Company Limited, BXG Redhawk S.à r.l. and certain of our other shareholders (the “Registration Rights Agreement”), pursuant to which such investors have certain demand registration rights, short-form registration rights and piggyback registration rights and related indemnification rights from us, subject to customary restrictions and exceptions. All fees, costs and expenses of registrations, other than underwriting discounts and commissions, are expected to be borne by 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Listing Agreement</w:t>
      </w:r>
    </w:p>
    <w:p>
      <w:pPr>
        <w:spacing w:after="0" w:line="187" w:lineRule="exact"/>
        <w:rPr>
          <w:sz w:val="20"/>
          <w:szCs w:val="20"/>
          <w:color w:val="auto"/>
        </w:rPr>
      </w:pPr>
    </w:p>
    <w:p>
      <w:pPr>
        <w:ind w:right="40" w:firstLine="864"/>
        <w:spacing w:after="0" w:line="253" w:lineRule="auto"/>
        <w:rPr>
          <w:sz w:val="20"/>
          <w:szCs w:val="20"/>
          <w:color w:val="auto"/>
        </w:rPr>
      </w:pPr>
      <w:r>
        <w:rPr>
          <w:rFonts w:ascii="Times New Roman" w:cs="Times New Roman" w:eastAsia="Times New Roman" w:hAnsi="Times New Roman"/>
          <w:sz w:val="18"/>
          <w:szCs w:val="18"/>
          <w:color w:val="auto"/>
        </w:rPr>
        <w:t>On February 9, 2021, we entered into an agreement with our shareholders to, subject to certain conditions, seek an additional listing (the “Additional Listing”) of our ordinary shares or ADSs on the Hong Kong Stock Exchange (the “Additional Listing Agreement”). Pursuant to the terms of the Additional Listing Agreement, in the event that (i) our status as a publicly listed company in the United States has or results in a material adverse effect (as described below) as a result of the status of our shareholders or their affiliates as being owned or controlled by, or otherwise affiliated with, a foreign state, government or political party (or perceived as such), at any time for so long as such material adverse effect subsists or (ii) at any time, and from time to time, after the second anniversary of the completion of our IPO, we generate more than 25% of our revenue from sales in the Asia-Pacific region for each of two consecutive fiscal quarters, then, upon a written request by China Resources or its affiliates holding or beneficially owning our ordinary shares, we shall promptly seek an additional listing on the Hong Kong Stock Exchange. Nativus Company Limited, our largest shareholder, is a wholly owned subsidiary of CRVV, which is a joint venture that is 50% owned by Verlinvest S.A. and 50% owned by Blossom Key (Hong Kong) Holdings Limited. Blossom Key (Hong Kong) Holdings Limited is indirectly and wholly owned by CR Holdings, and CR Holdings is indirectly and wholly owned by China Resources Company Limited.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w:t>
      </w:r>
    </w:p>
    <w:p>
      <w:pPr>
        <w:spacing w:after="0" w:line="160" w:lineRule="exact"/>
        <w:rPr>
          <w:sz w:val="20"/>
          <w:szCs w:val="20"/>
          <w:color w:val="auto"/>
        </w:rPr>
      </w:pPr>
    </w:p>
    <w:p>
      <w:pPr>
        <w:ind w:right="20" w:firstLine="864"/>
        <w:spacing w:after="0" w:line="252" w:lineRule="auto"/>
        <w:rPr>
          <w:sz w:val="20"/>
          <w:szCs w:val="20"/>
          <w:color w:val="auto"/>
        </w:rPr>
      </w:pPr>
      <w:r>
        <w:rPr>
          <w:rFonts w:ascii="Times New Roman" w:cs="Times New Roman" w:eastAsia="Times New Roman" w:hAnsi="Times New Roman"/>
          <w:sz w:val="18"/>
          <w:szCs w:val="18"/>
          <w:color w:val="auto"/>
        </w:rPr>
        <w:t>A “material adverse effect” means any (i) restriction on the ability of any director appointed or nominated by China Resources or its affiliates to receive information otherwise available to our other directors, or share such information with CRVV and China Resources or its affiliates, (ii) requirement or request from any U.S. governmental authority, or as a result of any applicable law or regulation, for any shareholder or beneficial owner of us or CRVV or its affiliates to divest any of its direct or indirect shareholdings or interest in any of us, CRVV or their respective affiliates, (iii) suspension of trading of our shares, (iv) prohibition or restriction on the investment, trading, purchase, ownership, or providing or obtaining any economic exposure, with respect to any securities or interest in us, CRVV or their respective affiliates, or (v) the directors appointed or to be appointed by China Resources, Nativus Company Limited or their respective affiliates on our Board of Directors in connection with our IPO are disqualified, suspended or otherwise restricted from exercising their powers, rights, duties, authorities or responsibilities as directors, as required or requested from any U.S. governmental authority, or as a result of any applicable law or regulation or any U.S. measures, provided that China Resources, Nativus Company Limited or their respective affiliates, as the case may be, has used reasonable efforts but fails to replace such directors with persons nominated by China Resources, Nativus Company Limited or their respective affiliates, as the case may be, who are not restricted from exercising their powers, rights, duties, authorities or responsibilities as directors, or would not be able to do so in any event even if reasonable efforts were to be used, other than where any of the events in (i) through (v) above occur as a result of any voluntary action or step taken by China Resources or its affiliates. As of the date of this Annual Report, we are not aware of any existing or contemplated laws, regulations or policies that, in light of our current and planned operations and composition of management, directors and shareholders, would or could reasonably likely result in a material adverse effect.</w:t>
      </w:r>
    </w:p>
    <w:p>
      <w:pPr>
        <w:spacing w:after="0" w:line="155"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Pursuant to the terms of the Additional Listing Agreement, we shall not be required to pursue an Additional Listing if: (i) (a) China Resources and its affiliates no longer beneficially own at least 15% of the voting power of our total issued and outstanding shares immediately after the consummation of our IPO (excluding any unvested or unexercised equity incentive awards, which are not entitled to voting) or (b) the voting power of our shares beneficially owned, in the aggregate, by China Resources and its affiliates is lower than that of Verlinvest S.A. and its affiliates or (ii) our Board of Directors determines that seeking or maintaining the Additional Listing would reasonably be expected to have a material adverse impact on the valuation of Oatly or our overall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Facilities</w:t>
      </w:r>
    </w:p>
    <w:p>
      <w:pPr>
        <w:spacing w:after="0" w:line="200" w:lineRule="exact"/>
        <w:rPr>
          <w:sz w:val="20"/>
          <w:szCs w:val="20"/>
          <w:color w:val="auto"/>
        </w:rPr>
      </w:pPr>
    </w:p>
    <w:p>
      <w:pPr>
        <w:ind w:right="60" w:firstLine="864"/>
        <w:spacing w:after="0" w:line="256" w:lineRule="auto"/>
        <w:rPr>
          <w:sz w:val="20"/>
          <w:szCs w:val="20"/>
          <w:color w:val="auto"/>
        </w:rPr>
      </w:pPr>
      <w:r>
        <w:rPr>
          <w:rFonts w:ascii="Times New Roman" w:cs="Times New Roman" w:eastAsia="Times New Roman" w:hAnsi="Times New Roman"/>
          <w:sz w:val="18"/>
          <w:szCs w:val="18"/>
          <w:color w:val="auto"/>
        </w:rPr>
        <w:t>During 2020, the Group received a shareholder loan of $87.8 million. The loan was received between January to April 2020. The loan had a nominal interest rate of 15%. The effective interest rate at the dates of receiving the loan was 10% and the difference between the nominal interest rate and the effective interest rate was recognized in equity as a transaction with shareholders at a value of $3.7 million. The loan was originally issued partly in SEK and partly in EUR. At the end of May 2020, the loan was renegotiated, which resulted in half of the EUR amount being converted to USD. The effective interest rate for the USD amount at the time of renegotiation was 8% and the renegotiation resulted in a loss of $0.3 million when derecognizing the EUR part converted to USD. The cost was recognized as a finance cost.</w:t>
      </w:r>
    </w:p>
    <w:p>
      <w:pPr>
        <w:spacing w:after="0" w:line="147" w:lineRule="exact"/>
        <w:rPr>
          <w:sz w:val="20"/>
          <w:szCs w:val="20"/>
          <w:color w:val="auto"/>
        </w:rPr>
      </w:pPr>
    </w:p>
    <w:p>
      <w:pPr>
        <w:ind w:right="80" w:firstLine="864"/>
        <w:spacing w:after="0" w:line="261" w:lineRule="auto"/>
        <w:rPr>
          <w:sz w:val="20"/>
          <w:szCs w:val="20"/>
          <w:color w:val="auto"/>
        </w:rPr>
      </w:pPr>
      <w:r>
        <w:rPr>
          <w:rFonts w:ascii="Times New Roman" w:cs="Times New Roman" w:eastAsia="Times New Roman" w:hAnsi="Times New Roman"/>
          <w:sz w:val="18"/>
          <w:szCs w:val="18"/>
          <w:color w:val="auto"/>
        </w:rPr>
        <w:t>In April 2021, the Company and the majority shareholders extended the final repayment date of the Bridge Facilities from April 1, 2021 to the earlier of (a) the date of settlement in respect of the initial public offering of shares (or related instruments) in Oatly Group AB in the U.S. and (b) August 17, 2021. In May 2021, $10.9 million was repaid in cash, and the remainder was converted into 6,124,004 ordinary shares at a price equal to the public price in the initial public offering.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Arrangement</w:t>
      </w:r>
    </w:p>
    <w:p>
      <w:pPr>
        <w:spacing w:after="0" w:line="200"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Oatly paid $0.3 million pursuant to a Distribution Agreement with the distribution company Chef Sam, of which Bernard Hours, a member of our Board of Directors, is a 57% owner.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 Policy</w:t>
      </w:r>
    </w:p>
    <w:p>
      <w:pPr>
        <w:spacing w:after="0" w:line="187"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written related party transaction policy to set forth the policies and procedures for the review and approval or ratification of related party transactions. Under our related party transaction policy, any related party transaction, including all relevant facts and circumstances, must be reviewed and approved or ratified by the audit committee. Such review shall assess whether if the transaction is on terms comparable to those that could be obtained in arm’s length dealings with an unrelated third party, the extent of the related party’s interest in the transaction and shall also take into account the conflicts of interest and/or corporate opportunity provisions of our organizational documents and Business Conduct and Ethics Guidelines and, where the related party involves a director or director nominee, whether the related party transaction will impair the director or director nominee’s independence under the rules and regulations of the SEC and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98" w:lineRule="exact"/>
        <w:rPr>
          <w:sz w:val="20"/>
          <w:szCs w:val="20"/>
          <w:color w:val="auto"/>
        </w:rPr>
      </w:pPr>
    </w:p>
    <w:p>
      <w:pPr>
        <w:ind w:right="5840" w:firstLine="440"/>
        <w:spacing w:after="0" w:line="456" w:lineRule="auto"/>
        <w:tabs>
          <w:tab w:leader="none" w:pos="86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Consolidated Financial Statements</w:t>
      </w: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18.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Arbitration Proceedings</w:t>
      </w:r>
    </w:p>
    <w:p>
      <w:pPr>
        <w:spacing w:after="0" w:line="202" w:lineRule="exact"/>
        <w:rPr>
          <w:sz w:val="20"/>
          <w:szCs w:val="20"/>
          <w:color w:val="auto"/>
        </w:rPr>
      </w:pPr>
    </w:p>
    <w:p>
      <w:pPr>
        <w:ind w:right="120" w:firstLine="864"/>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Other than as described in Notes 33 and 34 to our consolidated financial statements, which are included elsewhere in this Annual Report, we are not currently a party to any material legal proceedings, including any such proceedings that are pending or threatened, of which we are aware.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20" w:firstLine="864"/>
        <w:spacing w:after="0" w:line="282" w:lineRule="auto"/>
        <w:rPr>
          <w:sz w:val="20"/>
          <w:szCs w:val="20"/>
          <w:color w:val="auto"/>
        </w:rPr>
      </w:pPr>
      <w:r>
        <w:rPr>
          <w:rFonts w:ascii="Times New Roman" w:cs="Times New Roman" w:eastAsia="Times New Roman" w:hAnsi="Times New Roman"/>
          <w:sz w:val="18"/>
          <w:szCs w:val="18"/>
          <w:color w:val="auto"/>
        </w:rPr>
        <w:t>We do not anticipate paying any cash dividends on our ordinary shares in the foreseeable future. We intend to retain all available funds and any future earnings to fund the development and expansion of our business.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864"/>
        <w:spacing w:after="0" w:line="266" w:lineRule="auto"/>
        <w:rPr>
          <w:sz w:val="20"/>
          <w:szCs w:val="20"/>
          <w:color w:val="auto"/>
        </w:rPr>
      </w:pPr>
      <w:r>
        <w:rPr>
          <w:rFonts w:ascii="Times New Roman" w:cs="Times New Roman" w:eastAsia="Times New Roman" w:hAnsi="Times New Roman"/>
          <w:sz w:val="18"/>
          <w:szCs w:val="18"/>
          <w:color w:val="auto"/>
        </w:rPr>
        <w:t>However, if we do pay a cash dividend on our ordinary shares in the future, we will pay such dividend out of our profits or share premium (subject to solvency requirements) as permitted under Swedish law. Our Board of Directors has complete discretion regarding the declaration and payment of dividends, and our principal shareholders will be able to influence our dividend policy.</w:t>
      </w:r>
    </w:p>
    <w:p>
      <w:pPr>
        <w:spacing w:after="0" w:line="149"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The amount of any future dividend payments we may make will depend on, among other factors, our strategy, future earnings, financial condition, cash flow, working capital requirements, capital expenditures, contractual restrictions and applicable provisions of our articles of association. For example, our SRCF Agreement contains limitations on our ability to pay dividends until we exercise our covenant conversion right. See Item 5.B. “Operating and Financial Review and Prospects—Liquidity and Capital Resources—Credit Facilities.” Any profits or share premium we declare as dividends will not be available to be reinvested in our operations. Moreover, we are a holding company that does not conduct any business operations of our own. As a result, we are dependent upon cash dividends, distributions and other transfers from our subsidiaries to make dividend payments.</w:t>
      </w:r>
    </w:p>
    <w:p>
      <w:pPr>
        <w:spacing w:after="0" w:line="1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the year ended December 31, 2021, we did not declare or pay any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ADSs commenced trading on the Nasdaq Global Select Market on May 20, 2021. Prior to this, no public market existed for our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62" w:lineRule="exact"/>
        <w:rPr>
          <w:sz w:val="20"/>
          <w:szCs w:val="20"/>
          <w:color w:val="auto"/>
        </w:rPr>
      </w:pPr>
    </w:p>
    <w:p>
      <w:pPr>
        <w:ind w:left="880" w:right="9260" w:hanging="872"/>
        <w:spacing w:after="0" w:line="488" w:lineRule="auto"/>
        <w:tabs>
          <w:tab w:leader="none" w:pos="271"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280" w:hanging="272"/>
        <w:spacing w:after="0"/>
        <w:tabs>
          <w:tab w:leader="none" w:pos="2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ADSs commenced trading on the Nasdaq Global Select Market on May 20, 2021 under the symbol “OTLY.”</w:t>
      </w:r>
    </w:p>
    <w:p>
      <w:pPr>
        <w:spacing w:after="0" w:line="181" w:lineRule="exact"/>
        <w:rPr>
          <w:sz w:val="20"/>
          <w:szCs w:val="20"/>
          <w:color w:val="auto"/>
        </w:rPr>
      </w:pPr>
    </w:p>
    <w:p>
      <w:pPr>
        <w:ind w:left="880" w:right="9220" w:hanging="872"/>
        <w:spacing w:after="0" w:line="488" w:lineRule="auto"/>
        <w:tabs>
          <w:tab w:leader="none" w:pos="281"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220" w:hanging="212"/>
        <w:spacing w:after="0"/>
        <w:tabs>
          <w:tab w:leader="none" w:pos="2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02" w:lineRule="exact"/>
        <w:rPr>
          <w:sz w:val="20"/>
          <w:szCs w:val="20"/>
          <w:color w:val="auto"/>
        </w:rPr>
      </w:pPr>
    </w:p>
    <w:p>
      <w:pPr>
        <w:ind w:right="420" w:firstLine="864"/>
        <w:spacing w:after="0" w:line="282" w:lineRule="auto"/>
        <w:rPr>
          <w:sz w:val="20"/>
          <w:szCs w:val="20"/>
          <w:color w:val="auto"/>
        </w:rPr>
      </w:pPr>
      <w:r>
        <w:rPr>
          <w:rFonts w:ascii="Times New Roman" w:cs="Times New Roman" w:eastAsia="Times New Roman" w:hAnsi="Times New Roman"/>
          <w:sz w:val="18"/>
          <w:szCs w:val="18"/>
          <w:color w:val="auto"/>
        </w:rPr>
        <w:t>A copy of our articles of association is attached as Exhibit 1.1 to this Annual Report. The information called for by this Item is set forth in Exhibit 2.1 to this Annual Report and is incorporated by reference into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189" w:lineRule="exact"/>
        <w:rPr>
          <w:sz w:val="20"/>
          <w:szCs w:val="20"/>
          <w:color w:val="auto"/>
        </w:rPr>
      </w:pPr>
    </w:p>
    <w:p>
      <w:pPr>
        <w:ind w:right="160" w:firstLine="864"/>
        <w:spacing w:after="0" w:line="282" w:lineRule="auto"/>
        <w:rPr>
          <w:sz w:val="20"/>
          <w:szCs w:val="20"/>
          <w:color w:val="auto"/>
        </w:rPr>
      </w:pPr>
      <w:r>
        <w:rPr>
          <w:rFonts w:ascii="Times New Roman" w:cs="Times New Roman" w:eastAsia="Times New Roman" w:hAnsi="Times New Roman"/>
          <w:sz w:val="18"/>
          <w:szCs w:val="18"/>
          <w:color w:val="auto"/>
        </w:rPr>
        <w:t>The following are the material contracts, other than material contracts entered into in the ordinary course of business, to which we are or have been a party, for the two years immediately preceding the date of this Annual Report:</w:t>
      </w:r>
    </w:p>
    <w:p>
      <w:pPr>
        <w:spacing w:after="0" w:line="133" w:lineRule="exact"/>
        <w:rPr>
          <w:sz w:val="20"/>
          <w:szCs w:val="20"/>
          <w:color w:val="auto"/>
        </w:rPr>
      </w:pPr>
    </w:p>
    <w:p>
      <w:pPr>
        <w:ind w:left="1300" w:right="440" w:hanging="442"/>
        <w:spacing w:after="0" w:line="284"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filed as Exhibit 4.4 with this Annual Report. See Item 7.B. “</w:t>
      </w:r>
      <w:r>
        <w:rPr>
          <w:rFonts w:ascii="Times New Roman" w:cs="Times New Roman" w:eastAsia="Times New Roman" w:hAnsi="Times New Roman"/>
          <w:sz w:val="18"/>
          <w:szCs w:val="18"/>
          <w:i w:val="1"/>
          <w:iCs w:val="1"/>
          <w:color w:val="auto"/>
        </w:rPr>
        <w:t>Major Shareholders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Transactions—Related Party Transactions—Registration Rights Agreement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300" w:right="500" w:hanging="442"/>
        <w:spacing w:after="0" w:line="26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Oatly Group AB 2021 Incentive Award Plan (incorporated by reference to Exhibit 10.1 to Amendment No. 1 to the Company’s Registration Statement on Form F-1 (File No. 333-255344) filed with the SEC on May 11, 2021). See Item 6.B. “</w:t>
      </w:r>
      <w:r>
        <w:rPr>
          <w:rFonts w:ascii="Times New Roman" w:cs="Times New Roman" w:eastAsia="Times New Roman" w:hAnsi="Times New Roman"/>
          <w:sz w:val="18"/>
          <w:szCs w:val="18"/>
          <w:i w:val="1"/>
          <w:iCs w:val="1"/>
          <w:color w:val="auto"/>
        </w:rPr>
        <w:t>Directors,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and Employees, Compensation—2021 Incentive Award Plan</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left="1300" w:hanging="442"/>
        <w:spacing w:after="0" w:line="26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Listing Agreement (incorporated by reference to Exhibit 4.3 to Amendment No. 1 to the Company’s Registration Statement on Form F-1 (File No. 333-255344) filed with the SEC on May 11, 2021). See Item 7.B. “</w:t>
      </w:r>
      <w:r>
        <w:rPr>
          <w:rFonts w:ascii="Times New Roman" w:cs="Times New Roman" w:eastAsia="Times New Roman" w:hAnsi="Times New Roman"/>
          <w:sz w:val="18"/>
          <w:szCs w:val="18"/>
          <w:i w:val="1"/>
          <w:iCs w:val="1"/>
          <w:color w:val="auto"/>
        </w:rPr>
        <w:t>Major Shareholders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Transactions—Related Party Transactions—Additional Listing Agreement</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left="1300" w:right="200" w:hanging="442"/>
        <w:spacing w:after="0" w:line="26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(incorporated by reference to Exhibit 10.2 to Amendment No. 1 to the Company’s Registration Statement on Form F-1 (File No. 333-255344) filed with the SEC on May 11, 2021). See Item 6.B. “</w:t>
      </w:r>
      <w:r>
        <w:rPr>
          <w:rFonts w:ascii="Times New Roman" w:cs="Times New Roman" w:eastAsia="Times New Roman" w:hAnsi="Times New Roman"/>
          <w:sz w:val="18"/>
          <w:szCs w:val="18"/>
          <w:i w:val="1"/>
          <w:iCs w:val="1"/>
          <w:color w:val="auto"/>
        </w:rPr>
        <w:t>Director, Senior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Employees—Compensation—Insurance and Indemnification</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left="1300" w:right="80" w:hanging="442"/>
        <w:spacing w:after="0" w:line="256"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Sustainable Revolving Credit Facility Agreement, dated April 14, 2021, by and among Oatly Group AB and BNP Paribas SA, Bankfilial Sverige, Coöperatieve Rabobank U.A., Nordea Bank ABP, Filial I Sverige and Skandinaviska Enskilda Banken AB (publ) as Bookrunning Mandated Lead Arrangers, the other arrangers, coordinators and lenders party thereto, and Skandinaviska Enskilda Banken AB (publ) as Agent and Security Agent (incorporated by reference to Exhibit 10.3 to the Company’s Registration Statement on Form F-1 (File No. 333-255344) filed with the SEC on April 19, 2021), as amended on March 28, 2022, and filed as Exhibit 4.4 to this Annual Report. See Item 5.B.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02" w:lineRule="exact"/>
        <w:rPr>
          <w:sz w:val="20"/>
          <w:szCs w:val="20"/>
          <w:color w:val="auto"/>
        </w:rPr>
      </w:pPr>
    </w:p>
    <w:p>
      <w:pPr>
        <w:ind w:right="260" w:firstLine="864"/>
        <w:spacing w:after="0" w:line="282" w:lineRule="auto"/>
        <w:rPr>
          <w:sz w:val="20"/>
          <w:szCs w:val="20"/>
          <w:color w:val="auto"/>
        </w:rPr>
      </w:pPr>
      <w:r>
        <w:rPr>
          <w:rFonts w:ascii="Times New Roman" w:cs="Times New Roman" w:eastAsia="Times New Roman" w:hAnsi="Times New Roman"/>
          <w:sz w:val="18"/>
          <w:szCs w:val="18"/>
          <w:color w:val="auto"/>
        </w:rPr>
        <w:t>There is no Swedish legislation which may affect the import or export of capital or the remittance of dividends, interest or other payments to non-resident holders of our securities, except that, subject to the provisions in any tax treaty, dividends are subject to withholding tax.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189" w:lineRule="exact"/>
        <w:rPr>
          <w:sz w:val="20"/>
          <w:szCs w:val="20"/>
          <w:color w:val="auto"/>
        </w:rPr>
      </w:pPr>
    </w:p>
    <w:p>
      <w:pPr>
        <w:ind w:right="100" w:firstLine="864"/>
        <w:spacing w:after="0" w:line="261" w:lineRule="auto"/>
        <w:rPr>
          <w:sz w:val="20"/>
          <w:szCs w:val="20"/>
          <w:color w:val="auto"/>
        </w:rPr>
      </w:pPr>
      <w:r>
        <w:rPr>
          <w:rFonts w:ascii="Times New Roman" w:cs="Times New Roman" w:eastAsia="Times New Roman" w:hAnsi="Times New Roman"/>
          <w:sz w:val="18"/>
          <w:szCs w:val="18"/>
          <w:color w:val="auto"/>
        </w:rPr>
        <w:t>The following summary contains a description of certain Swedish and U.S. federal income tax consequences of the acquisition, ownership and disposition of ADSs, but it does not purport to be a comprehensive description of all the tax considerations that may be relevant to a decision to purchase ADSs. The summary is based upon the tax laws of Sweden and regulations thereunder and on the tax laws of the United States and regulations thereunder as of the date hereof, which are subject to change.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Swedish Tax Considerations</w:t>
      </w:r>
    </w:p>
    <w:p>
      <w:pPr>
        <w:spacing w:after="0" w:line="202" w:lineRule="exact"/>
        <w:rPr>
          <w:sz w:val="20"/>
          <w:szCs w:val="20"/>
          <w:color w:val="auto"/>
        </w:rPr>
      </w:pPr>
    </w:p>
    <w:p>
      <w:pPr>
        <w:ind w:firstLine="864"/>
        <w:spacing w:after="0" w:line="453" w:lineRule="auto"/>
        <w:rPr>
          <w:sz w:val="20"/>
          <w:szCs w:val="20"/>
          <w:color w:val="auto"/>
        </w:rPr>
      </w:pPr>
      <w:r>
        <w:rPr>
          <w:rFonts w:ascii="Times New Roman" w:cs="Times New Roman" w:eastAsia="Times New Roman" w:hAnsi="Times New Roman"/>
          <w:sz w:val="18"/>
          <w:szCs w:val="18"/>
          <w:color w:val="auto"/>
        </w:rPr>
        <w:t xml:space="preserve">The following discussion is a summary of the material Swedish tax considerations relating to the purchase, ownership and disposition of ADSs. </w:t>
      </w:r>
      <w:r>
        <w:rPr>
          <w:rFonts w:ascii="Times New Roman" w:cs="Times New Roman" w:eastAsia="Times New Roman" w:hAnsi="Times New Roman"/>
          <w:sz w:val="18"/>
          <w:szCs w:val="18"/>
          <w:i w:val="1"/>
          <w:iCs w:val="1"/>
          <w:color w:val="auto"/>
        </w:rPr>
        <w:t>Investments by Swedish resident holders</w:t>
      </w:r>
    </w:p>
    <w:p>
      <w:pPr>
        <w:spacing w:after="0" w:line="2" w:lineRule="exact"/>
        <w:rPr>
          <w:sz w:val="20"/>
          <w:szCs w:val="20"/>
          <w:color w:val="auto"/>
        </w:rPr>
      </w:pPr>
    </w:p>
    <w:p>
      <w:pPr>
        <w:ind w:right="180" w:firstLine="864"/>
        <w:spacing w:after="0" w:line="266" w:lineRule="auto"/>
        <w:rPr>
          <w:sz w:val="20"/>
          <w:szCs w:val="20"/>
          <w:color w:val="auto"/>
        </w:rPr>
      </w:pPr>
      <w:r>
        <w:rPr>
          <w:rFonts w:ascii="Times New Roman" w:cs="Times New Roman" w:eastAsia="Times New Roman" w:hAnsi="Times New Roman"/>
          <w:sz w:val="18"/>
          <w:szCs w:val="18"/>
          <w:color w:val="auto"/>
        </w:rPr>
        <w:t>No taxation should be triggered upon the acquisition of the ADSs as the price is equal to fair market value. Ownership of the ADSs should in general not trigger any taxes in Sweden. However, certain Swedish investment and insurance companies may be subject to yield taxation on their investments.</w:t>
      </w:r>
    </w:p>
    <w:p>
      <w:pPr>
        <w:spacing w:after="0" w:line="149" w:lineRule="exact"/>
        <w:rPr>
          <w:sz w:val="20"/>
          <w:szCs w:val="20"/>
          <w:color w:val="auto"/>
        </w:rPr>
      </w:pPr>
    </w:p>
    <w:p>
      <w:pPr>
        <w:jc w:val="both"/>
        <w:ind w:right="120" w:firstLine="864"/>
        <w:spacing w:after="0" w:line="266" w:lineRule="auto"/>
        <w:rPr>
          <w:sz w:val="20"/>
          <w:szCs w:val="20"/>
          <w:color w:val="auto"/>
        </w:rPr>
      </w:pPr>
      <w:r>
        <w:rPr>
          <w:rFonts w:ascii="Times New Roman" w:cs="Times New Roman" w:eastAsia="Times New Roman" w:hAnsi="Times New Roman"/>
          <w:sz w:val="18"/>
          <w:szCs w:val="18"/>
          <w:color w:val="auto"/>
        </w:rPr>
        <w:t>Capital gains on disposal of listed ADSs and dividend income from ADSs are taxed at a marginal rate of 30% for Swedish tax resident private individuals and at ordinary income tax rate 20.6% (CIT rate as from January 1, 2022) for Swedish tax resident corporations. Any gains or loss on the sale of ADSs is calculated as the sales price of the ADSs less an average acquisition price of the ADSs sold.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held for business purposes (Swedish participation exemption rules)</w:t>
      </w:r>
    </w:p>
    <w:p>
      <w:pPr>
        <w:spacing w:after="0" w:line="187" w:lineRule="exact"/>
        <w:rPr>
          <w:sz w:val="20"/>
          <w:szCs w:val="20"/>
          <w:color w:val="auto"/>
        </w:rPr>
      </w:pPr>
    </w:p>
    <w:p>
      <w:pPr>
        <w:ind w:right="140" w:firstLine="864"/>
        <w:spacing w:after="0" w:line="282" w:lineRule="auto"/>
        <w:rPr>
          <w:sz w:val="20"/>
          <w:szCs w:val="20"/>
          <w:color w:val="auto"/>
        </w:rPr>
      </w:pPr>
      <w:r>
        <w:rPr>
          <w:rFonts w:ascii="Times New Roman" w:cs="Times New Roman" w:eastAsia="Times New Roman" w:hAnsi="Times New Roman"/>
          <w:sz w:val="18"/>
          <w:szCs w:val="18"/>
          <w:color w:val="auto"/>
        </w:rPr>
        <w:t>Dividends and capital gains received by a Swedish limited liability company from ADSs where the underlying securities in a Swedish limited liability company may be tax exempted in Sweden under the Swedish participation exemption rules if:</w:t>
      </w:r>
    </w:p>
    <w:p>
      <w:pPr>
        <w:spacing w:after="0" w:line="135" w:lineRule="exact"/>
        <w:rPr>
          <w:sz w:val="20"/>
          <w:szCs w:val="20"/>
          <w:color w:val="auto"/>
        </w:rPr>
      </w:pPr>
    </w:p>
    <w:p>
      <w:pPr>
        <w:ind w:left="1300" w:hanging="442"/>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of the ADSs implies a shareholding of at least 10 percent of the votes,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and underlying shares are held during a period of at least 12 months, and</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and underlying shares are held as capital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by foreign holders</w:t>
      </w:r>
    </w:p>
    <w:p>
      <w:pPr>
        <w:spacing w:after="0" w:line="187"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Holders that are not tax resident in Sweden are normally not subject to Swedish taxation on the acquisition, ownership or disposition of ADSs. Holders may however be subject to taxation in its domicile. In case a non-Swedish tax resident company holds ADSs through a Swedish permanent establishment capital gains are subject to Swedish taxation in accordance with the rules for Swedish tax resident companies. Non-Swedish tax resident private individuals are according to a special rule subject to capital gains taxation in Sweden upon the disposal of ADSs in case the private individual has at any point during the calendar year in which the ADSs are disposed, or during the ten preceding years, been residing or permanently stayed in Sweden. The applicability of this rule is however in many cases limited by tax treaties.</w:t>
      </w:r>
    </w:p>
    <w:p>
      <w:pPr>
        <w:spacing w:after="0" w:line="143" w:lineRule="exact"/>
        <w:rPr>
          <w:sz w:val="20"/>
          <w:szCs w:val="20"/>
          <w:color w:val="auto"/>
        </w:rPr>
      </w:pPr>
    </w:p>
    <w:p>
      <w:pPr>
        <w:ind w:right="160" w:firstLine="864"/>
        <w:spacing w:after="0" w:line="286" w:lineRule="auto"/>
        <w:rPr>
          <w:sz w:val="20"/>
          <w:szCs w:val="20"/>
          <w:color w:val="auto"/>
        </w:rPr>
      </w:pPr>
      <w:r>
        <w:rPr>
          <w:rFonts w:ascii="Times New Roman" w:cs="Times New Roman" w:eastAsia="Times New Roman" w:hAnsi="Times New Roman"/>
          <w:sz w:val="18"/>
          <w:szCs w:val="18"/>
          <w:b w:val="1"/>
          <w:bCs w:val="1"/>
          <w:color w:val="auto"/>
        </w:rPr>
        <w:t>Dividends received by foreign investors may be subject to withholding tax at a rate of 30% in Sweden. The tax rate may be limited or reduced to nil under Swedish domestic rules, or under tax treaties that Sweden as entered with the state of residence of the holder.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189"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considerations generally applicable to U.S. Holders (as defined below), and solely to the extent described below under the heading “U.S. Foreign Account Tax Compliance Act,” to persons other than U.S. Holders, of an investment in our ADSs. This summary applies only to U.S. Holders that hold the ADSs as capital assets within the meaning of Section 1221 of the Code that have acquired our ADSs and that have the U.S. dollar as their functional currency.</w:t>
      </w:r>
    </w:p>
    <w:p>
      <w:pPr>
        <w:spacing w:after="0" w:line="139" w:lineRule="exact"/>
        <w:rPr>
          <w:sz w:val="20"/>
          <w:szCs w:val="20"/>
          <w:color w:val="auto"/>
        </w:rPr>
      </w:pPr>
    </w:p>
    <w:p>
      <w:pPr>
        <w:ind w:right="60" w:firstLine="864"/>
        <w:spacing w:after="0" w:line="255"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as in effect on the date hereof and on U.S. Treasury regulations as in effect or, in some cases, as proposed, on the date hereof, as well as judicial and administrative interpretations thereof available on or before such date. All of the foregoing authorities are subject to change or differing interpretations, which change or differing interpretation could apply retroactively and could affect the tax consequences described below. No ruling will be requested from the Internal Revenue Service (the “IRS”) regarding the tax consequences of acquiring our ADSs and there can be no assurance that the IRS will agree with the discussion set out below. This summary does not address any estate or gift tax consequences, the alternative minimum tax, the Medicare tax on net investment income or any state, local or non-U.S. tax consequences.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summary also does not address the tax consequences that may be relevant to persons in special tax situations such as:</w:t>
      </w:r>
    </w:p>
    <w:p>
      <w:pPr>
        <w:spacing w:after="0" w:line="198" w:lineRule="exact"/>
        <w:rPr>
          <w:sz w:val="20"/>
          <w:szCs w:val="20"/>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and other tax-deferred accounts;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use a mark-to-market method of tax accounting;</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the ADSs as part of a “straddle,” “hedge,” “conversion transaction” or integrated transaction;</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Company’s share capital (by vote or value);</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ADSs pursuant to the exercise of any employee share option or otherwise as compensation; or</w:t>
      </w:r>
    </w:p>
    <w:p>
      <w:pPr>
        <w:spacing w:after="0" w:line="21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or arrangements, or persons holding ADSs through pass-through entities or arrangements.</w:t>
      </w:r>
    </w:p>
    <w:p>
      <w:pPr>
        <w:spacing w:after="0" w:line="208" w:lineRule="exact"/>
        <w:rPr>
          <w:sz w:val="20"/>
          <w:szCs w:val="20"/>
          <w:color w:val="auto"/>
        </w:rPr>
      </w:pPr>
    </w:p>
    <w:p>
      <w:pPr>
        <w:ind w:firstLine="864"/>
        <w:spacing w:after="0" w:line="262" w:lineRule="auto"/>
        <w:rPr>
          <w:sz w:val="20"/>
          <w:szCs w:val="20"/>
          <w:color w:val="auto"/>
        </w:rPr>
      </w:pPr>
      <w:r>
        <w:rPr>
          <w:rFonts w:ascii="Times New Roman" w:cs="Times New Roman" w:eastAsia="Times New Roman" w:hAnsi="Times New Roman"/>
          <w:sz w:val="18"/>
          <w:szCs w:val="18"/>
          <w:b w:val="1"/>
          <w:bCs w:val="1"/>
          <w:color w:val="auto"/>
        </w:rPr>
        <w:t>THE SUMMARY OF U.S. FEDERAL INCOME TAX CONSIDERATIONS SET OUT BELOW IS FOR GENERAL INFORMATION ONLY. ALL PROSPECTIVE PURCHASERS SHOULD CONSULT THEIR TAX ADVISORS AS TO THE APPLICATION OF THE U.S. FEDERAL TAX RULES TO THEIR PARTICULAR CIRCUMSTANCES AS WELL AS THE STATE, LOCAL, NON-U.S. AND OTHER TAX CONSEQUENCES TO THEM OF THE PURCHASE, OWNERSHIP AND DISPOSITION OF THE ADSS.</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the ADSs that is, for U.S. federal income tax purposes:</w:t>
      </w:r>
    </w:p>
    <w:p>
      <w:pPr>
        <w:spacing w:after="0" w:line="185" w:lineRule="exact"/>
        <w:rPr>
          <w:sz w:val="20"/>
          <w:szCs w:val="20"/>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11" w:lineRule="exact"/>
        <w:rPr>
          <w:rFonts w:ascii="Times New Roman" w:cs="Times New Roman" w:eastAsia="Times New Roman" w:hAnsi="Times New Roman"/>
          <w:sz w:val="18"/>
          <w:szCs w:val="18"/>
          <w:color w:val="auto"/>
        </w:rPr>
      </w:pPr>
    </w:p>
    <w:p>
      <w:pPr>
        <w:ind w:left="1300" w:right="260" w:hanging="442"/>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2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11" w:lineRule="exact"/>
        <w:rPr>
          <w:rFonts w:ascii="Times New Roman" w:cs="Times New Roman" w:eastAsia="Times New Roman" w:hAnsi="Times New Roman"/>
          <w:sz w:val="18"/>
          <w:szCs w:val="18"/>
          <w:color w:val="auto"/>
        </w:rPr>
      </w:pPr>
    </w:p>
    <w:p>
      <w:pPr>
        <w:ind w:left="1300" w:right="60" w:hanging="442"/>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If an entity or other arrangement treated as a partnership for U.S. federal income tax purposes holds ADSs, the tax treatment of a partner, member or other beneficial owner in the entity or other arrangement will generally depend upon the status of the partner, member or other beneficial owner and the activities of the entity or other arrangement. Entities or other arrangements treated as a partnership considering an investment in ADSs and partners, members or other beneficial owners in such entities or other arrangements should consult their tax advisors regarding the U.S. federal income tax consequences of owning and disposing of ADSs.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ADSs for Ordinary Shares</w:t>
      </w:r>
    </w:p>
    <w:p>
      <w:pPr>
        <w:spacing w:after="0" w:line="187" w:lineRule="exact"/>
        <w:rPr>
          <w:sz w:val="20"/>
          <w:szCs w:val="20"/>
          <w:color w:val="auto"/>
        </w:rPr>
      </w:pPr>
    </w:p>
    <w:p>
      <w:pPr>
        <w:ind w:right="60" w:firstLine="864"/>
        <w:spacing w:after="0" w:line="261"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holders of ADSs should be treated for U.S. federal income tax purposes as holding the ordinary shares represented by the ADSs and the following discussion assumes that such treatment will be respected. If so, no gain or loss will be recognized upon an exchange of ordinary shares for ADSs or an exchange of ADSs for ordinary shares.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 and Other Distributions on the ADSs</w:t>
      </w:r>
    </w:p>
    <w:p>
      <w:pPr>
        <w:spacing w:after="0" w:line="200"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8"/>
          <w:szCs w:val="18"/>
          <w:color w:val="auto"/>
        </w:rPr>
        <w:t>We do not anticipate paying cash dividends in the foreseeable future. See “Dividend Policy” above. However, if we do make distributions, subject to the PFIC rules discussed below, the gross amount of any distributions made by the Company with respect to our ADSs (including the amount of any non-U.S. taxes withheld therefrom, if any) with respect to the ADSs generally will be includible in a U.S. Holder’s gross income as dividend income on the date of receipt, but only to the extent the distribution is paid out of the Company’s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the Company’s current and accumulated earnings and profits (as determined under U.S. federal income tax principles), such excess amount will be treated first as a tax-free return of a U.S. Holder’s tax basis in the ADSs, and then, to the extent such excess amount exceeds such holder’s tax basis in such ADSs, as capital gain. Because the Company does not intend to maintain calculations of its earnings and profits under U.S. federal income tax principles, a U.S. Holder should expect all cash distributions to be reported as dividends for U.S. federal income tax purposes.</w:t>
      </w:r>
    </w:p>
    <w:p>
      <w:pPr>
        <w:spacing w:after="0" w:line="154" w:lineRule="exact"/>
        <w:rPr>
          <w:sz w:val="20"/>
          <w:szCs w:val="20"/>
          <w:color w:val="auto"/>
        </w:rPr>
      </w:pPr>
    </w:p>
    <w:p>
      <w:pPr>
        <w:ind w:right="100" w:firstLine="864"/>
        <w:spacing w:after="0" w:line="253" w:lineRule="auto"/>
        <w:rPr>
          <w:sz w:val="20"/>
          <w:szCs w:val="20"/>
          <w:color w:val="auto"/>
        </w:rPr>
      </w:pPr>
      <w:r>
        <w:rPr>
          <w:rFonts w:ascii="Times New Roman" w:cs="Times New Roman" w:eastAsia="Times New Roman" w:hAnsi="Times New Roman"/>
          <w:sz w:val="18"/>
          <w:szCs w:val="18"/>
          <w:color w:val="auto"/>
        </w:rPr>
        <w:t>With respect to certain non-corporate U.S. Holders, including individual U.S. Holders, dividends may be taxed at the lower capital gain rates applicable to “qualified dividend income,” provided that (i) the ADSs are readily tradable on an established securities market in the United States or the Company is eligible for the benefits of the Convention Between the Government of Sweden and the Government of the United States of America For the Avoidance of Double Taxation and the Prevention of Fiscal Evasion With Respect to Taxes on Income of September 1, 1994 (as amended by any subsequent protocols) (the “Treaty”), (ii) certain holding period and at-risk requirements are met and (iii) the Company is not a PFIC (as discussed below) with respect to the relevant U.S. Holder for either the taxable year in which the dividend was paid or the preceding taxable year. In this regard, the ADSs will generally be considered to be readily tradable on an established securities market in the United States if they are listed on Nasdaq, as the ADSs are. However, based on existing guidance, it is not entirely clear whether any dividends a U.S. Holder receives with respect to the ordinary shares will be taxed as qualified dividend income based on trading of the ADSs, because the ordinary shares will not themselves be listed on a securities market in the United States for trading purposes (instead, the U.S. Holders will own ADSs). U.S. Holders should consult their tax advisors regarding the availability of the reduced tax rate on dividends with respect to distributions on the ordinary shares or ADSs in light of their particular circumstances.</w:t>
      </w:r>
    </w:p>
    <w:p>
      <w:pPr>
        <w:spacing w:after="0" w:line="151"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Dividends on the ADSs generally will constitute foreign source income for foreign tax credit limitation purposes. Subject to certain complex conditions and limitations, foreign taxes withheld on any distributions on ADSs, if any, may be eligible for credit against a U.S. Holder’s federal income tax liability. If a refund of the tax withheld is available to a U.S. Holder under the laws of Sweden or under the Treaty, the amount of tax withheld that is refundable will not be eligible for such credit against such U.S. Holder’s U.S. federal income tax liability (and will not be eligible for the deduction against such holder’s U.S. federal taxable income). If the dividends are qualified dividend income (as discussed above), the amount of the dividend taken into account for purposes of calculating the foreign tax credit limitation will in general be limited to the gross amount of the dividend, multiplied by the reduced rate divided by the highest rate of tax normally applicable to dividends. The limitation on foreign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taxes eligible for credit is calculated separately with respect to specific classes of income. For this purpose, dividends distributed by the Company with respect to ADSs will generally constitute “passive category income.” The rules relating to the determination of the U.S. foreign tax credit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disposition of the ADSs</w:t>
      </w:r>
    </w:p>
    <w:p>
      <w:pPr>
        <w:spacing w:after="0" w:line="187"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upon a sale or other taxable disposition of ADSs, a U.S. Holder will generally recognize capital gain or loss in an amount equal to the difference between the amount realized and the U.S. Holder’s adjusted tax basis in such ADSs. In general, a U.S. Holder’s adjusted tax basis in its ADSs will be equal to the cost of such ADSs to the U.S. Holder. Any such gain or loss will generally be treated as long-term capital gain or loss if the U.S. Holder’s holding period in the ADSs exceeds one year. Non-corporate U.S. Holders (including individuals) generally will be subject to U.S. federal income tax on long-term capital gain at preferential rates. The deductibility of capital losses is subject to significant limitations. Gain or loss, if any, recognized by a U.S. Holder on the sale or other disposition of ADSs generally will be treated as U.S. source gain or loss for U.S. foreign tax credit limitation purposes.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200" w:lineRule="exact"/>
        <w:rPr>
          <w:sz w:val="20"/>
          <w:szCs w:val="20"/>
          <w:color w:val="auto"/>
        </w:rPr>
      </w:pPr>
    </w:p>
    <w:p>
      <w:pPr>
        <w:ind w:right="120" w:firstLine="864"/>
        <w:spacing w:after="0" w:line="258" w:lineRule="auto"/>
        <w:rPr>
          <w:sz w:val="20"/>
          <w:szCs w:val="20"/>
          <w:color w:val="auto"/>
        </w:rPr>
      </w:pPr>
      <w:r>
        <w:rPr>
          <w:rFonts w:ascii="Times New Roman" w:cs="Times New Roman" w:eastAsia="Times New Roman" w:hAnsi="Times New Roman"/>
          <w:sz w:val="18"/>
          <w:szCs w:val="18"/>
          <w:color w:val="auto"/>
        </w:rPr>
        <w:t>The Company will be classified as a passive foreign investment company (a “PFIC”) for any taxable year if either: (a) at least 75% of its gross income is “passive income” for purposes of the PFIC rules or (b) at least 50% of the value of its assets (determined on the basis of a quarterly average) is attributable to assets that produce or are held for the production of passive income. For this purpose, the Company generally will be treated as owning its proportionate share of the assets and earning its proportionate share of the income of any other corporation in which it owns, directly or indirectly, 25% or more (by value) of the stock.</w:t>
      </w:r>
    </w:p>
    <w:p>
      <w:pPr>
        <w:spacing w:after="0" w:line="143" w:lineRule="exact"/>
        <w:rPr>
          <w:sz w:val="20"/>
          <w:szCs w:val="20"/>
          <w:color w:val="auto"/>
        </w:rPr>
      </w:pPr>
    </w:p>
    <w:p>
      <w:pPr>
        <w:jc w:val="both"/>
        <w:ind w:right="140" w:firstLine="864"/>
        <w:spacing w:after="0" w:line="266" w:lineRule="auto"/>
        <w:rPr>
          <w:sz w:val="20"/>
          <w:szCs w:val="20"/>
          <w:color w:val="auto"/>
        </w:rPr>
      </w:pPr>
      <w:r>
        <w:rPr>
          <w:rFonts w:ascii="Times New Roman" w:cs="Times New Roman" w:eastAsia="Times New Roman" w:hAnsi="Times New Roman"/>
          <w:sz w:val="18"/>
          <w:szCs w:val="18"/>
          <w:color w:val="auto"/>
        </w:rPr>
        <w:t>Under the PFIC rules, if the Company were considered a PFIC at any time that a U.S. Holder holds ADSs, the Company would continue to be treated as a PFIC with respect to such investment unless (i) the Company ceases to be a PFIC and (ii) the U.S. Holder has made a “deemed sale” election under the PFIC rules.</w:t>
      </w:r>
    </w:p>
    <w:p>
      <w:pPr>
        <w:spacing w:after="0" w:line="135"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8"/>
          <w:szCs w:val="18"/>
          <w:color w:val="auto"/>
        </w:rPr>
        <w:t>Based on the composition of the income, assets and operations of the Company and its subsidiaries, the Company does not expect to be treated as a PFIC for the taxable year ended December 31, 2021. This is a factual determination, however, that depends on, among other things, the composition of the income, assets, and activities of the Company and its subsidiaries from time to time, and can only be made annually after the close of each taxable year. Moreover, the value of the Company’s assets for purposes of the PFIC determination may be determined by reference to the trading value of the ADSs, which could fluctuate significantly. In addition, it is possible that the IRS may take a contrary position with respect to the Company’s determination in any particular year. Therefore, there can be no assurances that the Company will not be classified as a PFIC for the taxable year ended December 31, 2021, the current taxable year or for any past or future taxable year, and we have not obtained any legal opinion with respect to our PFIC status for our past, current or future taxable years.</w:t>
      </w:r>
    </w:p>
    <w:p>
      <w:pPr>
        <w:spacing w:after="0" w:line="165" w:lineRule="exact"/>
        <w:rPr>
          <w:sz w:val="20"/>
          <w:szCs w:val="20"/>
          <w:color w:val="auto"/>
        </w:rPr>
      </w:pPr>
    </w:p>
    <w:p>
      <w:pPr>
        <w:ind w:right="100" w:firstLine="864"/>
        <w:spacing w:after="0" w:line="253" w:lineRule="auto"/>
        <w:rPr>
          <w:sz w:val="20"/>
          <w:szCs w:val="20"/>
          <w:color w:val="auto"/>
        </w:rPr>
      </w:pPr>
      <w:r>
        <w:rPr>
          <w:rFonts w:ascii="Times New Roman" w:cs="Times New Roman" w:eastAsia="Times New Roman" w:hAnsi="Times New Roman"/>
          <w:sz w:val="18"/>
          <w:szCs w:val="18"/>
          <w:color w:val="auto"/>
        </w:rPr>
        <w:t>If the Company is considered a PFIC at any time that a U.S. Holder holds ADSs, any gain recognized by the U.S. Holder on a sale or other disposition of the ADSs, as well as the amount of any “excess distribution” (defined below) received by the U.S. Holder, would be allocated ratably over the U.S. Holder’s holding period for the ADSs. The amounts allocated to the taxable year of the sale or other disposition (or the taxable year of receipt, in the case of an excess distribution) and to any year before the Company became a PFIC would be taxed as ordinary income. The amount allocated to each other taxable year would be subject to tax at the highest rate in effect for individuals or corporations, as appropriate, for that taxable year, and an interest charge would be imposed. For purposes of these rules, an excess distribution is the amount by which any distribution received by a U.S. Holder on ADSs exceeds 125% of the average of the annual distributions on the ADSs received during the preceding three years or the portion of the U.S. Holder’s holding period before such taxable year, whichever is shorter. Certain elections may be available that would result in alternative treatments (such as qualified electing fund treatment or mark-to-market treatment) of the ADSs if the Company is considered a PFIC. We do not intend to provide the information necessary for U.S. Holders of our ADSs to make qualified electing fund elections. If we are treated as a PFIC with respect to a U.S. Holder for any taxable year, the U.S. Holder will be deemed to own shares in any of our subsidiaries that are also PFICs. However, an election for mark-to-market treatment would likely not be available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with respect to any such subsidiaries. If the Company is considered a PFIC, a U.S. Holder would also be subject to annual information reporting requirements. Failure to comply with such information reporting requirements may result in significant penalties and may suspend the running of the statute of limitations. U.S. Holders should consult their tax advisors about the potential application of the PFIC rules to an investment in ADSs.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87"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18"/>
          <w:szCs w:val="18"/>
          <w:color w:val="auto"/>
        </w:rPr>
        <w:t>Dividend payments with respect to ADSs and proceeds from the sale, exchange or redemption of ADSs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spacing w:after="0" w:line="143" w:lineRule="exact"/>
        <w:rPr>
          <w:sz w:val="20"/>
          <w:szCs w:val="20"/>
          <w:color w:val="auto"/>
        </w:rPr>
      </w:pPr>
    </w:p>
    <w:p>
      <w:pPr>
        <w:ind w:right="300" w:firstLine="86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87" w:lineRule="exact"/>
        <w:rPr>
          <w:sz w:val="20"/>
          <w:szCs w:val="20"/>
          <w:color w:val="auto"/>
        </w:rPr>
      </w:pPr>
    </w:p>
    <w:p>
      <w:pPr>
        <w:ind w:right="180" w:firstLine="864"/>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the ADSs) are required to report information relating to such assets, subject to certain exceptions (including an exception for ADSs held in accounts maintained by certain financial institutions). U.S. Holders should consult their tax advisors regarding the effect, if any, of this requirement on their ownership and disposition of the ADSs.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Foreign Account Tax Compliance Act (FATCA)</w:t>
      </w:r>
    </w:p>
    <w:p>
      <w:pPr>
        <w:spacing w:after="0" w:line="200" w:lineRule="exact"/>
        <w:rPr>
          <w:sz w:val="20"/>
          <w:szCs w:val="20"/>
          <w:color w:val="auto"/>
        </w:rPr>
      </w:pPr>
    </w:p>
    <w:p>
      <w:pPr>
        <w:ind w:right="20" w:firstLine="864"/>
        <w:spacing w:after="0" w:line="253" w:lineRule="auto"/>
        <w:rPr>
          <w:sz w:val="20"/>
          <w:szCs w:val="20"/>
          <w:color w:val="auto"/>
        </w:rPr>
      </w:pPr>
      <w:r>
        <w:rPr>
          <w:rFonts w:ascii="Times New Roman" w:cs="Times New Roman" w:eastAsia="Times New Roman" w:hAnsi="Times New Roman"/>
          <w:sz w:val="18"/>
          <w:szCs w:val="18"/>
          <w:color w:val="auto"/>
        </w:rPr>
        <w:t>Certain provisions of the Code and Treasury regulations (commonly collectively referred to as “FATCA”) generally impose withholding at a rate of 30% on “foreign passthru payments” made by a “foreign financial institution” (as defined in the Code) (an “FFI”). If the Company were to be treated as an FFI, such withholding may be imposed on such payments to any other FFI (including an intermediary through which an investor may hold the ADSs) that is not a “participating FFI” (as defined under FATCA) or any other investor who does not provide information sufficient to establish that the investor is not subject to withholding under FATCA, unless such other FFI or investor is otherwise exempt from FATCA. In addition, under those circumstances, the Company may be required to report certain information regarding investors to the relevant tax authorities, which information may be shared with taxing authorities in the United States. Under current guidance, the term “foreign passthru payment” is not defined. Consequently, it is not clear whether or to what extent payments on the ADSs would be considered foreign passthru payments. Withholding on foreign passthru payments would not be required with respect to payments made before the date that is two years after the date of publication in the Federal Register of final regulations defining the term “foreign passthru payment.” Prospective investors should consult their tax advisors regarding the potential impact of FATCA, any applicable inter-governmental agreement relating to FATCA, and any non-U.S. legislation implementing FATCA on the investment in the ADSs.</w:t>
      </w:r>
    </w:p>
    <w:p>
      <w:pPr>
        <w:spacing w:after="0" w:line="147" w:lineRule="exact"/>
        <w:rPr>
          <w:sz w:val="20"/>
          <w:szCs w:val="20"/>
          <w:color w:val="auto"/>
        </w:rPr>
      </w:pPr>
    </w:p>
    <w:p>
      <w:pPr>
        <w:ind w:right="880" w:firstLine="864"/>
        <w:spacing w:after="0" w:line="268"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YOU. EACH PROSPECTIVE INVESTOR SHOULD CONSULT ITS OWN TAX ADVISOR ABOUT THE TAX CONSEQUENCES OF AN INVESTMENT IN ADSS UNDER THE INVESTOR’S OWN CIRCUMSTANCES.</w:t>
      </w:r>
    </w:p>
    <w:p>
      <w:pPr>
        <w:spacing w:after="0" w:line="130" w:lineRule="exact"/>
        <w:rPr>
          <w:sz w:val="20"/>
          <w:szCs w:val="20"/>
          <w:color w:val="auto"/>
        </w:rPr>
      </w:pPr>
    </w:p>
    <w:p>
      <w:pPr>
        <w:ind w:left="880" w:right="8740" w:hanging="872"/>
        <w:spacing w:after="0" w:line="549" w:lineRule="auto"/>
        <w:tabs>
          <w:tab w:leader="none" w:pos="245"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and Paying Agents </w:t>
      </w:r>
      <w:r>
        <w:rPr>
          <w:rFonts w:ascii="Times New Roman" w:cs="Times New Roman" w:eastAsia="Times New Roman" w:hAnsi="Times New Roman"/>
          <w:sz w:val="17"/>
          <w:szCs w:val="17"/>
          <w:color w:val="auto"/>
        </w:rPr>
        <w:t>Not applicable.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right"/>
        <w:ind w:left="880" w:right="9220" w:hanging="872"/>
        <w:spacing w:after="0" w:line="488" w:lineRule="auto"/>
        <w:tabs>
          <w:tab w:leader="none" w:pos="291"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89" w:lineRule="exact"/>
        <w:rPr>
          <w:sz w:val="20"/>
          <w:szCs w:val="20"/>
          <w:color w:val="auto"/>
        </w:rPr>
      </w:pPr>
    </w:p>
    <w:p>
      <w:pPr>
        <w:ind w:right="80" w:firstLine="864"/>
        <w:spacing w:after="0" w:line="282" w:lineRule="auto"/>
        <w:rPr>
          <w:sz w:val="20"/>
          <w:szCs w:val="20"/>
          <w:color w:val="auto"/>
        </w:rPr>
      </w:pPr>
      <w:r>
        <w:rPr>
          <w:rFonts w:ascii="Times New Roman" w:cs="Times New Roman" w:eastAsia="Times New Roman" w:hAnsi="Times New Roman"/>
          <w:sz w:val="18"/>
          <w:szCs w:val="18"/>
          <w:color w:val="auto"/>
        </w:rPr>
        <w:t>We are required to make certain filings with the SEC. The SEC maintains an internet website that contains reports, proxy statements and other information about issuers, like us, that file electronically with the SEC. The address of that site is www.sec.gov.</w:t>
      </w:r>
    </w:p>
    <w:p>
      <w:pPr>
        <w:spacing w:after="0" w:line="135" w:lineRule="exact"/>
        <w:rPr>
          <w:sz w:val="20"/>
          <w:szCs w:val="20"/>
          <w:color w:val="auto"/>
        </w:rPr>
      </w:pPr>
    </w:p>
    <w:p>
      <w:pPr>
        <w:ind w:right="20" w:firstLine="864"/>
        <w:spacing w:after="0" w:line="266" w:lineRule="auto"/>
        <w:rPr>
          <w:sz w:val="20"/>
          <w:szCs w:val="20"/>
          <w:color w:val="auto"/>
        </w:rPr>
      </w:pPr>
      <w:r>
        <w:rPr>
          <w:rFonts w:ascii="Times New Roman" w:cs="Times New Roman" w:eastAsia="Times New Roman" w:hAnsi="Times New Roman"/>
          <w:sz w:val="18"/>
          <w:szCs w:val="18"/>
          <w:color w:val="auto"/>
        </w:rPr>
        <w:t>We also make available on our website, free of charge, our annual reports on Form 20-F and the text of our reports on Form 6-K, including any amendments to these reports, as well as certain other SEC filings, as soon as reasonably practicable after they are electronically filed with or furnished to the SEC. Our website address is www.oatly.com. The information contained on our website is not incorporated by reference in this document.</w:t>
      </w:r>
    </w:p>
    <w:p>
      <w:pPr>
        <w:spacing w:after="0" w:line="131" w:lineRule="exact"/>
        <w:rPr>
          <w:sz w:val="20"/>
          <w:szCs w:val="20"/>
          <w:color w:val="auto"/>
        </w:rPr>
      </w:pPr>
    </w:p>
    <w:p>
      <w:pPr>
        <w:jc w:val="right"/>
        <w:ind w:left="880" w:right="9180" w:hanging="872"/>
        <w:spacing w:after="0" w:line="488" w:lineRule="auto"/>
        <w:tabs>
          <w:tab w:leader="none" w:pos="221"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89" w:lineRule="exact"/>
        <w:rPr>
          <w:sz w:val="20"/>
          <w:szCs w:val="20"/>
          <w:color w:val="auto"/>
        </w:rPr>
      </w:pPr>
    </w:p>
    <w:p>
      <w:pPr>
        <w:jc w:val="both"/>
        <w:ind w:right="200" w:firstLine="864"/>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These risks primarily consist of foreign exchange risk, interest rate risk, credit risk, liquidity risk and commodity price risk. For further discussion and sensitivity analysis of these risks, see Note 3 to our consolidated financial statements, which are included elsewhere in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02"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Foreign exchange risk arises from future commercial transactions and recognized assets and liabilities denominated in a currency that is not the functional currency of the relevant group entity. We are primarily exposed to currency risk in group companies with SEK as the functional currency. The primary risks in these companies are USD/SEK, GBP/SEK, EUR/SEK and CNY/SEK due to sales (trade receivables), purchases (trade payables), borrowings and short-term deposits (cash and cash equivalents).</w:t>
      </w:r>
    </w:p>
    <w:p>
      <w:pPr>
        <w:spacing w:after="0" w:line="139" w:lineRule="exact"/>
        <w:rPr>
          <w:sz w:val="20"/>
          <w:szCs w:val="20"/>
          <w:color w:val="auto"/>
        </w:rPr>
      </w:pPr>
    </w:p>
    <w:p>
      <w:pPr>
        <w:jc w:val="both"/>
        <w:ind w:right="100" w:firstLine="864"/>
        <w:spacing w:after="0" w:line="266" w:lineRule="auto"/>
        <w:rPr>
          <w:sz w:val="20"/>
          <w:szCs w:val="20"/>
          <w:color w:val="auto"/>
        </w:rPr>
      </w:pPr>
      <w:r>
        <w:rPr>
          <w:rFonts w:ascii="Times New Roman" w:cs="Times New Roman" w:eastAsia="Times New Roman" w:hAnsi="Times New Roman"/>
          <w:sz w:val="18"/>
          <w:szCs w:val="18"/>
          <w:color w:val="auto"/>
        </w:rPr>
        <w:t>We monitor a forecast of highly probable cash flows for each currency and aim to achieve a natural match of inflows and outflows. For those currencies that have a net cash flow that is either positive or negative, spot transactions and/or derivatives are used to manage the risk for 50% to 100% of the exposure for the following 12 months. We do not apply hedge accounting. As at December 31, 2021, we had no currency derivatives.</w:t>
      </w:r>
    </w:p>
    <w:p>
      <w:pPr>
        <w:spacing w:after="0" w:line="135"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8"/>
          <w:szCs w:val="18"/>
          <w:color w:val="auto"/>
        </w:rPr>
        <w:t>We are also exposed to currency risk when foreign subsidiaries with a functional currency other than USD are consolidated, primarily for EUR, SEK, GBP and CNY. Our policy is not to hedge the translation exposure related to net foreign assets to reduce translation risk in the consolidated financial statements.</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Note 3 to our consolidated financial statements included elsewhere in this Annual Report for a sensitivity analysis on foreign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260" w:firstLine="864"/>
        <w:spacing w:after="0" w:line="261" w:lineRule="auto"/>
        <w:rPr>
          <w:sz w:val="20"/>
          <w:szCs w:val="20"/>
          <w:color w:val="auto"/>
        </w:rPr>
      </w:pPr>
      <w:r>
        <w:rPr>
          <w:rFonts w:ascii="Times New Roman" w:cs="Times New Roman" w:eastAsia="Times New Roman" w:hAnsi="Times New Roman"/>
          <w:sz w:val="18"/>
          <w:szCs w:val="18"/>
          <w:color w:val="auto"/>
        </w:rPr>
        <w:t>Our main interest rate risk arises from long-term liabilities to credit institutions with variable rates (primarily Euro Interbank Offered Rate “Euribor” 3 Months during 2021), which expose us to cash flow interest rate risk. As at December 31, 2021, the nominal amount of liabilities to credit institutions with variable interest rate was $5.3 million, which was lower than the Group’s threshold for hedging and thus no interest rate derivatives are outstanding.</w:t>
      </w:r>
    </w:p>
    <w:p>
      <w:pPr>
        <w:spacing w:after="0" w:line="1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Note 3 to our consolidated financial statements included elsewhere in this Annual Report for a sensitivity analysis on interest rate risk.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Credit risk arises primarily from cash and cash equivalents and debt instruments carried at amortized cost. We manage financial counterparty credit risk on a group basis. The external financial counterparties must be high-quality international banks or other major participants in the financial markets, in each case, with a minimum investment grade rating BBB / Baa3. The rating of the financial counterparties used during 2021 were in the range of BBB- to AA+.</w:t>
      </w:r>
    </w:p>
    <w:p>
      <w:pPr>
        <w:spacing w:after="0" w:line="139" w:lineRule="exact"/>
        <w:rPr>
          <w:sz w:val="20"/>
          <w:szCs w:val="20"/>
          <w:color w:val="auto"/>
        </w:rPr>
      </w:pPr>
    </w:p>
    <w:p>
      <w:pPr>
        <w:jc w:val="both"/>
        <w:ind w:right="220" w:firstLine="864"/>
        <w:spacing w:after="0" w:line="266" w:lineRule="auto"/>
        <w:rPr>
          <w:sz w:val="20"/>
          <w:szCs w:val="20"/>
          <w:color w:val="auto"/>
        </w:rPr>
      </w:pPr>
      <w:r>
        <w:rPr>
          <w:rFonts w:ascii="Times New Roman" w:cs="Times New Roman" w:eastAsia="Times New Roman" w:hAnsi="Times New Roman"/>
          <w:sz w:val="18"/>
          <w:szCs w:val="18"/>
          <w:color w:val="auto"/>
        </w:rPr>
        <w:t>Customer and supplier credit risk is mitigated through credit risk assessment, credit limit setting in case of payment obligations overdue and through the contractual terms. There are no significant concentrations of credit risk in regards of exposure to specific industry sectors and/or regions. For the year ended December 31, 2021, one customer in the foodservice channel accounted for 14%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02" w:lineRule="exact"/>
        <w:rPr>
          <w:sz w:val="20"/>
          <w:szCs w:val="20"/>
          <w:color w:val="auto"/>
        </w:rPr>
      </w:pPr>
    </w:p>
    <w:p>
      <w:pPr>
        <w:jc w:val="both"/>
        <w:ind w:right="200" w:firstLine="864"/>
        <w:spacing w:after="0" w:line="266" w:lineRule="auto"/>
        <w:rPr>
          <w:sz w:val="20"/>
          <w:szCs w:val="20"/>
          <w:color w:val="auto"/>
        </w:rPr>
      </w:pPr>
      <w:r>
        <w:rPr>
          <w:rFonts w:ascii="Times New Roman" w:cs="Times New Roman" w:eastAsia="Times New Roman" w:hAnsi="Times New Roman"/>
          <w:sz w:val="18"/>
          <w:szCs w:val="18"/>
          <w:color w:val="auto"/>
        </w:rPr>
        <w:t>Liquidity risk is the risk of not being able to meet the short-term payment obligations due to insufficient funds. As at December 31, 2021, we held cash and cash equivalents of $295.6 million and short-term investments of $249.9 million that were available for managing liquidity risk. Due to the dynamic nature of the underlying businesses, we maintain flexibility in funding by maintaining availability under committed credit lines.</w:t>
      </w:r>
    </w:p>
    <w:p>
      <w:pPr>
        <w:spacing w:after="0" w:line="135" w:lineRule="exact"/>
        <w:rPr>
          <w:sz w:val="20"/>
          <w:szCs w:val="20"/>
          <w:color w:val="auto"/>
        </w:rPr>
      </w:pPr>
    </w:p>
    <w:p>
      <w:pPr>
        <w:ind w:right="540" w:firstLine="864"/>
        <w:spacing w:after="0" w:line="261" w:lineRule="auto"/>
        <w:rPr>
          <w:sz w:val="20"/>
          <w:szCs w:val="20"/>
          <w:color w:val="auto"/>
        </w:rPr>
      </w:pPr>
      <w:r>
        <w:rPr>
          <w:rFonts w:ascii="Times New Roman" w:cs="Times New Roman" w:eastAsia="Times New Roman" w:hAnsi="Times New Roman"/>
          <w:sz w:val="18"/>
          <w:szCs w:val="18"/>
          <w:color w:val="auto"/>
        </w:rPr>
        <w:t>Management monitors rolling forecasts of our liquidity reserve (comprising the undrawn borrowing facilities above) and cash and cash equivalents on the basis of expected cash flows. This is monitored at the Group level with input from local management. In addition, our liquidity management policy involves projecting cash flows in major currencies and considering the level of liquid assets necessary to meet these, monitoring balance sheet liquidity ratios against internal and external regulatory requirements and maintaining debt financing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89"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We are exposed to risk related to the price and availability of our ingredients and our profitability is dependent on, among other things, our ability to anticipate and react to availability of ingredients and inflationary pressures. Currently, the main ingredient in our products is oat. We purchase our oats from millers in Belgium, Sweden, Finland the United States, Malaysia and China, so our supply may be particularly affected by any adverse events in these countries and regions. The prices of oats and other ingredients, such as rape-seed oil, we use are subject to many factors beyond our control, including poor harvests due to adverse weather conditions, natural disasters and changes in world economic conditions, including as a result of COVID-19 and the conflict in Ukraine. For example, in the summer of 2021 Canada experienced an extended heat wave, which resulted in a historically poor harvest driving significant oat price increases in North America. Oat prices and other ingredients such as rape seed oil are normally agreed to annually with our suppliers for the following year based on the outcome of the current year harvest.</w:t>
      </w:r>
    </w:p>
    <w:p>
      <w:pPr>
        <w:spacing w:after="0" w:line="151" w:lineRule="exact"/>
        <w:rPr>
          <w:sz w:val="20"/>
          <w:szCs w:val="20"/>
          <w:color w:val="auto"/>
        </w:rPr>
      </w:pPr>
    </w:p>
    <w:p>
      <w:pPr>
        <w:ind w:right="260" w:firstLine="864"/>
        <w:spacing w:after="0" w:line="266" w:lineRule="auto"/>
        <w:rPr>
          <w:sz w:val="20"/>
          <w:szCs w:val="20"/>
          <w:color w:val="auto"/>
        </w:rPr>
      </w:pPr>
      <w:r>
        <w:rPr>
          <w:rFonts w:ascii="Times New Roman" w:cs="Times New Roman" w:eastAsia="Times New Roman" w:hAnsi="Times New Roman"/>
          <w:sz w:val="18"/>
          <w:szCs w:val="18"/>
          <w:color w:val="auto"/>
        </w:rPr>
        <w:t>We believe we will be able to address material commodity increases by either increasing prices or reducing operating expenses. However, increases in commodity prices, without adjustments to pricing, or reduction to operating expenses, or a delay in pricing actions, could increase our costs and increase our loss as a share of our revenue. In addition, macro-economic and competitive conditions could make additional price increases difficult.</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See Note 3 to our consolidated financial statements included elsewhere in this Annual Report for a sensitivity analysis on commodity price risk.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880" w:right="9260" w:hanging="872"/>
        <w:spacing w:after="0" w:line="533" w:lineRule="auto"/>
        <w:tabs>
          <w:tab w:leader="none" w:pos="268"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202"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American Depositary Receipts (“ADRs”) are cancelled or reduced for any other reason, $5.00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48" w:lineRule="exact"/>
        <w:rPr>
          <w:sz w:val="20"/>
          <w:szCs w:val="20"/>
          <w:color w:val="auto"/>
        </w:rPr>
      </w:pPr>
    </w:p>
    <w:p>
      <w:pPr>
        <w:ind w:right="240" w:firstLine="864"/>
        <w:spacing w:after="0" w:line="266"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35" w:lineRule="exact"/>
        <w:rPr>
          <w:sz w:val="20"/>
          <w:szCs w:val="20"/>
          <w:color w:val="auto"/>
        </w:rPr>
      </w:pPr>
    </w:p>
    <w:p>
      <w:pPr>
        <w:ind w:left="1300" w:right="20" w:hanging="442"/>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$0.05 or less per ADS held for any cash distribution made, or for any elective cash/stock dividend offered, pursuant to the deposit agreement;</w:t>
      </w:r>
    </w:p>
    <w:p>
      <w:pPr>
        <w:spacing w:after="0" w:line="121" w:lineRule="exact"/>
        <w:rPr>
          <w:rFonts w:ascii="Times New Roman" w:cs="Times New Roman" w:eastAsia="Times New Roman" w:hAnsi="Times New Roman"/>
          <w:sz w:val="18"/>
          <w:szCs w:val="18"/>
          <w:color w:val="auto"/>
        </w:rPr>
      </w:pPr>
    </w:p>
    <w:p>
      <w:pPr>
        <w:ind w:left="1300" w:right="40" w:hanging="442"/>
        <w:spacing w:after="0" w:line="261"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39" w:lineRule="exact"/>
        <w:rPr>
          <w:rFonts w:ascii="Times New Roman" w:cs="Times New Roman" w:eastAsia="Times New Roman" w:hAnsi="Times New Roman"/>
          <w:sz w:val="18"/>
          <w:szCs w:val="18"/>
          <w:color w:val="auto"/>
        </w:rPr>
      </w:pPr>
    </w:p>
    <w:p>
      <w:pPr>
        <w:ind w:left="1300" w:hanging="442"/>
        <w:spacing w:after="0" w:line="254"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151" w:lineRule="exact"/>
        <w:rPr>
          <w:rFonts w:ascii="Times New Roman" w:cs="Times New Roman" w:eastAsia="Times New Roman" w:hAnsi="Times New Roman"/>
          <w:sz w:val="18"/>
          <w:szCs w:val="18"/>
          <w:color w:val="auto"/>
        </w:rPr>
      </w:pPr>
    </w:p>
    <w:p>
      <w:pPr>
        <w:ind w:left="1300" w:right="20" w:hanging="442"/>
        <w:spacing w:after="0" w:line="261"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139"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211" w:lineRule="exact"/>
        <w:rPr>
          <w:rFonts w:ascii="Times New Roman" w:cs="Times New Roman" w:eastAsia="Times New Roman" w:hAnsi="Times New Roman"/>
          <w:sz w:val="18"/>
          <w:szCs w:val="18"/>
          <w:color w:val="auto"/>
        </w:rPr>
      </w:pPr>
    </w:p>
    <w:p>
      <w:pPr>
        <w:ind w:left="1300" w:right="100" w:hanging="442"/>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300" w:right="60" w:hanging="442"/>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121" w:lineRule="exact"/>
        <w:rPr>
          <w:rFonts w:ascii="Times New Roman" w:cs="Times New Roman" w:eastAsia="Times New Roman" w:hAnsi="Times New Roman"/>
          <w:sz w:val="18"/>
          <w:szCs w:val="18"/>
          <w:color w:val="auto"/>
        </w:rPr>
      </w:pPr>
    </w:p>
    <w:p>
      <w:pPr>
        <w:ind w:left="1300" w:right="340" w:hanging="442"/>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21" w:lineRule="exact"/>
        <w:rPr>
          <w:sz w:val="20"/>
          <w:szCs w:val="20"/>
          <w:color w:val="auto"/>
        </w:rPr>
      </w:pPr>
    </w:p>
    <w:p>
      <w:pPr>
        <w:ind w:right="40" w:firstLine="864"/>
        <w:spacing w:after="0" w:line="256"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60" w:lineRule="exact"/>
        <w:rPr>
          <w:sz w:val="20"/>
          <w:szCs w:val="20"/>
          <w:color w:val="auto"/>
        </w:rPr>
      </w:pPr>
    </w:p>
    <w:p>
      <w:pPr>
        <w:ind w:right="40" w:firstLine="864"/>
        <w:spacing w:after="0" w:line="270" w:lineRule="auto"/>
        <w:rPr>
          <w:sz w:val="20"/>
          <w:szCs w:val="20"/>
          <w:color w:val="auto"/>
        </w:rPr>
      </w:pPr>
      <w:r>
        <w:rPr>
          <w:rFonts w:ascii="Times New Roman" w:cs="Times New Roman" w:eastAsia="Times New Roman" w:hAnsi="Times New Roman"/>
          <w:sz w:val="17"/>
          <w:szCs w:val="17"/>
          <w:color w:val="auto"/>
        </w:rPr>
        <w:t>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The spread applied does not reflect any gains or losses that may be earned or incurred by the Bank and its affiliates as a result of risk management or other hedging related activity.</w:t>
      </w:r>
    </w:p>
    <w:p>
      <w:pPr>
        <w:spacing w:after="0" w:line="136" w:lineRule="exact"/>
        <w:rPr>
          <w:sz w:val="20"/>
          <w:szCs w:val="20"/>
          <w:color w:val="auto"/>
        </w:rPr>
      </w:pPr>
    </w:p>
    <w:p>
      <w:pPr>
        <w:ind w:right="200" w:firstLine="864"/>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21" w:lineRule="exact"/>
        <w:rPr>
          <w:sz w:val="20"/>
          <w:szCs w:val="20"/>
          <w:color w:val="auto"/>
        </w:rPr>
      </w:pPr>
    </w:p>
    <w:p>
      <w:pPr>
        <w:ind w:right="40" w:firstLine="864"/>
        <w:spacing w:after="0" w:line="261" w:lineRule="auto"/>
        <w:rPr>
          <w:sz w:val="20"/>
          <w:szCs w:val="20"/>
          <w:color w:val="auto"/>
        </w:rPr>
      </w:pPr>
      <w:r>
        <w:rPr>
          <w:rFonts w:ascii="Times New Roman" w:cs="Times New Roman" w:eastAsia="Times New Roman" w:hAnsi="Times New Roman"/>
          <w:sz w:val="18"/>
          <w:szCs w:val="18"/>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53" w:lineRule="exact"/>
        <w:rPr>
          <w:sz w:val="20"/>
          <w:szCs w:val="20"/>
          <w:color w:val="auto"/>
        </w:rPr>
      </w:pPr>
    </w:p>
    <w:p>
      <w:pPr>
        <w:ind w:right="380" w:firstLine="864"/>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121"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198" w:lineRule="exact"/>
        <w:rPr>
          <w:sz w:val="20"/>
          <w:szCs w:val="20"/>
          <w:color w:val="auto"/>
        </w:rPr>
      </w:pPr>
    </w:p>
    <w:p>
      <w:pPr>
        <w:ind w:right="40" w:firstLine="864"/>
        <w:spacing w:after="0" w:line="256"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Taxes</w:t>
      </w:r>
    </w:p>
    <w:p>
      <w:pPr>
        <w:spacing w:after="0" w:line="189" w:lineRule="exact"/>
        <w:rPr>
          <w:sz w:val="20"/>
          <w:szCs w:val="20"/>
          <w:color w:val="auto"/>
        </w:rPr>
      </w:pPr>
    </w:p>
    <w:p>
      <w:pPr>
        <w:ind w:right="40" w:firstLine="864"/>
        <w:spacing w:after="0" w:line="252" w:lineRule="auto"/>
        <w:rPr>
          <w:sz w:val="20"/>
          <w:szCs w:val="20"/>
          <w:color w:val="auto"/>
        </w:rPr>
      </w:pPr>
      <w:r>
        <w:rPr>
          <w:rFonts w:ascii="Times New Roman" w:cs="Times New Roman" w:eastAsia="Times New Roman" w:hAnsi="Times New Roman"/>
          <w:sz w:val="18"/>
          <w:szCs w:val="18"/>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governmental charge. Each ADR holder and beneficial owner of ADSs, and each prior ADR holder and beneficial owner of ADSs, by holding or owning, or having held or owned, an ADR or an interest in ADSs acknowledges and agrees that the depositary shall have the right to seek payment of any taxes or governmental charges owing with respect to their relevant ADRs from any one or more such current or prior ADR holder or beneficial owner of ADSs, as determined by the depositary in its sole discretion, without any obligation to seek payment of amounts owing from any other current or prior ADR holder or beneficial owner of ADSs.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51"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49" w:lineRule="exact"/>
        <w:rPr>
          <w:sz w:val="20"/>
          <w:szCs w:val="20"/>
          <w:color w:val="auto"/>
        </w:rPr>
      </w:pPr>
    </w:p>
    <w:p>
      <w:pPr>
        <w:ind w:right="160" w:firstLine="864"/>
        <w:spacing w:after="0" w:line="282" w:lineRule="auto"/>
        <w:rPr>
          <w:sz w:val="20"/>
          <w:szCs w:val="20"/>
          <w:color w:val="auto"/>
        </w:rPr>
      </w:pPr>
      <w:r>
        <w:rPr>
          <w:rFonts w:ascii="Times New Roman" w:cs="Times New Roman" w:eastAsia="Times New Roman" w:hAnsi="Times New Roman"/>
          <w:sz w:val="18"/>
          <w:szCs w:val="18"/>
          <w:color w:val="auto"/>
        </w:rPr>
        <w:t>The remainder of the information called for by this Item is set forth in Exhibit 2.1 to this Annual Report and is incorporated by reference into this Annual Report.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89" w:lineRule="exact"/>
        <w:rPr>
          <w:sz w:val="20"/>
          <w:szCs w:val="20"/>
          <w:color w:val="auto"/>
        </w:rPr>
      </w:pPr>
    </w:p>
    <w:p>
      <w:pPr>
        <w:ind w:right="20" w:firstLine="864"/>
        <w:spacing w:after="0" w:line="261" w:lineRule="auto"/>
        <w:rPr>
          <w:sz w:val="20"/>
          <w:szCs w:val="20"/>
          <w:color w:val="auto"/>
        </w:rPr>
      </w:pPr>
      <w:r>
        <w:rPr>
          <w:rFonts w:ascii="Times New Roman" w:cs="Times New Roman" w:eastAsia="Times New Roman" w:hAnsi="Times New Roman"/>
          <w:sz w:val="18"/>
          <w:szCs w:val="18"/>
          <w:color w:val="auto"/>
        </w:rPr>
        <w:t>On May 4, 2021, the shareholders of the Company approved to adopt new articles of association according to our Board of Directors’ proposal. As a consequence of the adoption of the new articles of association, the share classes were removed so that the Company only has ordinary shares. A copy of our articles of association is being filed as Exhibit 1.1 to this Annual Report. See Item 10.B. “Additional Information—Memorandum and Articles of Association.”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information contained in Item 2 in Part II of the Company’s Report on Form 6-K filed on November 15, 2021 is incorporated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120" w:firstLine="864"/>
        <w:spacing w:after="0" w:line="255"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as of December 31, 2021, our disclosure controls and procedures were not effective as of such date due to the material weaknesses in internal control over financial reporting, described below. Notwithstanding the material weaknesses in internal control over financial reporting described below, our management has concluded that our consolidated financial statements included in this Annual Report are fairly stated in all material respects in accordance with IFRS, as issued by the IASB.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29" w:lineRule="exact"/>
        <w:rPr>
          <w:sz w:val="20"/>
          <w:szCs w:val="20"/>
          <w:color w:val="auto"/>
        </w:rPr>
      </w:pPr>
    </w:p>
    <w:p>
      <w:pPr>
        <w:ind w:firstLine="864"/>
        <w:spacing w:after="0" w:line="312"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0" w:lineRule="exact"/>
        <w:rPr>
          <w:sz w:val="20"/>
          <w:szCs w:val="20"/>
          <w:color w:val="auto"/>
        </w:rPr>
      </w:pPr>
    </w:p>
    <w:p>
      <w:pPr>
        <w:ind w:right="700" w:firstLine="864"/>
        <w:spacing w:after="0" w:line="282" w:lineRule="auto"/>
        <w:rPr>
          <w:sz w:val="20"/>
          <w:szCs w:val="20"/>
          <w:color w:val="auto"/>
        </w:rPr>
      </w:pPr>
      <w:r>
        <w:rPr>
          <w:rFonts w:ascii="Times New Roman" w:cs="Times New Roman" w:eastAsia="Times New Roman" w:hAnsi="Times New Roman"/>
          <w:sz w:val="18"/>
          <w:szCs w:val="18"/>
          <w:color w:val="auto"/>
        </w:rPr>
        <w:t>In the course of auditing our consolidated financial statements as of and for the years ended December 31, 2020 and 2019, we and our independent registered public accounting firm identified material weaknesses in our internal control environment relating to:</w:t>
      </w:r>
    </w:p>
    <w:p>
      <w:pPr>
        <w:spacing w:after="0" w:line="121" w:lineRule="exact"/>
        <w:rPr>
          <w:sz w:val="20"/>
          <w:szCs w:val="20"/>
          <w:color w:val="auto"/>
        </w:rPr>
      </w:pPr>
    </w:p>
    <w:p>
      <w:pPr>
        <w:ind w:left="880" w:hanging="440"/>
        <w:spacing w:after="0"/>
        <w:tabs>
          <w:tab w:leader="none" w:pos="8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access related environment and change control processes not supporting an efficient or effective internal control framework,</w:t>
      </w:r>
    </w:p>
    <w:p>
      <w:pPr>
        <w:spacing w:after="0" w:line="211" w:lineRule="exact"/>
        <w:rPr>
          <w:rFonts w:ascii="Times New Roman" w:cs="Times New Roman" w:eastAsia="Times New Roman" w:hAnsi="Times New Roman"/>
          <w:sz w:val="18"/>
          <w:szCs w:val="18"/>
          <w:color w:val="auto"/>
        </w:rPr>
      </w:pPr>
    </w:p>
    <w:p>
      <w:pPr>
        <w:ind w:left="880" w:right="600" w:hanging="440"/>
        <w:spacing w:after="0" w:line="282" w:lineRule="auto"/>
        <w:tabs>
          <w:tab w:leader="none" w:pos="8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documented policies and procedures in relation to our business processes and entity level controls as well as lack of evidence of performing controls and</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segregation of duties.</w:t>
      </w:r>
    </w:p>
    <w:p>
      <w:pPr>
        <w:spacing w:after="0" w:line="212" w:lineRule="exact"/>
        <w:rPr>
          <w:sz w:val="20"/>
          <w:szCs w:val="20"/>
          <w:color w:val="auto"/>
        </w:rPr>
      </w:pPr>
    </w:p>
    <w:p>
      <w:pPr>
        <w:ind w:right="300" w:firstLine="864"/>
        <w:spacing w:after="0" w:line="266" w:lineRule="auto"/>
        <w:rPr>
          <w:sz w:val="20"/>
          <w:szCs w:val="20"/>
          <w:color w:val="auto"/>
        </w:rPr>
      </w:pPr>
      <w:r>
        <w:rPr>
          <w:rFonts w:ascii="Times New Roman" w:cs="Times New Roman" w:eastAsia="Times New Roman" w:hAnsi="Times New Roman"/>
          <w:sz w:val="18"/>
          <w:szCs w:val="18"/>
          <w:color w:val="auto"/>
        </w:rPr>
        <w:t>These control deficiencies could result in a misstatement of our accounts or disclosures that could result in a material misstatement of our financial results that would not be prevented or detected, and accordingly, we determined that these control deficiencies constitute material weaknesses. These control deficiencies are unremediated as at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189" w:lineRule="exact"/>
        <w:rPr>
          <w:sz w:val="20"/>
          <w:szCs w:val="20"/>
          <w:color w:val="auto"/>
        </w:rPr>
      </w:pPr>
    </w:p>
    <w:p>
      <w:pPr>
        <w:ind w:right="260" w:firstLine="864"/>
        <w:spacing w:after="0" w:line="282" w:lineRule="auto"/>
        <w:rPr>
          <w:sz w:val="20"/>
          <w:szCs w:val="20"/>
          <w:color w:val="auto"/>
        </w:rPr>
      </w:pPr>
      <w:r>
        <w:rPr>
          <w:rFonts w:ascii="Times New Roman" w:cs="Times New Roman" w:eastAsia="Times New Roman" w:hAnsi="Times New Roman"/>
          <w:sz w:val="18"/>
          <w:szCs w:val="18"/>
          <w:color w:val="auto"/>
        </w:rPr>
        <w:t>To remedy our identified material weaknesses, we have initiated several measures to improve our internal control over financial reporting as well as implementing the COSO 2013 framework. Key activities include:</w:t>
      </w:r>
    </w:p>
    <w:p>
      <w:pPr>
        <w:spacing w:after="0" w:line="135" w:lineRule="exact"/>
        <w:rPr>
          <w:sz w:val="20"/>
          <w:szCs w:val="20"/>
          <w:color w:val="auto"/>
        </w:rPr>
      </w:pPr>
    </w:p>
    <w:p>
      <w:pPr>
        <w:ind w:left="880" w:hanging="440"/>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IT general controls to manage access and program changes within our IT environment</w:t>
      </w:r>
    </w:p>
    <w:p>
      <w:pPr>
        <w:spacing w:after="0" w:line="21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review procedures and analysis over segregation of duties in IT systems</w:t>
      </w:r>
    </w:p>
    <w:p>
      <w:pPr>
        <w:spacing w:after="0" w:line="211"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internal resources with appropriate knowledge and expertise to effectively operate financial reporting processes and internal controls</w:t>
      </w:r>
    </w:p>
    <w:p>
      <w:pPr>
        <w:spacing w:after="0" w:line="121" w:lineRule="exact"/>
        <w:rPr>
          <w:rFonts w:ascii="Times New Roman" w:cs="Times New Roman" w:eastAsia="Times New Roman" w:hAnsi="Times New Roman"/>
          <w:sz w:val="18"/>
          <w:szCs w:val="18"/>
          <w:color w:val="auto"/>
        </w:rPr>
      </w:pPr>
    </w:p>
    <w:p>
      <w:pPr>
        <w:ind w:left="880" w:right="360" w:hanging="440"/>
        <w:spacing w:after="0" w:line="282"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comprehensive accounting guidelines in relation to accounting policies, clarifying reporting and disclosure requirements for, non-recurring and complex transactions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and improving month-end close processes</w:t>
      </w:r>
    </w:p>
    <w:p>
      <w:pPr>
        <w:spacing w:after="0" w:line="21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external resources to assist with implementation and remediation effort and internal controls execution as well as providing training to existing personnel</w:t>
      </w:r>
    </w:p>
    <w:p>
      <w:pPr>
        <w:spacing w:after="0" w:line="121" w:lineRule="exact"/>
        <w:rPr>
          <w:sz w:val="20"/>
          <w:szCs w:val="20"/>
          <w:color w:val="auto"/>
        </w:rPr>
      </w:pPr>
    </w:p>
    <w:p>
      <w:pPr>
        <w:ind w:right="20" w:firstLine="864"/>
        <w:spacing w:after="0" w:line="254" w:lineRule="auto"/>
        <w:rPr>
          <w:sz w:val="20"/>
          <w:szCs w:val="20"/>
          <w:color w:val="auto"/>
        </w:rPr>
      </w:pPr>
      <w:r>
        <w:rPr>
          <w:rFonts w:ascii="Times New Roman" w:cs="Times New Roman" w:eastAsia="Times New Roman" w:hAnsi="Times New Roman"/>
          <w:sz w:val="18"/>
          <w:szCs w:val="18"/>
          <w:color w:val="auto"/>
        </w:rPr>
        <w:t>While new controls are being designed and implemented, they have not operated for a sufficient period of time to demonstrate that the material weaknesses have been remediated. The material weakness will be considered remediated when management concludes that, through testing, the applicable remediated controls are designed, implemented and operating effectively. We expect the procedures planned for remediation to be completed during the year ended December 31, 2022. The implementation of these measures, however, may not fully address the material weakness identified in our internal control over financial reporting, and we cannot conclude that it has been fully remedied. See Item 3.D. “</w:t>
      </w:r>
      <w:r>
        <w:rPr>
          <w:rFonts w:ascii="Times New Roman" w:cs="Times New Roman" w:eastAsia="Times New Roman" w:hAnsi="Times New Roman"/>
          <w:sz w:val="18"/>
          <w:szCs w:val="18"/>
          <w:i w:val="1"/>
          <w:iCs w:val="1"/>
          <w:color w:val="auto"/>
        </w:rPr>
        <w:t>Risk Factors—Risks Related to the Ownership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ADSs—We have previously identified material weaknesses in our internal control environment. If we are unable to remediate the material weaknesses, or if other control deficiencies are identified, we may not be able to report our financial results accurately, prevent fraud or file our periodic reports as a public company in a timely manner</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right="480" w:firstLine="86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because the Company is in a transition period permitted by rules of the SEC for newly public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89" w:lineRule="exact"/>
        <w:rPr>
          <w:sz w:val="20"/>
          <w:szCs w:val="20"/>
          <w:color w:val="auto"/>
        </w:rPr>
      </w:pPr>
    </w:p>
    <w:p>
      <w:pPr>
        <w:ind w:right="60" w:firstLine="864"/>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because the Company is in a transition period permitted by rules of the SEC for newly public companies. In addition, we are an emerging growth company and, accordingly, are exempt from the requirement to provide such a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60" w:firstLine="864"/>
        <w:spacing w:after="0" w:line="266" w:lineRule="auto"/>
        <w:rPr>
          <w:sz w:val="20"/>
          <w:szCs w:val="20"/>
          <w:color w:val="auto"/>
        </w:rPr>
      </w:pPr>
      <w:r>
        <w:rPr>
          <w:rFonts w:ascii="Times New Roman" w:cs="Times New Roman" w:eastAsia="Times New Roman" w:hAnsi="Times New Roman"/>
          <w:sz w:val="18"/>
          <w:szCs w:val="18"/>
          <w:color w:val="auto"/>
        </w:rPr>
        <w:t>Except for improvements to our internal control over financial reporting that are being carried out to remediate the material weaknesses described above, no change to our internal control over financial reporting occurred during the year ended December 31, 2021, that has materially affected, or is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02" w:lineRule="exact"/>
        <w:rPr>
          <w:sz w:val="20"/>
          <w:szCs w:val="20"/>
          <w:color w:val="auto"/>
        </w:rPr>
      </w:pPr>
    </w:p>
    <w:p>
      <w:pPr>
        <w:ind w:right="140" w:firstLine="864"/>
        <w:spacing w:after="0" w:line="229" w:lineRule="exact"/>
        <w:rPr>
          <w:sz w:val="20"/>
          <w:szCs w:val="20"/>
          <w:color w:val="auto"/>
        </w:rPr>
      </w:pPr>
      <w:r>
        <w:rPr>
          <w:rFonts w:ascii="Times New Roman" w:cs="Times New Roman" w:eastAsia="Times New Roman" w:hAnsi="Times New Roman"/>
          <w:sz w:val="18"/>
          <w:szCs w:val="18"/>
          <w:color w:val="auto"/>
        </w:rPr>
        <w:t>Our Board has determined that Ann Chung, Mattias Klintemar and Frances Rathke each satisfy the “independence” requirements set forth in Rule 10A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under the Exchange Act. Our Board of Directors has also determined that Frances Rathke is considered an “audit committee financial expert” as defined in Item 16A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under the Exchange Act.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02" w:lineRule="exact"/>
        <w:rPr>
          <w:sz w:val="20"/>
          <w:szCs w:val="20"/>
          <w:color w:val="auto"/>
        </w:rPr>
      </w:pPr>
    </w:p>
    <w:p>
      <w:pPr>
        <w:ind w:right="200" w:firstLine="864"/>
        <w:spacing w:after="0" w:line="261" w:lineRule="auto"/>
        <w:rPr>
          <w:sz w:val="20"/>
          <w:szCs w:val="20"/>
          <w:color w:val="auto"/>
        </w:rPr>
      </w:pPr>
      <w:r>
        <w:rPr>
          <w:rFonts w:ascii="Times New Roman" w:cs="Times New Roman" w:eastAsia="Times New Roman" w:hAnsi="Times New Roman"/>
          <w:sz w:val="18"/>
          <w:szCs w:val="18"/>
          <w:color w:val="auto"/>
        </w:rPr>
        <w:t>We have adopted Business Conduct and Ethics Guidelines, which cover a broad range of matters including ethical and compliance issues and other corporate policies such as equal opportunity and non-discrimination standards. These Business Conduct and Ethics Guidelines apply to all of our executive officers, board members and employees, including our principal executive, principal financial and principal accounting officers. Our Business Conduct and Ethics Guidelines are intended to meet the definition of “code of ethics” under Item 16B of Form 20-F under the Exchange Act.</w:t>
      </w:r>
    </w:p>
    <w:p>
      <w:pPr>
        <w:spacing w:after="0" w:line="139" w:lineRule="exact"/>
        <w:rPr>
          <w:sz w:val="20"/>
          <w:szCs w:val="20"/>
          <w:color w:val="auto"/>
        </w:rPr>
      </w:pPr>
    </w:p>
    <w:p>
      <w:pPr>
        <w:ind w:right="140" w:firstLine="864"/>
        <w:spacing w:after="0" w:line="261" w:lineRule="auto"/>
        <w:rPr>
          <w:sz w:val="20"/>
          <w:szCs w:val="20"/>
          <w:color w:val="auto"/>
        </w:rPr>
      </w:pPr>
      <w:r>
        <w:rPr>
          <w:rFonts w:ascii="Times New Roman" w:cs="Times New Roman" w:eastAsia="Times New Roman" w:hAnsi="Times New Roman"/>
          <w:sz w:val="18"/>
          <w:szCs w:val="18"/>
          <w:color w:val="auto"/>
        </w:rPr>
        <w:t>We will disclose on our website any amendment to, or waiver from, a provision of our Business Conduct and Ethics Guidelines that applies to our directors or executive officers to the extent required under the rules of the SEC or Nasdaq. Our Business Conduct and Ethics Guidelines are available on the Investor Relations page of our website at investors.oatly.com The information contained on our website is not incorporated by reference in this Annual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Accounting Fees and Services</w:t>
      </w:r>
    </w:p>
    <w:p>
      <w:pPr>
        <w:spacing w:after="0" w:line="202" w:lineRule="exact"/>
        <w:rPr>
          <w:sz w:val="20"/>
          <w:szCs w:val="20"/>
          <w:color w:val="auto"/>
        </w:rPr>
      </w:pPr>
    </w:p>
    <w:p>
      <w:pPr>
        <w:ind w:right="40" w:firstLine="86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Oatly Group AB at December 31, 2021 and 2020, and for each of the three years in the period ended December 31, 2021, appearing in this Annual Report have been audited by Ernst &amp; Young AB (PCAOB ID: 1433), independent registered public accounting firm, as set forth in their report thereon appearing elsewhere herein, and are included in reliance upon such report given on the authority of such firm as experts in accounting and auditing. The registered business address of Ernst &amp; Young AB is Box 7850, 103 99, Stockholm, Sweden.</w:t>
      </w:r>
    </w:p>
    <w:p>
      <w:pPr>
        <w:spacing w:after="0" w:line="139" w:lineRule="exact"/>
        <w:rPr>
          <w:sz w:val="20"/>
          <w:szCs w:val="20"/>
          <w:color w:val="auto"/>
        </w:rPr>
      </w:pPr>
    </w:p>
    <w:p>
      <w:pPr>
        <w:ind w:right="120" w:firstLine="864"/>
        <w:spacing w:after="0" w:line="282" w:lineRule="auto"/>
        <w:rPr>
          <w:sz w:val="20"/>
          <w:szCs w:val="20"/>
          <w:color w:val="auto"/>
        </w:rPr>
      </w:pPr>
      <w:r>
        <w:rPr>
          <w:rFonts w:ascii="Times New Roman" w:cs="Times New Roman" w:eastAsia="Times New Roman" w:hAnsi="Times New Roman"/>
          <w:sz w:val="18"/>
          <w:szCs w:val="18"/>
          <w:color w:val="auto"/>
        </w:rPr>
        <w:t>The table below sets out the total amount billed to us by Ernst &amp; Young AB for services performed in the years ended December 31, 2021 and 2020, and breaks down these amounts by category of service: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155"/>
        </w:trPr>
        <w:tc>
          <w:tcPr>
            <w:tcW w:w="778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center"/>
              <w:ind w:left="408"/>
              <w:spacing w:after="0" w:line="155" w:lineRule="exact"/>
              <w:rPr>
                <w:sz w:val="20"/>
                <w:szCs w:val="20"/>
                <w:color w:val="auto"/>
              </w:rPr>
            </w:pPr>
            <w:r>
              <w:rPr>
                <w:rFonts w:ascii="Times New Roman" w:cs="Times New Roman" w:eastAsia="Times New Roman" w:hAnsi="Times New Roman"/>
                <w:sz w:val="14"/>
                <w:szCs w:val="14"/>
                <w:b w:val="1"/>
                <w:bCs w:val="1"/>
                <w:color w:val="auto"/>
              </w:rPr>
              <w:t>$’000</w:t>
            </w:r>
          </w:p>
        </w:tc>
        <w:tc>
          <w:tcPr>
            <w:tcW w:w="50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Borders>
              <w:bottom w:val="single" w:sz="8" w:color="CFF0FC"/>
            </w:tcBorders>
          </w:tcPr>
          <w:p>
            <w:pPr>
              <w:spacing w:after="0"/>
              <w:rPr>
                <w:sz w:val="13"/>
                <w:szCs w:val="13"/>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FF0FC"/>
          </w:tcPr>
          <w:p>
            <w:pPr>
              <w:spacing w:after="0"/>
              <w:rPr>
                <w:sz w:val="19"/>
                <w:szCs w:val="19"/>
                <w:color w:val="auto"/>
              </w:rPr>
            </w:pPr>
          </w:p>
        </w:tc>
      </w:tr>
      <w:tr>
        <w:trPr>
          <w:trHeight w:val="229"/>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4,145</w:t>
            </w:r>
          </w:p>
        </w:tc>
        <w:tc>
          <w:tcPr>
            <w:tcW w:w="2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3,828</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89" w:lineRule="exact"/>
        <w:rPr>
          <w:sz w:val="20"/>
          <w:szCs w:val="20"/>
          <w:color w:val="auto"/>
        </w:rPr>
      </w:pPr>
    </w:p>
    <w:p>
      <w:pPr>
        <w:ind w:right="320" w:firstLine="864"/>
        <w:spacing w:after="0" w:line="282" w:lineRule="auto"/>
        <w:rPr>
          <w:sz w:val="20"/>
          <w:szCs w:val="20"/>
          <w:color w:val="auto"/>
        </w:rPr>
      </w:pPr>
      <w:r>
        <w:rPr>
          <w:rFonts w:ascii="Times New Roman" w:cs="Times New Roman" w:eastAsia="Times New Roman" w:hAnsi="Times New Roman"/>
          <w:sz w:val="18"/>
          <w:szCs w:val="18"/>
          <w:color w:val="auto"/>
        </w:rPr>
        <w:t>Audit fees related to the audit of our consolidated and subsidiary financial statements and other audit or interim review services provided in connection with statutory and regulatory filings or engagements.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Related Fees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Audit related fees mainly related to fees for assurance and related services not included within audit fees.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02" w:lineRule="exact"/>
        <w:rPr>
          <w:sz w:val="20"/>
          <w:szCs w:val="20"/>
          <w:color w:val="auto"/>
        </w:rPr>
      </w:pPr>
    </w:p>
    <w:p>
      <w:pPr>
        <w:ind w:right="120" w:firstLine="864"/>
        <w:spacing w:after="0" w:line="282" w:lineRule="auto"/>
        <w:rPr>
          <w:sz w:val="20"/>
          <w:szCs w:val="20"/>
          <w:color w:val="auto"/>
        </w:rPr>
      </w:pPr>
      <w:r>
        <w:rPr>
          <w:rFonts w:ascii="Times New Roman" w:cs="Times New Roman" w:eastAsia="Times New Roman" w:hAnsi="Times New Roman"/>
          <w:sz w:val="18"/>
          <w:szCs w:val="18"/>
          <w:color w:val="auto"/>
        </w:rPr>
        <w:t>The advance approval of the audit committee or members thereof, to whom approval authority has been delegated, is required for all audit and non-audit services provided by our auditors.</w:t>
      </w:r>
    </w:p>
    <w:p>
      <w:pPr>
        <w:spacing w:after="0" w:line="121" w:lineRule="exact"/>
        <w:rPr>
          <w:sz w:val="20"/>
          <w:szCs w:val="20"/>
          <w:color w:val="auto"/>
        </w:rPr>
      </w:pPr>
    </w:p>
    <w:p>
      <w:pPr>
        <w:ind w:right="200" w:firstLine="864"/>
        <w:spacing w:after="0" w:line="282" w:lineRule="auto"/>
        <w:rPr>
          <w:sz w:val="20"/>
          <w:szCs w:val="20"/>
          <w:color w:val="auto"/>
        </w:rPr>
      </w:pPr>
      <w:r>
        <w:rPr>
          <w:rFonts w:ascii="Times New Roman" w:cs="Times New Roman" w:eastAsia="Times New Roman" w:hAnsi="Times New Roman"/>
          <w:sz w:val="18"/>
          <w:szCs w:val="18"/>
          <w:color w:val="auto"/>
        </w:rPr>
        <w:t>All services provided by our auditors are approved in advance by either the audit committee or members thereof, to whom authority has been delegated, in accordance with the audit committee’s pre-approval policy.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89"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As a “foreign private issuer,” as defined by the SEC, we are permitted to follow home country corporate governance practices, instead of certain corporate governance practices required by Nasdaq for domestic issuers. While we voluntarily follow most Nasdaq corporate governance rules, we intend to follow Swedish corporate governance practices in lieu of Nasdaq corporate governance rules as follows:</w:t>
      </w:r>
    </w:p>
    <w:p>
      <w:pPr>
        <w:spacing w:after="0" w:line="135" w:lineRule="exact"/>
        <w:rPr>
          <w:sz w:val="20"/>
          <w:szCs w:val="20"/>
          <w:color w:val="auto"/>
        </w:rPr>
      </w:pPr>
    </w:p>
    <w:p>
      <w:pPr>
        <w:jc w:val="both"/>
        <w:ind w:left="1300" w:right="220" w:hanging="442"/>
        <w:spacing w:after="0" w:line="261"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 Rule 5620(c) regarding quorum requirements applicable to meetings of shareholders. Such quorum requirements are not required under Swedish law. In accordance with generally accepted business practice, our Articles of Association and the Swedish Companies Act (SFS 2005:551) provide alternative quorum requirements that are generally applicable to meetings of shareholders.</w:t>
      </w:r>
    </w:p>
    <w:p>
      <w:pPr>
        <w:spacing w:after="0" w:line="139" w:lineRule="exact"/>
        <w:rPr>
          <w:rFonts w:ascii="Times New Roman" w:cs="Times New Roman" w:eastAsia="Times New Roman" w:hAnsi="Times New Roman"/>
          <w:sz w:val="18"/>
          <w:szCs w:val="18"/>
          <w:color w:val="auto"/>
        </w:rPr>
      </w:pPr>
    </w:p>
    <w:p>
      <w:pPr>
        <w:ind w:left="1300" w:right="20" w:hanging="442"/>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 Rule 5605(b)(2), which requires that independent directors regularly meet in executive session, where only independent directors are present. Our independent directors may choose to meet in executive session at their discretion.</w:t>
      </w:r>
    </w:p>
    <w:p>
      <w:pPr>
        <w:spacing w:after="0" w:line="121"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spacing w:after="0" w:line="153"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Other than as discussed above, we currently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spacing w:after="0" w:line="135" w:lineRule="exact"/>
        <w:rPr>
          <w:sz w:val="20"/>
          <w:szCs w:val="20"/>
          <w:color w:val="auto"/>
        </w:rPr>
      </w:pPr>
    </w:p>
    <w:p>
      <w:pPr>
        <w:ind w:right="360" w:firstLine="864"/>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of 2002, the rules adopted by the SEC and Nasdaq listing standards.</w:t>
      </w:r>
    </w:p>
    <w:p>
      <w:pPr>
        <w:spacing w:after="0" w:line="121" w:lineRule="exact"/>
        <w:rPr>
          <w:sz w:val="20"/>
          <w:szCs w:val="20"/>
          <w:color w:val="auto"/>
        </w:rPr>
      </w:pPr>
    </w:p>
    <w:p>
      <w:pPr>
        <w:jc w:val="both"/>
        <w:ind w:right="40" w:firstLine="864"/>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have provided financial statements pursuant to Item 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89" w:lineRule="exact"/>
        <w:rPr>
          <w:sz w:val="20"/>
          <w:szCs w:val="20"/>
          <w:color w:val="auto"/>
        </w:rPr>
      </w:pPr>
    </w:p>
    <w:p>
      <w:pPr>
        <w:ind w:right="320" w:firstLine="864"/>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as required under Item 18 are attached hereto starting on page F-1 of this Annual Report. The audit report of Ernst &amp; Young AB, an independent registered public accounting firm, is included herein preceding the audited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List all exhibits filed as part of the registration statement or annual report, including exhibits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1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Filed /</w:t>
            </w:r>
          </w:p>
        </w:tc>
      </w:tr>
      <w:tr>
        <w:trPr>
          <w:trHeight w:val="238"/>
        </w:trPr>
        <w:tc>
          <w:tcPr>
            <w:tcW w:w="1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19"/>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r>
      <w:tr>
        <w:trPr>
          <w:trHeight w:val="169"/>
        </w:trPr>
        <w:tc>
          <w:tcPr>
            <w:tcW w:w="14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1.1</w:t>
            </w:r>
          </w:p>
        </w:tc>
        <w:tc>
          <w:tcPr>
            <w:tcW w:w="3100" w:type="dxa"/>
            <w:vAlign w:val="bottom"/>
            <w:tcBorders>
              <w:bottom w:val="single" w:sz="8" w:color="0000EE"/>
            </w:tcBorders>
            <w:gridSpan w:val="12"/>
          </w:tcPr>
          <w:p>
            <w:pPr>
              <w:spacing w:after="0" w:line="169"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Articles of Association of Oatly Group AB</w:t>
              </w:r>
            </w:hyperlink>
          </w:p>
        </w:tc>
        <w:tc>
          <w:tcPr>
            <w:tcW w:w="1500" w:type="dxa"/>
            <w:vAlign w:val="bottom"/>
            <w:gridSpan w:val="14"/>
          </w:tcPr>
          <w:p>
            <w:pPr>
              <w:spacing w:after="0"/>
              <w:rPr>
                <w:sz w:val="14"/>
                <w:szCs w:val="14"/>
                <w:color w:val="auto"/>
              </w:rPr>
            </w:pPr>
          </w:p>
        </w:tc>
        <w:tc>
          <w:tcPr>
            <w:tcW w:w="76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7"/>
              </w:rPr>
              <w:t>F-1/A</w:t>
            </w: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333-255344</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5/11/2021</w:t>
            </w:r>
          </w:p>
        </w:tc>
        <w:tc>
          <w:tcPr>
            <w:tcW w:w="1160" w:type="dxa"/>
            <w:vAlign w:val="bottom"/>
          </w:tcPr>
          <w:p>
            <w:pPr>
              <w:spacing w:after="0"/>
              <w:rPr>
                <w:sz w:val="14"/>
                <w:szCs w:val="14"/>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Description of Securities</w:t>
              </w:r>
            </w:hyperlink>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17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Deposit Agreement</w:t>
              </w:r>
            </w:hyperlink>
          </w:p>
        </w:tc>
        <w:tc>
          <w:tcPr>
            <w:tcW w:w="2820" w:type="dxa"/>
            <w:vAlign w:val="bottom"/>
            <w:gridSpan w:val="19"/>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2.3</w:t>
            </w: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w:anchor="page186">
              <w:r>
                <w:rPr>
                  <w:rFonts w:ascii="Times New Roman" w:cs="Times New Roman" w:eastAsia="Times New Roman" w:hAnsi="Times New Roman"/>
                  <w:sz w:val="18"/>
                  <w:szCs w:val="18"/>
                  <w:color w:val="0000EE"/>
                </w:rPr>
                <w:t>Form of American Depositary Receipt (including in Exhibit</w:t>
              </w:r>
            </w:hyperlink>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40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1"/>
              </w:rPr>
            </w:pPr>
            <w:hyperlink w:anchor="page186">
              <w:r>
                <w:rPr>
                  <w:rFonts w:ascii="Times New Roman" w:cs="Times New Roman" w:eastAsia="Times New Roman" w:hAnsi="Times New Roman"/>
                  <w:sz w:val="18"/>
                  <w:szCs w:val="18"/>
                  <w:color w:val="0000EE"/>
                  <w:w w:val="91"/>
                </w:rPr>
                <w:t>2.</w:t>
              </w:r>
              <w:r>
                <w:rPr>
                  <w:rFonts w:ascii="Times New Roman" w:cs="Times New Roman" w:eastAsia="Times New Roman" w:hAnsi="Times New Roman"/>
                  <w:sz w:val="18"/>
                  <w:szCs w:val="18"/>
                  <w:u w:val="single" w:color="auto"/>
                  <w:color w:val="0000EE"/>
                  <w:w w:val="91"/>
                </w:rPr>
                <w:t>2)</w:t>
              </w:r>
            </w:hyperlink>
          </w:p>
        </w:tc>
        <w:tc>
          <w:tcPr>
            <w:tcW w:w="6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2.4††</w:t>
            </w: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Additional Listing Agreement, dated as of February 9, 2021,</w:t>
              </w:r>
            </w:hyperlink>
          </w:p>
        </w:tc>
        <w:tc>
          <w:tcPr>
            <w:tcW w:w="76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F-1/A</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333-255344</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5/11/2021</w:t>
            </w:r>
          </w:p>
        </w:tc>
        <w:tc>
          <w:tcPr>
            <w:tcW w:w="116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by and among Oatly Group AB and certain shareholders of</w:t>
              </w:r>
            </w:hyperlink>
          </w:p>
        </w:tc>
        <w:tc>
          <w:tcPr>
            <w:tcW w:w="100" w:type="dxa"/>
            <w:vAlign w:val="bottom"/>
            <w:tcBorders>
              <w:top w:val="single" w:sz="8" w:color="0000EE"/>
            </w:tcBorders>
            <w:gridSpan w:val="2"/>
          </w:tcPr>
          <w:p>
            <w:pPr>
              <w:spacing w:after="0"/>
              <w:rPr>
                <w:sz w:val="17"/>
                <w:szCs w:val="17"/>
                <w:color w:val="auto"/>
              </w:rPr>
            </w:pPr>
          </w:p>
        </w:tc>
        <w:tc>
          <w:tcPr>
            <w:tcW w:w="24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1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Oatly Group AB</w:t>
              </w:r>
            </w:hyperlink>
          </w:p>
        </w:tc>
        <w:tc>
          <w:tcPr>
            <w:tcW w:w="3400" w:type="dxa"/>
            <w:vAlign w:val="bottom"/>
            <w:gridSpan w:val="22"/>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2.5</w:t>
            </w:r>
          </w:p>
        </w:tc>
        <w:tc>
          <w:tcPr>
            <w:tcW w:w="2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32">
              <w:r>
                <w:rPr>
                  <w:rFonts w:ascii="Times New Roman" w:cs="Times New Roman" w:eastAsia="Times New Roman" w:hAnsi="Times New Roman"/>
                  <w:sz w:val="18"/>
                  <w:szCs w:val="18"/>
                  <w:color w:val="0000EE"/>
                  <w:w w:val="99"/>
                </w:rPr>
                <w:t>Registration Rights Agreement</w:t>
              </w:r>
            </w:hyperlink>
          </w:p>
        </w:tc>
        <w:tc>
          <w:tcPr>
            <w:tcW w:w="2360" w:type="dxa"/>
            <w:vAlign w:val="bottom"/>
            <w:gridSpan w:val="18"/>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Indemnification Agreement</w:t>
              </w:r>
            </w:hyperlink>
          </w:p>
        </w:tc>
        <w:tc>
          <w:tcPr>
            <w:tcW w:w="76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F-1/A</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333-255344</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5/11/2021</w:t>
            </w:r>
          </w:p>
        </w:tc>
        <w:tc>
          <w:tcPr>
            <w:tcW w:w="116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Oatly Group AB 2021 Incentive Award Plan</w:t>
              </w:r>
            </w:hyperlink>
          </w:p>
        </w:tc>
        <w:tc>
          <w:tcPr>
            <w:tcW w:w="1400" w:type="dxa"/>
            <w:vAlign w:val="bottom"/>
            <w:gridSpan w:val="13"/>
          </w:tcPr>
          <w:p>
            <w:pPr>
              <w:spacing w:after="0"/>
              <w:rPr>
                <w:sz w:val="17"/>
                <w:szCs w:val="17"/>
                <w:color w:val="auto"/>
              </w:rPr>
            </w:pPr>
          </w:p>
        </w:tc>
        <w:tc>
          <w:tcPr>
            <w:tcW w:w="76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F-1/A</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333-231533</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5/11/2021</w:t>
            </w:r>
          </w:p>
        </w:tc>
        <w:tc>
          <w:tcPr>
            <w:tcW w:w="1160" w:type="dxa"/>
            <w:vAlign w:val="bottom"/>
          </w:tcPr>
          <w:p>
            <w:pPr>
              <w:spacing w:after="0"/>
              <w:rPr>
                <w:sz w:val="17"/>
                <w:szCs w:val="17"/>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Sustainable Revolving Credit Facility Agreement, dated April</w:t>
              </w:r>
            </w:hyperlink>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14, 2021, by and among Oatly Group AB and BNP Paribas</w:t>
              </w:r>
            </w:hyperlink>
          </w:p>
        </w:tc>
        <w:tc>
          <w:tcPr>
            <w:tcW w:w="200" w:type="dxa"/>
            <w:vAlign w:val="bottom"/>
            <w:tcBorders>
              <w:top w:val="single" w:sz="8" w:color="0000EE"/>
            </w:tcBorders>
            <w:gridSpan w:val="6"/>
          </w:tcPr>
          <w:p>
            <w:pPr>
              <w:spacing w:after="0"/>
              <w:rPr>
                <w:sz w:val="17"/>
                <w:szCs w:val="17"/>
                <w:color w:val="auto"/>
              </w:rPr>
            </w:pPr>
          </w:p>
        </w:tc>
        <w:tc>
          <w:tcPr>
            <w:tcW w:w="1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4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SA, Bankfilial Sverige, Coöperatieve Rabobank U.A., Nordea</w:t>
              </w:r>
            </w:hyperlink>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Bank ABP, Filial I Sverige and Skandinaviska Enskilda</w:t>
              </w:r>
            </w:hyperlink>
          </w:p>
        </w:tc>
        <w:tc>
          <w:tcPr>
            <w:tcW w:w="60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Banken AB (publ) as Bookrunning Mandated Lead</w:t>
              </w:r>
            </w:hyperlink>
          </w:p>
        </w:tc>
        <w:tc>
          <w:tcPr>
            <w:tcW w:w="76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333-255344</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4/19/2021</w:t>
            </w:r>
          </w:p>
        </w:tc>
        <w:tc>
          <w:tcPr>
            <w:tcW w:w="116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Arrangers, the other arrangers, coordinators and lenders party</w:t>
              </w:r>
            </w:hyperlink>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4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thereto, and Skandinaviska Enskilda Banken AB (publ) as</w:t>
              </w:r>
            </w:hyperlink>
          </w:p>
        </w:tc>
        <w:tc>
          <w:tcPr>
            <w:tcW w:w="18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Agent and Security Agent (the “Original Facility</w:t>
              </w:r>
            </w:hyperlink>
          </w:p>
        </w:tc>
        <w:tc>
          <w:tcPr>
            <w:tcW w:w="660" w:type="dxa"/>
            <w:vAlign w:val="bottom"/>
            <w:tcBorders>
              <w:top w:val="single" w:sz="8" w:color="0000EE"/>
            </w:tcBorders>
            <w:gridSpan w:val="3"/>
          </w:tcPr>
          <w:p>
            <w:pPr>
              <w:spacing w:after="0"/>
              <w:rPr>
                <w:sz w:val="17"/>
                <w:szCs w:val="17"/>
                <w:color w:val="auto"/>
              </w:rPr>
            </w:pPr>
          </w:p>
        </w:tc>
        <w:tc>
          <w:tcPr>
            <w:tcW w:w="42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9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32">
              <w:r>
                <w:rPr>
                  <w:rFonts w:ascii="Times New Roman" w:cs="Times New Roman" w:eastAsia="Times New Roman" w:hAnsi="Times New Roman"/>
                  <w:sz w:val="18"/>
                  <w:szCs w:val="18"/>
                  <w:color w:val="0000EE"/>
                  <w:w w:val="97"/>
                </w:rPr>
                <w:t>Agreement”)</w:t>
              </w:r>
            </w:hyperlink>
          </w:p>
        </w:tc>
        <w:tc>
          <w:tcPr>
            <w:tcW w:w="3660" w:type="dxa"/>
            <w:vAlign w:val="bottom"/>
            <w:gridSpan w:val="24"/>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44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267">
              <w:r>
                <w:rPr>
                  <w:rFonts w:ascii="Times New Roman" w:cs="Times New Roman" w:eastAsia="Times New Roman" w:hAnsi="Times New Roman"/>
                  <w:sz w:val="18"/>
                  <w:szCs w:val="18"/>
                  <w:color w:val="0000EE"/>
                </w:rPr>
                <w:t>Amendment Letter to the Original Facility Agreement, dated</w:t>
              </w:r>
            </w:hyperlink>
          </w:p>
        </w:tc>
        <w:tc>
          <w:tcPr>
            <w:tcW w:w="20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400" w:type="dxa"/>
            <w:vAlign w:val="bottom"/>
          </w:tcPr>
          <w:p>
            <w:pPr>
              <w:spacing w:after="0"/>
              <w:rPr>
                <w:sz w:val="17"/>
                <w:szCs w:val="17"/>
                <w:color w:val="auto"/>
              </w:rPr>
            </w:pP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w:anchor="page267">
              <w:r>
                <w:rPr>
                  <w:rFonts w:ascii="Times New Roman" w:cs="Times New Roman" w:eastAsia="Times New Roman" w:hAnsi="Times New Roman"/>
                  <w:sz w:val="18"/>
                  <w:szCs w:val="18"/>
                  <w:color w:val="0000EE"/>
                </w:rPr>
                <w:t>March 28, 2022</w:t>
              </w:r>
            </w:hyperlink>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8.1</w:t>
            </w: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w:anchor="page273">
              <w:r>
                <w:rPr>
                  <w:rFonts w:ascii="Times New Roman" w:cs="Times New Roman" w:eastAsia="Times New Roman" w:hAnsi="Times New Roman"/>
                  <w:sz w:val="18"/>
                  <w:szCs w:val="18"/>
                  <w:color w:val="0000EE"/>
                </w:rPr>
                <w:t>List of Subsidiaries.</w:t>
              </w:r>
            </w:hyperlink>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40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4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274">
              <w:r>
                <w:rPr>
                  <w:rFonts w:ascii="Times New Roman" w:cs="Times New Roman" w:eastAsia="Times New Roman" w:hAnsi="Times New Roman"/>
                  <w:sz w:val="18"/>
                  <w:szCs w:val="18"/>
                  <w:color w:val="0000EE"/>
                  <w:w w:val="99"/>
                </w:rPr>
                <w:t>Principal Executive Officer Certification Pursuant to Section</w:t>
              </w:r>
            </w:hyperlink>
          </w:p>
        </w:tc>
        <w:tc>
          <w:tcPr>
            <w:tcW w:w="22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40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74">
              <w:r>
                <w:rPr>
                  <w:rFonts w:ascii="Times New Roman" w:cs="Times New Roman" w:eastAsia="Times New Roman" w:hAnsi="Times New Roman"/>
                  <w:sz w:val="18"/>
                  <w:szCs w:val="18"/>
                  <w:color w:val="0000EE"/>
                </w:rPr>
                <w:t>302 of the Sarbanes-Oxley Act of 2002.</w:t>
              </w:r>
            </w:hyperlink>
          </w:p>
        </w:tc>
        <w:tc>
          <w:tcPr>
            <w:tcW w:w="170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4600" w:type="dxa"/>
            <w:vAlign w:val="bottom"/>
            <w:gridSpan w:val="26"/>
          </w:tcPr>
          <w:p>
            <w:pPr>
              <w:spacing w:after="0" w:line="196" w:lineRule="exact"/>
              <w:rPr>
                <w:rFonts w:ascii="Times New Roman" w:cs="Times New Roman" w:eastAsia="Times New Roman" w:hAnsi="Times New Roman"/>
                <w:sz w:val="18"/>
                <w:szCs w:val="18"/>
                <w:color w:val="0000EE"/>
              </w:rPr>
            </w:pPr>
            <w:hyperlink w:anchor="page275">
              <w:r>
                <w:rPr>
                  <w:rFonts w:ascii="Times New Roman" w:cs="Times New Roman" w:eastAsia="Times New Roman" w:hAnsi="Times New Roman"/>
                  <w:sz w:val="18"/>
                  <w:szCs w:val="18"/>
                  <w:color w:val="0000EE"/>
                </w:rPr>
                <w:t>Principal Financial Officer Certification Pursuant to Section</w:t>
              </w:r>
            </w:hyperlink>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40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75">
              <w:r>
                <w:rPr>
                  <w:rFonts w:ascii="Times New Roman" w:cs="Times New Roman" w:eastAsia="Times New Roman" w:hAnsi="Times New Roman"/>
                  <w:sz w:val="18"/>
                  <w:szCs w:val="18"/>
                  <w:color w:val="0000EE"/>
                </w:rPr>
                <w:t>302 of the Sarbanes-Oxley Act of 2002.</w:t>
              </w:r>
            </w:hyperlink>
          </w:p>
        </w:tc>
        <w:tc>
          <w:tcPr>
            <w:tcW w:w="1420" w:type="dxa"/>
            <w:vAlign w:val="bottom"/>
            <w:tcBorders>
              <w:top w:val="single" w:sz="8" w:color="0000EE"/>
            </w:tcBorders>
            <w:gridSpan w:val="8"/>
          </w:tcPr>
          <w:p>
            <w:pPr>
              <w:spacing w:after="0"/>
              <w:rPr>
                <w:sz w:val="17"/>
                <w:szCs w:val="17"/>
                <w:color w:val="auto"/>
              </w:rPr>
            </w:pPr>
          </w:p>
        </w:tc>
        <w:tc>
          <w:tcPr>
            <w:tcW w:w="28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4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276">
              <w:r>
                <w:rPr>
                  <w:rFonts w:ascii="Times New Roman" w:cs="Times New Roman" w:eastAsia="Times New Roman" w:hAnsi="Times New Roman"/>
                  <w:sz w:val="18"/>
                  <w:szCs w:val="18"/>
                  <w:color w:val="0000EE"/>
                  <w:w w:val="99"/>
                </w:rPr>
                <w:t>Principal Executive Officer Certification Pursuant to Section</w:t>
              </w:r>
            </w:hyperlink>
          </w:p>
        </w:tc>
        <w:tc>
          <w:tcPr>
            <w:tcW w:w="22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40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76">
              <w:r>
                <w:rPr>
                  <w:rFonts w:ascii="Times New Roman" w:cs="Times New Roman" w:eastAsia="Times New Roman" w:hAnsi="Times New Roman"/>
                  <w:sz w:val="18"/>
                  <w:szCs w:val="18"/>
                  <w:color w:val="0000EE"/>
                  <w:w w:val="99"/>
                </w:rPr>
                <w:t>906 of the Sarbanes-Oxley Act of 2002.</w:t>
              </w:r>
            </w:hyperlink>
          </w:p>
        </w:tc>
        <w:tc>
          <w:tcPr>
            <w:tcW w:w="172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69"/>
        </w:trPr>
        <w:tc>
          <w:tcPr>
            <w:tcW w:w="1400" w:type="dxa"/>
            <w:vAlign w:val="bottom"/>
          </w:tcPr>
          <w:p>
            <w:pPr>
              <w:spacing w:after="0"/>
              <w:rPr>
                <w:sz w:val="24"/>
                <w:szCs w:val="24"/>
                <w:color w:val="auto"/>
              </w:rPr>
            </w:pPr>
          </w:p>
        </w:tc>
        <w:tc>
          <w:tcPr>
            <w:tcW w:w="4360" w:type="dxa"/>
            <w:vAlign w:val="bottom"/>
            <w:gridSpan w:val="20"/>
          </w:tcPr>
          <w:p>
            <w:pPr>
              <w:ind w:left="4080"/>
              <w:spacing w:after="0"/>
              <w:rPr>
                <w:sz w:val="20"/>
                <w:szCs w:val="20"/>
                <w:color w:val="auto"/>
              </w:rPr>
            </w:pPr>
            <w:r>
              <w:rPr>
                <w:rFonts w:ascii="Times New Roman" w:cs="Times New Roman" w:eastAsia="Times New Roman" w:hAnsi="Times New Roman"/>
                <w:sz w:val="18"/>
                <w:szCs w:val="18"/>
                <w:color w:val="auto"/>
                <w:w w:val="96"/>
              </w:rPr>
              <w:t>109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1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Filed /</w:t>
            </w:r>
          </w:p>
        </w:tc>
      </w:tr>
      <w:tr>
        <w:trPr>
          <w:trHeight w:val="238"/>
        </w:trPr>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6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r>
      <w:tr>
        <w:trPr>
          <w:trHeight w:val="169"/>
        </w:trPr>
        <w:tc>
          <w:tcPr>
            <w:tcW w:w="1280" w:type="dxa"/>
            <w:vAlign w:val="bottom"/>
          </w:tcPr>
          <w:p>
            <w:pPr>
              <w:jc w:val="center"/>
              <w:ind w:left="30"/>
              <w:spacing w:after="0" w:line="169"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4"/>
                <w:szCs w:val="14"/>
                <w:color w:val="auto"/>
              </w:rPr>
            </w:pPr>
          </w:p>
        </w:tc>
        <w:tc>
          <w:tcPr>
            <w:tcW w:w="4520" w:type="dxa"/>
            <w:vAlign w:val="bottom"/>
            <w:gridSpan w:val="5"/>
          </w:tcPr>
          <w:p>
            <w:pPr>
              <w:spacing w:after="0" w:line="169" w:lineRule="exact"/>
              <w:rPr>
                <w:rFonts w:ascii="Times New Roman" w:cs="Times New Roman" w:eastAsia="Times New Roman" w:hAnsi="Times New Roman"/>
                <w:sz w:val="18"/>
                <w:szCs w:val="18"/>
                <w:color w:val="0000EE"/>
              </w:rPr>
            </w:pPr>
            <w:hyperlink w:anchor="page277">
              <w:r>
                <w:rPr>
                  <w:rFonts w:ascii="Times New Roman" w:cs="Times New Roman" w:eastAsia="Times New Roman" w:hAnsi="Times New Roman"/>
                  <w:sz w:val="18"/>
                  <w:szCs w:val="18"/>
                  <w:color w:val="0000EE"/>
                </w:rPr>
                <w:t>Principal Financial Officer Certification Pursuant to Section</w:t>
              </w:r>
            </w:hyperlink>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277">
              <w:r>
                <w:rPr>
                  <w:rFonts w:ascii="Times New Roman" w:cs="Times New Roman" w:eastAsia="Times New Roman" w:hAnsi="Times New Roman"/>
                  <w:sz w:val="18"/>
                  <w:szCs w:val="18"/>
                  <w:color w:val="0000EE"/>
                  <w:w w:val="99"/>
                </w:rPr>
                <w:t>906 of the Sarbanes-Oxley Act of 2002.</w:t>
              </w:r>
            </w:hyperlink>
          </w:p>
        </w:tc>
        <w:tc>
          <w:tcPr>
            <w:tcW w:w="1440" w:type="dxa"/>
            <w:vAlign w:val="bottom"/>
            <w:tcBorders>
              <w:top w:val="single" w:sz="8" w:color="0000EE"/>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2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7"/>
                <w:szCs w:val="17"/>
                <w:color w:val="auto"/>
              </w:rPr>
            </w:pPr>
          </w:p>
        </w:tc>
        <w:tc>
          <w:tcPr>
            <w:tcW w:w="4520" w:type="dxa"/>
            <w:vAlign w:val="bottom"/>
            <w:gridSpan w:val="5"/>
          </w:tcPr>
          <w:p>
            <w:pPr>
              <w:spacing w:after="0" w:line="196" w:lineRule="exact"/>
              <w:rPr>
                <w:rFonts w:ascii="Times New Roman" w:cs="Times New Roman" w:eastAsia="Times New Roman" w:hAnsi="Times New Roman"/>
                <w:sz w:val="18"/>
                <w:szCs w:val="18"/>
                <w:color w:val="0000EE"/>
              </w:rPr>
            </w:pPr>
            <w:hyperlink w:anchor="page278">
              <w:r>
                <w:rPr>
                  <w:rFonts w:ascii="Times New Roman" w:cs="Times New Roman" w:eastAsia="Times New Roman" w:hAnsi="Times New Roman"/>
                  <w:sz w:val="18"/>
                  <w:szCs w:val="18"/>
                  <w:color w:val="0000EE"/>
                </w:rPr>
                <w:t>Consent of Ernst &amp; Young AB, an independent registered</w:t>
              </w:r>
            </w:hyperlink>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78">
              <w:r>
                <w:rPr>
                  <w:rFonts w:ascii="Times New Roman" w:cs="Times New Roman" w:eastAsia="Times New Roman" w:hAnsi="Times New Roman"/>
                  <w:sz w:val="18"/>
                  <w:szCs w:val="18"/>
                  <w:color w:val="0000EE"/>
                </w:rPr>
                <w:t>public accounting firm</w:t>
              </w:r>
              <w:r>
                <w:rPr>
                  <w:rFonts w:ascii="Times New Roman" w:cs="Times New Roman" w:eastAsia="Times New Roman" w:hAnsi="Times New Roman"/>
                  <w:sz w:val="18"/>
                  <w:szCs w:val="18"/>
                  <w:color w:val="000000"/>
                </w:rPr>
                <w:t>.</w:t>
              </w:r>
            </w:hyperlink>
          </w:p>
        </w:tc>
        <w:tc>
          <w:tcPr>
            <w:tcW w:w="3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400" w:type="dxa"/>
            <w:vAlign w:val="bottom"/>
            <w:gridSpan w:val="2"/>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8"/>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ind w:left="1400" w:right="5860" w:hanging="832"/>
        <w:spacing w:after="0" w:line="260" w:lineRule="auto"/>
        <w:tabs>
          <w:tab w:leader="none" w:pos="14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6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10972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7" w:lineRule="exact"/>
        <w:rPr>
          <w:sz w:val="20"/>
          <w:szCs w:val="20"/>
          <w:color w:val="auto"/>
        </w:rPr>
      </w:pPr>
    </w:p>
    <w:p>
      <w:pPr>
        <w:ind w:left="580" w:hanging="572"/>
        <w:spacing w:after="0"/>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117" w:lineRule="exact"/>
        <w:rPr>
          <w:sz w:val="20"/>
          <w:szCs w:val="20"/>
          <w:color w:val="auto"/>
        </w:rPr>
      </w:pPr>
    </w:p>
    <w:p>
      <w:pPr>
        <w:ind w:left="580" w:right="400" w:hanging="572"/>
        <w:spacing w:after="0" w:line="282" w:lineRule="auto"/>
        <w:tabs>
          <w:tab w:leader="none" w:pos="5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because the information is both not material and is the type that the registrant treats as private or confidential. The registrant agrees to furnish supplementally a copy of any omitted schedule or exhibit to the SEC upon request.</w:t>
      </w:r>
    </w:p>
    <w:p>
      <w:pPr>
        <w:spacing w:after="0" w:line="162" w:lineRule="exact"/>
        <w:rPr>
          <w:sz w:val="20"/>
          <w:szCs w:val="20"/>
          <w:color w:val="auto"/>
        </w:rPr>
      </w:pPr>
    </w:p>
    <w:p>
      <w:pPr>
        <w:ind w:right="60" w:firstLine="864"/>
        <w:spacing w:after="0" w:line="255" w:lineRule="auto"/>
        <w:rPr>
          <w:sz w:val="20"/>
          <w:szCs w:val="20"/>
          <w:color w:val="auto"/>
        </w:rPr>
      </w:pPr>
      <w:r>
        <w:rPr>
          <w:rFonts w:ascii="Times New Roman" w:cs="Times New Roman" w:eastAsia="Times New Roman" w:hAnsi="Times New Roman"/>
          <w:sz w:val="18"/>
          <w:szCs w:val="18"/>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560" w:firstLine="86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April 6, 2022</w:t>
      </w:r>
    </w:p>
    <w:p>
      <w:pPr>
        <w:spacing w:after="0" w:line="200" w:lineRule="exact"/>
        <w:rPr>
          <w:sz w:val="20"/>
          <w:szCs w:val="20"/>
          <w:color w:val="auto"/>
        </w:rPr>
      </w:pPr>
    </w:p>
    <w:p>
      <w:pPr>
        <w:spacing w:after="0" w:line="241"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Christian Hanke</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Christian Hanke</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9520" w:type="dxa"/>
            <w:vAlign w:val="bottom"/>
            <w:gridSpan w:val="8"/>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72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64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20" w:type="dxa"/>
            <w:vAlign w:val="bottom"/>
          </w:tcPr>
          <w:p>
            <w:pPr>
              <w:spacing w:after="0"/>
              <w:rPr>
                <w:sz w:val="24"/>
                <w:szCs w:val="24"/>
                <w:color w:val="auto"/>
              </w:rPr>
            </w:pPr>
          </w:p>
        </w:tc>
      </w:tr>
      <w:tr>
        <w:trPr>
          <w:trHeight w:val="391"/>
        </w:trPr>
        <w:tc>
          <w:tcPr>
            <w:tcW w:w="9520" w:type="dxa"/>
            <w:vAlign w:val="bottom"/>
            <w:gridSpan w:val="8"/>
          </w:tcPr>
          <w:p>
            <w:pPr>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Report of Independent Registered Public Accounting Firm (PCAOB ID: 1433)</w:t>
              </w:r>
            </w:hyperlink>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F-</w:t>
            </w:r>
          </w:p>
        </w:tc>
      </w:tr>
      <w:tr>
        <w:trPr>
          <w:trHeight w:val="218"/>
        </w:trPr>
        <w:tc>
          <w:tcPr>
            <w:tcW w:w="12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2</w:t>
            </w:r>
          </w:p>
        </w:tc>
      </w:tr>
      <w:tr>
        <w:trPr>
          <w:trHeight w:val="194"/>
        </w:trPr>
        <w:tc>
          <w:tcPr>
            <w:tcW w:w="9520" w:type="dxa"/>
            <w:vAlign w:val="bottom"/>
            <w:gridSpan w:val="8"/>
          </w:tcPr>
          <w:p>
            <w:pPr>
              <w:spacing w:after="0" w:line="194"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Consolidated statements of operations for the years ended December 31, 2021, 2020, and 2019</w:t>
              </w:r>
            </w:hyperlink>
          </w:p>
        </w:tc>
        <w:tc>
          <w:tcPr>
            <w:tcW w:w="1720" w:type="dxa"/>
            <w:vAlign w:val="bottom"/>
          </w:tcPr>
          <w:p>
            <w:pPr>
              <w:jc w:val="center"/>
              <w:ind w:left="1470"/>
              <w:spacing w:after="0" w:line="194" w:lineRule="exact"/>
              <w:rPr>
                <w:sz w:val="20"/>
                <w:szCs w:val="20"/>
                <w:color w:val="auto"/>
              </w:rPr>
            </w:pPr>
            <w:r>
              <w:rPr>
                <w:rFonts w:ascii="Times New Roman" w:cs="Times New Roman" w:eastAsia="Times New Roman" w:hAnsi="Times New Roman"/>
                <w:sz w:val="18"/>
                <w:szCs w:val="18"/>
                <w:color w:val="auto"/>
                <w:w w:val="99"/>
              </w:rPr>
              <w:t>F-</w:t>
            </w:r>
          </w:p>
        </w:tc>
      </w:tr>
      <w:tr>
        <w:trPr>
          <w:trHeight w:val="218"/>
        </w:trPr>
        <w:tc>
          <w:tcPr>
            <w:tcW w:w="12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3</w:t>
            </w:r>
          </w:p>
        </w:tc>
      </w:tr>
      <w:tr>
        <w:trPr>
          <w:trHeight w:val="194"/>
        </w:trPr>
        <w:tc>
          <w:tcPr>
            <w:tcW w:w="9520" w:type="dxa"/>
            <w:vAlign w:val="bottom"/>
            <w:gridSpan w:val="8"/>
          </w:tcPr>
          <w:p>
            <w:pPr>
              <w:spacing w:after="0" w:line="194"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Consolidated statements of comprehensive loss for the years ended December 31, 2021, 2020, and 2019</w:t>
              </w:r>
            </w:hyperlink>
          </w:p>
        </w:tc>
        <w:tc>
          <w:tcPr>
            <w:tcW w:w="1720" w:type="dxa"/>
            <w:vAlign w:val="bottom"/>
          </w:tcPr>
          <w:p>
            <w:pPr>
              <w:jc w:val="center"/>
              <w:ind w:left="1470"/>
              <w:spacing w:after="0" w:line="194" w:lineRule="exact"/>
              <w:rPr>
                <w:sz w:val="20"/>
                <w:szCs w:val="20"/>
                <w:color w:val="auto"/>
              </w:rPr>
            </w:pPr>
            <w:r>
              <w:rPr>
                <w:rFonts w:ascii="Times New Roman" w:cs="Times New Roman" w:eastAsia="Times New Roman" w:hAnsi="Times New Roman"/>
                <w:sz w:val="18"/>
                <w:szCs w:val="18"/>
                <w:color w:val="auto"/>
                <w:w w:val="99"/>
              </w:rPr>
              <w:t>F-</w:t>
            </w:r>
          </w:p>
        </w:tc>
      </w:tr>
      <w:tr>
        <w:trPr>
          <w:trHeight w:val="218"/>
        </w:trPr>
        <w:tc>
          <w:tcPr>
            <w:tcW w:w="12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4</w:t>
            </w:r>
          </w:p>
        </w:tc>
      </w:tr>
      <w:tr>
        <w:trPr>
          <w:trHeight w:val="194"/>
        </w:trPr>
        <w:tc>
          <w:tcPr>
            <w:tcW w:w="9520" w:type="dxa"/>
            <w:vAlign w:val="bottom"/>
            <w:gridSpan w:val="8"/>
          </w:tcPr>
          <w:p>
            <w:pPr>
              <w:spacing w:after="0" w:line="194"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Consolidated statements of financial position as at December 31, 2021 and 2020</w:t>
              </w:r>
            </w:hyperlink>
          </w:p>
        </w:tc>
        <w:tc>
          <w:tcPr>
            <w:tcW w:w="1720" w:type="dxa"/>
            <w:vAlign w:val="bottom"/>
          </w:tcPr>
          <w:p>
            <w:pPr>
              <w:jc w:val="center"/>
              <w:ind w:left="1470"/>
              <w:spacing w:after="0" w:line="194" w:lineRule="exact"/>
              <w:rPr>
                <w:sz w:val="20"/>
                <w:szCs w:val="20"/>
                <w:color w:val="auto"/>
              </w:rPr>
            </w:pPr>
            <w:r>
              <w:rPr>
                <w:rFonts w:ascii="Times New Roman" w:cs="Times New Roman" w:eastAsia="Times New Roman" w:hAnsi="Times New Roman"/>
                <w:sz w:val="18"/>
                <w:szCs w:val="18"/>
                <w:color w:val="auto"/>
                <w:w w:val="99"/>
              </w:rPr>
              <w:t>F-</w:t>
            </w:r>
          </w:p>
        </w:tc>
      </w:tr>
      <w:tr>
        <w:trPr>
          <w:trHeight w:val="218"/>
        </w:trPr>
        <w:tc>
          <w:tcPr>
            <w:tcW w:w="12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5</w:t>
            </w:r>
          </w:p>
        </w:tc>
      </w:tr>
      <w:tr>
        <w:trPr>
          <w:trHeight w:val="194"/>
        </w:trPr>
        <w:tc>
          <w:tcPr>
            <w:tcW w:w="9520" w:type="dxa"/>
            <w:vAlign w:val="bottom"/>
            <w:gridSpan w:val="8"/>
          </w:tcPr>
          <w:p>
            <w:pPr>
              <w:spacing w:after="0" w:line="194"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Consolidated statements of changes in equity for the years ended December 31, 2021, 2020, and 2019</w:t>
              </w:r>
            </w:hyperlink>
          </w:p>
        </w:tc>
        <w:tc>
          <w:tcPr>
            <w:tcW w:w="1720" w:type="dxa"/>
            <w:vAlign w:val="bottom"/>
          </w:tcPr>
          <w:p>
            <w:pPr>
              <w:jc w:val="center"/>
              <w:ind w:left="1470"/>
              <w:spacing w:after="0" w:line="194" w:lineRule="exact"/>
              <w:rPr>
                <w:sz w:val="20"/>
                <w:szCs w:val="20"/>
                <w:color w:val="auto"/>
              </w:rPr>
            </w:pPr>
            <w:r>
              <w:rPr>
                <w:rFonts w:ascii="Times New Roman" w:cs="Times New Roman" w:eastAsia="Times New Roman" w:hAnsi="Times New Roman"/>
                <w:sz w:val="18"/>
                <w:szCs w:val="18"/>
                <w:color w:val="auto"/>
                <w:w w:val="99"/>
              </w:rPr>
              <w:t>F-</w:t>
            </w:r>
          </w:p>
        </w:tc>
      </w:tr>
      <w:tr>
        <w:trPr>
          <w:trHeight w:val="218"/>
        </w:trPr>
        <w:tc>
          <w:tcPr>
            <w:tcW w:w="12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6</w:t>
            </w:r>
          </w:p>
        </w:tc>
      </w:tr>
      <w:tr>
        <w:trPr>
          <w:trHeight w:val="194"/>
        </w:trPr>
        <w:tc>
          <w:tcPr>
            <w:tcW w:w="9520" w:type="dxa"/>
            <w:vAlign w:val="bottom"/>
            <w:gridSpan w:val="8"/>
          </w:tcPr>
          <w:p>
            <w:pPr>
              <w:spacing w:after="0" w:line="194"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Consolidated statements of cash flows for the years ended December 31, 2021, 2020, and 2019</w:t>
              </w:r>
            </w:hyperlink>
          </w:p>
        </w:tc>
        <w:tc>
          <w:tcPr>
            <w:tcW w:w="1720" w:type="dxa"/>
            <w:vAlign w:val="bottom"/>
          </w:tcPr>
          <w:p>
            <w:pPr>
              <w:jc w:val="center"/>
              <w:ind w:left="1470"/>
              <w:spacing w:after="0" w:line="194" w:lineRule="exact"/>
              <w:rPr>
                <w:sz w:val="20"/>
                <w:szCs w:val="20"/>
                <w:color w:val="auto"/>
              </w:rPr>
            </w:pPr>
            <w:r>
              <w:rPr>
                <w:rFonts w:ascii="Times New Roman" w:cs="Times New Roman" w:eastAsia="Times New Roman" w:hAnsi="Times New Roman"/>
                <w:sz w:val="18"/>
                <w:szCs w:val="18"/>
                <w:color w:val="auto"/>
                <w:w w:val="99"/>
              </w:rPr>
              <w:t>F-</w:t>
            </w:r>
          </w:p>
        </w:tc>
      </w:tr>
      <w:tr>
        <w:trPr>
          <w:trHeight w:val="218"/>
        </w:trPr>
        <w:tc>
          <w:tcPr>
            <w:tcW w:w="12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7</w:t>
            </w:r>
          </w:p>
        </w:tc>
      </w:tr>
      <w:tr>
        <w:trPr>
          <w:trHeight w:val="194"/>
        </w:trPr>
        <w:tc>
          <w:tcPr>
            <w:tcW w:w="9520" w:type="dxa"/>
            <w:vAlign w:val="bottom"/>
            <w:gridSpan w:val="8"/>
          </w:tcPr>
          <w:p>
            <w:pPr>
              <w:spacing w:after="0" w:line="194"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Notes to consolidated financial statements</w:t>
              </w:r>
            </w:hyperlink>
          </w:p>
        </w:tc>
        <w:tc>
          <w:tcPr>
            <w:tcW w:w="1720" w:type="dxa"/>
            <w:vAlign w:val="bottom"/>
          </w:tcPr>
          <w:p>
            <w:pPr>
              <w:jc w:val="center"/>
              <w:ind w:left="1470"/>
              <w:spacing w:after="0" w:line="194" w:lineRule="exact"/>
              <w:rPr>
                <w:sz w:val="20"/>
                <w:szCs w:val="20"/>
                <w:color w:val="auto"/>
              </w:rPr>
            </w:pPr>
            <w:r>
              <w:rPr>
                <w:rFonts w:ascii="Times New Roman" w:cs="Times New Roman" w:eastAsia="Times New Roman" w:hAnsi="Times New Roman"/>
                <w:sz w:val="18"/>
                <w:szCs w:val="18"/>
                <w:color w:val="auto"/>
                <w:w w:val="99"/>
              </w:rPr>
              <w:t>F-</w:t>
            </w:r>
          </w:p>
        </w:tc>
      </w:tr>
      <w:tr>
        <w:trPr>
          <w:trHeight w:val="237"/>
        </w:trPr>
        <w:tc>
          <w:tcPr>
            <w:tcW w:w="1280" w:type="dxa"/>
            <w:vAlign w:val="bottom"/>
            <w:tcBorders>
              <w:top w:val="single" w:sz="8" w:color="0000EE"/>
            </w:tcBorders>
          </w:tcPr>
          <w:p>
            <w:pPr>
              <w:spacing w:after="0"/>
              <w:rPr>
                <w:sz w:val="20"/>
                <w:szCs w:val="20"/>
                <w:color w:val="auto"/>
              </w:rPr>
            </w:pPr>
          </w:p>
        </w:tc>
        <w:tc>
          <w:tcPr>
            <w:tcW w:w="1760" w:type="dxa"/>
            <w:vAlign w:val="bottom"/>
            <w:tcBorders>
              <w:top w:val="single" w:sz="8" w:color="0000EE"/>
            </w:tcBorders>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Oatly Group AB</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Oatly Group AB and its subsidiaries (the Company) as of December 31, 2021 and 2020, the related consolidated statements of operations, comprehensive loss, changes in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International Financial Reporting Standards as issued by the International Accounting Standards Board.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 and the applicable rules and regulations of the Securities and Exchange Commission and the PCAOB.</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from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auditors since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Stockholm, 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2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12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56"/>
        </w:trPr>
        <w:tc>
          <w:tcPr>
            <w:tcW w:w="57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data)</w:t>
            </w:r>
          </w:p>
        </w:tc>
        <w:tc>
          <w:tcPr>
            <w:tcW w:w="12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643,190</w:t>
            </w:r>
          </w:p>
        </w:tc>
        <w:tc>
          <w:tcPr>
            <w:tcW w:w="12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421,351</w:t>
            </w:r>
          </w:p>
        </w:tc>
        <w:tc>
          <w:tcPr>
            <w:tcW w:w="12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204,047</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(488,177)</w:t>
            </w:r>
          </w:p>
        </w:tc>
        <w:tc>
          <w:tcPr>
            <w:tcW w:w="12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(292,107)</w:t>
            </w:r>
          </w:p>
        </w:tc>
        <w:tc>
          <w:tcPr>
            <w:tcW w:w="12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(137,462)</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155,013</w:t>
            </w:r>
          </w:p>
        </w:tc>
        <w:tc>
          <w:tcPr>
            <w:tcW w:w="12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129,244</w:t>
            </w:r>
          </w:p>
        </w:tc>
        <w:tc>
          <w:tcPr>
            <w:tcW w:w="12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66,585</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(353,929)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(167,792)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(93,443)</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(expense)/income</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(213,743)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(47,093)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(30,759)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14,435</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40" w:type="dxa"/>
            <w:vAlign w:val="bottom"/>
            <w:tcBorders>
              <w:bottom w:val="single" w:sz="8" w:color="CFF0FC"/>
            </w:tcBorders>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(215,048)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(57,950)</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(34,367)</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240" w:type="dxa"/>
            <w:vAlign w:val="bottom"/>
            <w:tcBorders>
              <w:bottom w:val="single" w:sz="8" w:color="CFF0FC"/>
            </w:tcBorders>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year, attributable to shareholders of the parent</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(212,393)</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(60,361)</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(35,625)</w:t>
            </w: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4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4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549,080,310</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454,266,908</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407,344,383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4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14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55"/>
        </w:trPr>
        <w:tc>
          <w:tcPr>
            <w:tcW w:w="656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0" w:type="dxa"/>
            <w:vAlign w:val="bottom"/>
            <w:tcBorders>
              <w:top w:val="single" w:sz="8" w:color="CFF0FC"/>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r>
      <w:tr>
        <w:trPr>
          <w:trHeight w:val="230"/>
        </w:trPr>
        <w:tc>
          <w:tcPr>
            <w:tcW w:w="67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(212,393)</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(60,361)</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(35,625)</w:t>
            </w:r>
          </w:p>
        </w:tc>
      </w:tr>
      <w:tr>
        <w:trPr>
          <w:trHeight w:val="223"/>
        </w:trPr>
        <w:tc>
          <w:tcPr>
            <w:tcW w:w="6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11"/>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may be reclassified to consolidated statement of operations in subsequent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periods (net of tax):</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9"/>
        </w:trPr>
        <w:tc>
          <w:tcPr>
            <w:tcW w:w="6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(71,961)</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17,185</w:t>
            </w:r>
          </w:p>
        </w:tc>
        <w:tc>
          <w:tcPr>
            <w:tcW w:w="1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(5,739)</w:t>
            </w:r>
          </w:p>
        </w:tc>
      </w:tr>
      <w:tr>
        <w:trPr>
          <w:trHeight w:val="223"/>
        </w:trPr>
        <w:tc>
          <w:tcPr>
            <w:tcW w:w="67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 for the year</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(71,961)</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17,185</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(5,739)</w:t>
            </w:r>
          </w:p>
        </w:tc>
      </w:tr>
      <w:tr>
        <w:trPr>
          <w:trHeight w:val="223"/>
        </w:trPr>
        <w:tc>
          <w:tcPr>
            <w:tcW w:w="6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(284,354)</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(43,176)</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(41,364)</w:t>
            </w: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Loss for the year and total comprehensive loss are, in their entirety, attributable to shareholders of the parent.</w:t>
      </w:r>
    </w:p>
    <w:p>
      <w:pPr>
        <w:spacing w:after="0" w:line="18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at December 31</w:t>
            </w: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4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56"/>
        </w:trPr>
        <w:tc>
          <w:tcPr>
            <w:tcW w:w="65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0" w:type="dxa"/>
            <w:vAlign w:val="bottom"/>
            <w:tcBorders>
              <w:top w:val="single" w:sz="8" w:color="CFF0FC"/>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145,925</w:t>
            </w:r>
          </w:p>
        </w:tc>
        <w:tc>
          <w:tcPr>
            <w:tcW w:w="1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156,463</w:t>
            </w: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509,648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237,625</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158,448</w:t>
            </w:r>
          </w:p>
        </w:tc>
        <w:tc>
          <w:tcPr>
            <w:tcW w:w="1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38,103</w:t>
            </w: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5,534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20" w:type="dxa"/>
            <w:vAlign w:val="bottom"/>
            <w:tcBorders>
              <w:bottom w:val="single" w:sz="8" w:color="CFF0FC"/>
            </w:tcBorders>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2,293</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821,848</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438,767</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95,661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39,115</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105,519</w:t>
            </w:r>
          </w:p>
        </w:tc>
        <w:tc>
          <w:tcPr>
            <w:tcW w:w="1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71,297</w:t>
            </w: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32,229</w:t>
            </w:r>
          </w:p>
        </w:tc>
        <w:tc>
          <w:tcPr>
            <w:tcW w:w="1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12,363</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27,711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11,509</w:t>
            </w:r>
          </w:p>
        </w:tc>
        <w:tc>
          <w:tcPr>
            <w:tcW w:w="0" w:type="dxa"/>
            <w:vAlign w:val="bottom"/>
          </w:tcPr>
          <w:p>
            <w:pPr>
              <w:spacing w:after="0"/>
              <w:rPr>
                <w:sz w:val="1"/>
                <w:szCs w:val="1"/>
                <w:color w:val="auto"/>
              </w:rPr>
            </w:pP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249,937</w:t>
            </w:r>
          </w:p>
        </w:tc>
        <w:tc>
          <w:tcPr>
            <w:tcW w:w="1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295,572</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105,364</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807,064</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240,162</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1,628,912</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678,929</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1,628,103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448,251</w:t>
            </w:r>
          </w:p>
        </w:tc>
        <w:tc>
          <w:tcPr>
            <w:tcW w:w="0" w:type="dxa"/>
            <w:vAlign w:val="bottom"/>
          </w:tcPr>
          <w:p>
            <w:pPr>
              <w:spacing w:after="0"/>
              <w:rPr>
                <w:sz w:val="1"/>
                <w:szCs w:val="1"/>
                <w:color w:val="auto"/>
              </w:rPr>
            </w:pP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(308,423)</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(119,661)</w:t>
            </w: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shareholders of the parent</w:t>
            </w:r>
          </w:p>
        </w:tc>
        <w:tc>
          <w:tcPr>
            <w:tcW w:w="14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1,245,299</w:t>
            </w:r>
          </w:p>
        </w:tc>
        <w:tc>
          <w:tcPr>
            <w:tcW w:w="14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326,086</w:t>
            </w: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126,516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23,883</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91,655</w:t>
            </w: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2,677</w:t>
            </w:r>
          </w:p>
        </w:tc>
        <w:tc>
          <w:tcPr>
            <w:tcW w:w="1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11,033</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7,121</w:t>
            </w: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140,226</w:t>
            </w:r>
          </w:p>
        </w:tc>
        <w:tc>
          <w:tcPr>
            <w:tcW w:w="14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124,199</w:t>
            </w: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16,703</w:t>
            </w:r>
          </w:p>
        </w:tc>
        <w:tc>
          <w:tcPr>
            <w:tcW w:w="1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5,987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5,532</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loans</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106,118</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93,043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45,295</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9,614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4,632</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20" w:type="dxa"/>
            <w:vAlign w:val="bottom"/>
            <w:tcBorders>
              <w:bottom w:val="single" w:sz="8" w:color="CFF0FC"/>
            </w:tcBorders>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117,473</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59,954</w:t>
            </w: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243,387</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228,644</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383,613</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352,843</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1,628,912</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678,929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Attributable to shareholders of the parent</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8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1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1, 2019</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7, 23</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216,824</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(13,971)</w:t>
            </w: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(26,611)</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176,259</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for the year</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(35,625)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(41,364)</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41,983</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41,985</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issue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7,506</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7,506</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267,806</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(19,710)</w:t>
            </w: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(60,314)</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187,801</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(60,361)</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for the year</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17,185</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17,185</w:t>
            </w:r>
          </w:p>
        </w:tc>
        <w:tc>
          <w:tcPr>
            <w:tcW w:w="0" w:type="dxa"/>
            <w:vAlign w:val="bottom"/>
          </w:tcPr>
          <w:p>
            <w:pPr>
              <w:spacing w:after="0"/>
              <w:rPr>
                <w:sz w:val="1"/>
                <w:szCs w:val="1"/>
                <w:color w:val="auto"/>
              </w:rPr>
            </w:pPr>
          </w:p>
        </w:tc>
      </w:tr>
      <w:tr>
        <w:trPr>
          <w:trHeight w:val="263"/>
        </w:trPr>
        <w:tc>
          <w:tcPr>
            <w:tcW w:w="4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for the year</w:t>
            </w:r>
          </w:p>
        </w:tc>
        <w:tc>
          <w:tcPr>
            <w:tcW w:w="10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17,185</w:t>
            </w:r>
          </w:p>
        </w:tc>
        <w:tc>
          <w:tcPr>
            <w:tcW w:w="8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(60,361)</w:t>
            </w:r>
          </w:p>
        </w:tc>
        <w:tc>
          <w:tcPr>
            <w:tcW w:w="10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(43,176)</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200,042</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200,044</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issue</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of warrants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with shareholders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448,251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(119,661)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326,086</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(212,393)</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(212,393)</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for the year</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(71,961)</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(71,961)</w:t>
            </w:r>
          </w:p>
        </w:tc>
        <w:tc>
          <w:tcPr>
            <w:tcW w:w="0" w:type="dxa"/>
            <w:vAlign w:val="bottom"/>
          </w:tcPr>
          <w:p>
            <w:pPr>
              <w:spacing w:after="0"/>
              <w:rPr>
                <w:sz w:val="1"/>
                <w:szCs w:val="1"/>
                <w:color w:val="auto"/>
              </w:rPr>
            </w:pPr>
          </w:p>
        </w:tc>
      </w:tr>
      <w:tr>
        <w:trPr>
          <w:trHeight w:val="263"/>
        </w:trPr>
        <w:tc>
          <w:tcPr>
            <w:tcW w:w="4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0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(71,961)</w:t>
            </w:r>
          </w:p>
        </w:tc>
        <w:tc>
          <w:tcPr>
            <w:tcW w:w="8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(212,393)</w:t>
            </w:r>
          </w:p>
        </w:tc>
        <w:tc>
          <w:tcPr>
            <w:tcW w:w="10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(284,354)</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Bonus issue</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1,099,684</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1,099,696</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(62,371)</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(62,371)</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shareholder loans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104,107</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104,108</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38,496</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38,503</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23,632</w:t>
            </w:r>
          </w:p>
        </w:tc>
        <w:tc>
          <w:tcPr>
            <w:tcW w:w="1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23,632</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1,628,103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(74,486)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(308,423)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1,245,299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55"/>
        </w:trPr>
        <w:tc>
          <w:tcPr>
            <w:tcW w:w="57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(212,393)</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(60,361)</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(35,625)</w:t>
            </w: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1"/>
        </w:trPr>
        <w:tc>
          <w:tcPr>
            <w:tcW w:w="5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of property, plant and equipment and right-of-use assets and</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4"/>
        </w:trPr>
        <w:tc>
          <w:tcPr>
            <w:tcW w:w="5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13, 14, 15</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27,222</w:t>
            </w: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13,118</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8,094</w:t>
            </w:r>
          </w:p>
        </w:tc>
      </w:tr>
      <w:tr>
        <w:trPr>
          <w:trHeight w:val="229"/>
        </w:trPr>
        <w:tc>
          <w:tcPr>
            <w:tcW w:w="5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Impairment of property, plant and equipment and right-of-use assets</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14, 15</w:t>
            </w: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4,970</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Impairment (gain)/loss on trade receivables</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2,219</w:t>
            </w:r>
          </w:p>
        </w:tc>
      </w:tr>
      <w:tr>
        <w:trPr>
          <w:trHeight w:val="229"/>
        </w:trPr>
        <w:tc>
          <w:tcPr>
            <w:tcW w:w="5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23,632</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1,922</w:t>
            </w:r>
          </w:p>
        </w:tc>
      </w:tr>
      <w:tr>
        <w:trPr>
          <w:trHeight w:val="229"/>
        </w:trPr>
        <w:tc>
          <w:tcPr>
            <w:tcW w:w="5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Finance income</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costs</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15,740</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11,372</w:t>
            </w:r>
          </w:p>
        </w:tc>
        <w:tc>
          <w:tcPr>
            <w:tcW w:w="1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3,655</w:t>
            </w:r>
          </w:p>
        </w:tc>
      </w:tr>
      <w:tr>
        <w:trPr>
          <w:trHeight w:val="229"/>
        </w:trPr>
        <w:tc>
          <w:tcPr>
            <w:tcW w:w="5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2,411</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1,258</w:t>
            </w:r>
          </w:p>
        </w:tc>
      </w:tr>
      <w:tr>
        <w:trPr>
          <w:trHeight w:val="230"/>
        </w:trPr>
        <w:tc>
          <w:tcPr>
            <w:tcW w:w="5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Loss on disposal of property, plant and equipment and intangible assets</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13, 14</w:t>
            </w: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30"/>
        </w:trPr>
        <w:tc>
          <w:tcPr>
            <w:tcW w:w="5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Increase in inventories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w:t>
            </w:r>
          </w:p>
        </w:tc>
      </w:tr>
      <w:tr>
        <w:trPr>
          <w:trHeight w:val="229"/>
        </w:trPr>
        <w:tc>
          <w:tcPr>
            <w:tcW w:w="5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Increase in trade receivables, other current receivables, prepaid expenses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(79,278)</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(29,116)</w:t>
            </w:r>
          </w:p>
        </w:tc>
      </w:tr>
      <w:tr>
        <w:trPr>
          <w:trHeight w:val="230"/>
        </w:trPr>
        <w:tc>
          <w:tcPr>
            <w:tcW w:w="586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Increase in trade payables, other current liabilities, accrued expenses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92,172</w:t>
            </w:r>
          </w:p>
        </w:tc>
        <w:tc>
          <w:tcPr>
            <w:tcW w:w="1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43,614</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32,611</w:t>
            </w:r>
          </w:p>
        </w:tc>
      </w:tr>
      <w:tr>
        <w:trPr>
          <w:trHeight w:val="223"/>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(213,832)</w:t>
            </w:r>
          </w:p>
        </w:tc>
        <w:tc>
          <w:tcPr>
            <w:tcW w:w="1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(44,308)</w:t>
            </w:r>
          </w:p>
        </w:tc>
        <w:tc>
          <w:tcPr>
            <w:tcW w:w="1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(39,117)</w:t>
            </w: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(53,566)</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financial assets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/(payments for) financial instruments</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5,720</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(385,165)</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117,877</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paid</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23"/>
        </w:trPr>
        <w:tc>
          <w:tcPr>
            <w:tcW w:w="58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(544,328)</w:t>
            </w:r>
          </w:p>
        </w:tc>
        <w:tc>
          <w:tcPr>
            <w:tcW w:w="120" w:type="dxa"/>
            <w:vAlign w:val="bottom"/>
            <w:tcBorders>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(141,373)</w:t>
            </w:r>
          </w:p>
        </w:tc>
        <w:tc>
          <w:tcPr>
            <w:tcW w:w="140" w:type="dxa"/>
            <w:vAlign w:val="bottom"/>
            <w:tcBorders>
              <w:bottom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(64,686)</w:t>
            </w:r>
          </w:p>
        </w:tc>
      </w:tr>
      <w:tr>
        <w:trPr>
          <w:trHeight w:val="223"/>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issue of shares, net of transaction costs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1,037,325</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191,632</w:t>
            </w:r>
          </w:p>
        </w:tc>
        <w:tc>
          <w:tcPr>
            <w:tcW w:w="1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41,965</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contributions received</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7,506</w:t>
            </w: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shareholder loans</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87,828</w:t>
            </w:r>
          </w:p>
        </w:tc>
        <w:tc>
          <w:tcPr>
            <w:tcW w:w="1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shareholder loans</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118,005</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129,593</w:t>
            </w:r>
          </w:p>
        </w:tc>
        <w:tc>
          <w:tcPr>
            <w:tcW w:w="1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50,826</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(212,913)</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(119,116)</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38,503</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of warrants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1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955,797</w:t>
            </w:r>
          </w:p>
        </w:tc>
        <w:tc>
          <w:tcPr>
            <w:tcW w:w="120" w:type="dxa"/>
            <w:vAlign w:val="bottom"/>
            <w:tcBorders>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273,907</w:t>
            </w:r>
          </w:p>
        </w:tc>
        <w:tc>
          <w:tcPr>
            <w:tcW w:w="140" w:type="dxa"/>
            <w:vAlign w:val="bottom"/>
            <w:tcBorders>
              <w:bottom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95,541</w:t>
            </w:r>
          </w:p>
        </w:tc>
      </w:tr>
      <w:tr>
        <w:trPr>
          <w:trHeight w:val="223"/>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197,637</w:t>
            </w:r>
          </w:p>
        </w:tc>
        <w:tc>
          <w:tcPr>
            <w:tcW w:w="1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88,226</w:t>
            </w:r>
          </w:p>
        </w:tc>
        <w:tc>
          <w:tcPr>
            <w:tcW w:w="1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(8,262)</w:t>
            </w: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105,364</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10,571</w:t>
            </w:r>
          </w:p>
        </w:tc>
        <w:tc>
          <w:tcPr>
            <w:tcW w:w="1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20,734</w:t>
            </w: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6,567</w:t>
            </w:r>
          </w:p>
        </w:tc>
        <w:tc>
          <w:tcPr>
            <w:tcW w:w="1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295,572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105,364</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10,571</w:t>
            </w:r>
          </w:p>
        </w:tc>
      </w:tr>
      <w:tr>
        <w:trPr>
          <w:trHeight w:val="250"/>
        </w:trPr>
        <w:tc>
          <w:tcPr>
            <w:tcW w:w="9980" w:type="dxa"/>
            <w:vAlign w:val="bottom"/>
            <w:gridSpan w:val="8"/>
          </w:tcPr>
          <w:p>
            <w:pPr>
              <w:ind w:left="27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260" w:type="dxa"/>
            <w:vAlign w:val="bottom"/>
          </w:tcPr>
          <w:p>
            <w:pPr>
              <w:spacing w:after="0"/>
              <w:rPr>
                <w:sz w:val="21"/>
                <w:szCs w:val="21"/>
                <w:color w:val="auto"/>
              </w:rPr>
            </w:pPr>
          </w:p>
        </w:tc>
      </w:tr>
      <w:tr>
        <w:trPr>
          <w:trHeight w:val="648"/>
        </w:trPr>
        <w:tc>
          <w:tcPr>
            <w:tcW w:w="586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F-7</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5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Corporate information</w:t>
      </w:r>
    </w:p>
    <w:p>
      <w:pPr>
        <w:spacing w:after="0" w:line="202" w:lineRule="exact"/>
        <w:rPr>
          <w:sz w:val="20"/>
          <w:szCs w:val="20"/>
          <w:color w:val="auto"/>
        </w:rPr>
      </w:pPr>
    </w:p>
    <w:p>
      <w:pPr>
        <w:ind w:right="240" w:firstLine="802"/>
        <w:spacing w:after="0" w:line="282" w:lineRule="auto"/>
        <w:rPr>
          <w:sz w:val="20"/>
          <w:szCs w:val="20"/>
          <w:color w:val="auto"/>
        </w:rPr>
      </w:pPr>
      <w:r>
        <w:rPr>
          <w:rFonts w:ascii="Times New Roman" w:cs="Times New Roman" w:eastAsia="Times New Roman" w:hAnsi="Times New Roman"/>
          <w:sz w:val="18"/>
          <w:szCs w:val="18"/>
          <w:color w:val="auto"/>
        </w:rPr>
        <w:t>These financial statements are consolidated financial statements for the group consisting of Oatly Group AB and its subsidiaries. A list of the subsidiaries is included in Note 12.</w:t>
      </w:r>
    </w:p>
    <w:p>
      <w:pPr>
        <w:spacing w:after="0" w:line="121" w:lineRule="exact"/>
        <w:rPr>
          <w:sz w:val="20"/>
          <w:szCs w:val="20"/>
          <w:color w:val="auto"/>
        </w:rPr>
      </w:pPr>
    </w:p>
    <w:p>
      <w:pPr>
        <w:ind w:right="700" w:firstLine="802"/>
        <w:spacing w:after="0" w:line="282" w:lineRule="auto"/>
        <w:rPr>
          <w:sz w:val="20"/>
          <w:szCs w:val="20"/>
          <w:color w:val="auto"/>
        </w:rPr>
      </w:pPr>
      <w:r>
        <w:rPr>
          <w:rFonts w:ascii="Times New Roman" w:cs="Times New Roman" w:eastAsia="Times New Roman" w:hAnsi="Times New Roman"/>
          <w:sz w:val="18"/>
          <w:szCs w:val="18"/>
          <w:color w:val="auto"/>
        </w:rPr>
        <w:t>Oatly Group AB (the “Company” or the “parent”) is a public limited company incorporated and domiciled in Sweden. The Company’s registered office is located at Jagaregatan 4, Malmö, Sweden.</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Oatly Group AB and its subsidiaries (together, the “Group”) manufacture, distribute and sell oat-based products.</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These consolidated financial statements were authorized for issue by the Board of Directors on April 6,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9" w:lineRule="exact"/>
        <w:rPr>
          <w:sz w:val="20"/>
          <w:szCs w:val="20"/>
          <w:color w:val="auto"/>
        </w:rPr>
      </w:pPr>
    </w:p>
    <w:p>
      <w:pPr>
        <w:jc w:val="both"/>
        <w:ind w:right="300" w:firstLine="802"/>
        <w:spacing w:after="0" w:line="266" w:lineRule="auto"/>
        <w:rPr>
          <w:sz w:val="20"/>
          <w:szCs w:val="20"/>
          <w:color w:val="auto"/>
        </w:rPr>
      </w:pPr>
      <w:r>
        <w:rPr>
          <w:rFonts w:ascii="Times New Roman" w:cs="Times New Roman" w:eastAsia="Times New Roman" w:hAnsi="Times New Roman"/>
          <w:sz w:val="18"/>
          <w:szCs w:val="18"/>
          <w:color w:val="auto"/>
        </w:rPr>
        <w:t>The principal accounting policies applied in the preparation of these consolidated financial statements are set out below. These policies have been consistently applied unless otherwise stated. All amounts are in thousands of U.S. dollars unless otherwise stated. All references in these financial statements to “$” or “USD” are to U.S. dollars and all references to “SEK” are to Swedish Kronor.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Basis of preparation</w:t>
      </w:r>
    </w:p>
    <w:p>
      <w:pPr>
        <w:spacing w:after="0" w:line="189" w:lineRule="exact"/>
        <w:rPr>
          <w:sz w:val="20"/>
          <w:szCs w:val="20"/>
          <w:color w:val="auto"/>
        </w:rPr>
      </w:pPr>
    </w:p>
    <w:p>
      <w:pPr>
        <w:ind w:right="220" w:firstLine="80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Oatly Group AB have been prepared in accordance with International Financial Reporting Standards (“IFRS”) as issued by the International Accounting Standards Board (“IASB”).</w:t>
      </w:r>
    </w:p>
    <w:p>
      <w:pPr>
        <w:spacing w:after="0" w:line="121" w:lineRule="exact"/>
        <w:rPr>
          <w:sz w:val="20"/>
          <w:szCs w:val="20"/>
          <w:color w:val="auto"/>
        </w:rPr>
      </w:pPr>
    </w:p>
    <w:p>
      <w:pPr>
        <w:ind w:right="20" w:firstLine="802"/>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IFRS requires the use of certain critical accounting estimates. It also requires management to exercise its judgment in the process of applying the accounting policies. The areas involving a higher degree of judgment or complexity, or areas where assumptions and estimates are significant to the consolidated financial statements are disclosed in Note 4. The consolidated financial statements have been prepared using the cost method except for short-term investments, derivative instruments, and contingent consideration measured at fair value.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policies - Software-as-a-Service (SaaS)</w:t>
      </w:r>
    </w:p>
    <w:p>
      <w:pPr>
        <w:spacing w:after="0" w:line="189" w:lineRule="exact"/>
        <w:rPr>
          <w:sz w:val="20"/>
          <w:szCs w:val="20"/>
          <w:color w:val="auto"/>
        </w:rPr>
      </w:pPr>
    </w:p>
    <w:p>
      <w:pPr>
        <w:ind w:firstLine="802"/>
        <w:spacing w:after="0" w:line="258" w:lineRule="auto"/>
        <w:rPr>
          <w:sz w:val="20"/>
          <w:szCs w:val="20"/>
          <w:color w:val="auto"/>
        </w:rPr>
      </w:pPr>
      <w:r>
        <w:rPr>
          <w:rFonts w:ascii="Times New Roman" w:cs="Times New Roman" w:eastAsia="Times New Roman" w:hAnsi="Times New Roman"/>
          <w:sz w:val="18"/>
          <w:szCs w:val="18"/>
          <w:color w:val="auto"/>
        </w:rPr>
        <w:t>During 2021, the IFRS Interpretation Committee (IFRIC) has included an agenda decision on configuration and customization costs in a cloud computing arrangement which clarifies the accounting of IAS 38 that involves SaaS arrangements. The Group applies the agenda decision and has included additional information in the accounting policies of how the Group treats costs incurred in relation to service contracts for SaaS arrangements. Adjustments made related to the agenda decision for new SaaS arrangements were not material for the Group for the year ended December 31, 2021. There were no adjustments for the year ended December 31, 2020.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standards and interpretations</w:t>
      </w:r>
    </w:p>
    <w:p>
      <w:pPr>
        <w:spacing w:after="0" w:line="202" w:lineRule="exact"/>
        <w:rPr>
          <w:sz w:val="20"/>
          <w:szCs w:val="20"/>
          <w:color w:val="auto"/>
        </w:rPr>
      </w:pPr>
    </w:p>
    <w:p>
      <w:pPr>
        <w:ind w:right="20" w:firstLine="802"/>
        <w:spacing w:after="0" w:line="261" w:lineRule="auto"/>
        <w:rPr>
          <w:sz w:val="20"/>
          <w:szCs w:val="20"/>
          <w:color w:val="auto"/>
        </w:rPr>
      </w:pPr>
      <w:r>
        <w:rPr>
          <w:rFonts w:ascii="Times New Roman" w:cs="Times New Roman" w:eastAsia="Times New Roman" w:hAnsi="Times New Roman"/>
          <w:sz w:val="18"/>
          <w:szCs w:val="18"/>
          <w:color w:val="auto"/>
        </w:rPr>
        <w:t>See below the amended standards that are effective from 1 January 2021 but had no impact on the Group’s financial statements. Certain other new accounting standards and interpretations have been issued by the IASB, but are not yet effective for the December 31, 2021 reporting period and have not been early adopted by the Group. These standards are not expected to have a material impact on the Group in the current or future reporting periods nor on foreseeable future transactions.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Benchmark Reform – Phase 2: Amendments to IFRS 9, IAS 39, IFRS 7, IFRS 4 and IFRS 16</w:t>
      </w:r>
    </w:p>
    <w:p>
      <w:pPr>
        <w:spacing w:after="0" w:line="187" w:lineRule="exact"/>
        <w:rPr>
          <w:sz w:val="20"/>
          <w:szCs w:val="20"/>
          <w:color w:val="auto"/>
        </w:rPr>
      </w:pPr>
    </w:p>
    <w:p>
      <w:pPr>
        <w:ind w:right="40" w:firstLine="802"/>
        <w:spacing w:after="0" w:line="282" w:lineRule="auto"/>
        <w:rPr>
          <w:sz w:val="20"/>
          <w:szCs w:val="20"/>
          <w:color w:val="auto"/>
        </w:rPr>
      </w:pPr>
      <w:r>
        <w:rPr>
          <w:rFonts w:ascii="Times New Roman" w:cs="Times New Roman" w:eastAsia="Times New Roman" w:hAnsi="Times New Roman"/>
          <w:sz w:val="18"/>
          <w:szCs w:val="18"/>
          <w:color w:val="auto"/>
        </w:rPr>
        <w:t>The amendments provide temporary reliefs which address the financial reporting effects when an interbank offered rate (IBOR) is replaced with an alternative nearly risk-free interest rate (RFR). The amendments include the following practical expedients:</w:t>
      </w:r>
    </w:p>
    <w:p>
      <w:pPr>
        <w:spacing w:after="0" w:line="135" w:lineRule="exact"/>
        <w:rPr>
          <w:sz w:val="20"/>
          <w:szCs w:val="20"/>
          <w:color w:val="auto"/>
        </w:rPr>
      </w:pPr>
    </w:p>
    <w:p>
      <w:pPr>
        <w:ind w:left="1200" w:right="400" w:hanging="396"/>
        <w:spacing w:after="0" w:line="282" w:lineRule="auto"/>
        <w:tabs>
          <w:tab w:leader="none" w:pos="12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practical expedient to require contractual changes, or changes to cash flows that are directly required by the reform, to be treated as changes to a floating interest rate, equivalent to a movement in a market rate of interest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23" w:lineRule="exact"/>
        <w:rPr>
          <w:sz w:val="20"/>
          <w:szCs w:val="20"/>
          <w:color w:val="auto"/>
        </w:rPr>
      </w:pPr>
    </w:p>
    <w:p>
      <w:pPr>
        <w:ind w:left="1200" w:right="320" w:hanging="396"/>
        <w:spacing w:after="0" w:line="282" w:lineRule="auto"/>
        <w:tabs>
          <w:tab w:leader="none" w:pos="12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changes required by IBOR reform to be made to hedge designations and hedge documentation without the hedging relationship being discontinued</w:t>
      </w:r>
    </w:p>
    <w:p>
      <w:pPr>
        <w:spacing w:after="0" w:line="121" w:lineRule="exact"/>
        <w:rPr>
          <w:rFonts w:ascii="Times New Roman" w:cs="Times New Roman" w:eastAsia="Times New Roman" w:hAnsi="Times New Roman"/>
          <w:sz w:val="18"/>
          <w:szCs w:val="18"/>
          <w:color w:val="auto"/>
        </w:rPr>
      </w:pPr>
    </w:p>
    <w:p>
      <w:pPr>
        <w:ind w:left="1200" w:right="20" w:hanging="396"/>
        <w:spacing w:after="0" w:line="282" w:lineRule="auto"/>
        <w:tabs>
          <w:tab w:leader="none" w:pos="12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temporary relief to entities from having to meet the separately identifiable requirement when an RFR instrument is designated as a hedge of a risk component</w:t>
      </w:r>
    </w:p>
    <w:p>
      <w:pPr>
        <w:spacing w:after="0" w:line="121" w:lineRule="exact"/>
        <w:rPr>
          <w:sz w:val="20"/>
          <w:szCs w:val="20"/>
          <w:color w:val="auto"/>
        </w:rPr>
      </w:pPr>
    </w:p>
    <w:p>
      <w:pPr>
        <w:ind w:right="220" w:firstLine="802"/>
        <w:spacing w:after="0" w:line="282" w:lineRule="auto"/>
        <w:rPr>
          <w:sz w:val="20"/>
          <w:szCs w:val="20"/>
          <w:color w:val="auto"/>
        </w:rPr>
      </w:pPr>
      <w:r>
        <w:rPr>
          <w:rFonts w:ascii="Times New Roman" w:cs="Times New Roman" w:eastAsia="Times New Roman" w:hAnsi="Times New Roman"/>
          <w:sz w:val="18"/>
          <w:szCs w:val="18"/>
          <w:color w:val="auto"/>
        </w:rPr>
        <w:t>These amendments had no impact on the consolidated financial statements of the Group. The Group intends to use the practical expedients in future periods if they become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Covid-19-Related Rent Concessions beyond 30 June 2021 Amendments to IFRS 16</w:t>
      </w:r>
    </w:p>
    <w:p>
      <w:pPr>
        <w:spacing w:after="0" w:line="200" w:lineRule="exact"/>
        <w:rPr>
          <w:sz w:val="20"/>
          <w:szCs w:val="20"/>
          <w:color w:val="auto"/>
        </w:rPr>
      </w:pPr>
    </w:p>
    <w:p>
      <w:pPr>
        <w:ind w:right="120" w:firstLine="802"/>
        <w:spacing w:after="0" w:line="258" w:lineRule="auto"/>
        <w:rPr>
          <w:sz w:val="20"/>
          <w:szCs w:val="20"/>
          <w:color w:val="auto"/>
        </w:rPr>
      </w:pPr>
      <w:r>
        <w:rPr>
          <w:rFonts w:ascii="Times New Roman" w:cs="Times New Roman" w:eastAsia="Times New Roman" w:hAnsi="Times New Roman"/>
          <w:sz w:val="18"/>
          <w:szCs w:val="18"/>
          <w:color w:val="auto"/>
        </w:rPr>
        <w:t>On 28 May 2020, the IASB issued Covid-19-Related Rent Concessions - amendment to IFRS 16 Leases. The amendments provide relief to lessees from applying IFRS 16 guidance on lease modification accounting for rent concessions arising as a direct consequence of the Covid-19 pandemic. As a practical expedient, a lessee may elect not to assess whether a Covid-19 related rent concession from a lessor is a lease modification. A lessee that makes this election accounts for any change in lease payments resulting from the Covid-19 related rent concession the same way it would account for the change under IFRS 16, if the change were not a lease modification.</w:t>
      </w:r>
    </w:p>
    <w:p>
      <w:pPr>
        <w:spacing w:after="0" w:line="143" w:lineRule="exact"/>
        <w:rPr>
          <w:sz w:val="20"/>
          <w:szCs w:val="20"/>
          <w:color w:val="auto"/>
        </w:rPr>
      </w:pPr>
    </w:p>
    <w:p>
      <w:pPr>
        <w:ind w:right="280" w:firstLine="802"/>
        <w:spacing w:after="0" w:line="261" w:lineRule="auto"/>
        <w:rPr>
          <w:sz w:val="20"/>
          <w:szCs w:val="20"/>
          <w:color w:val="auto"/>
        </w:rPr>
      </w:pPr>
      <w:r>
        <w:rPr>
          <w:rFonts w:ascii="Times New Roman" w:cs="Times New Roman" w:eastAsia="Times New Roman" w:hAnsi="Times New Roman"/>
          <w:sz w:val="18"/>
          <w:szCs w:val="18"/>
          <w:color w:val="auto"/>
        </w:rPr>
        <w:t>The amendment was intended to apply until 30 June 2021, but as the impact of the Covid-19 pandemic is continuing, on 31 March 2021, the IASB extended the period of application of the practical expedient to 30 June 2022.The amendment applies to annual reporting periods beginning on or after 1 April 2021. However, the Group has not received Covid-19-related rent concessions but plans to apply the practical expedient if it becomes applicable within allowed period of application.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Basis of consolidation</w:t>
      </w:r>
    </w:p>
    <w:p>
      <w:pPr>
        <w:spacing w:after="0" w:line="202" w:lineRule="exact"/>
        <w:rPr>
          <w:sz w:val="20"/>
          <w:szCs w:val="20"/>
          <w:color w:val="auto"/>
        </w:rPr>
      </w:pPr>
    </w:p>
    <w:p>
      <w:pPr>
        <w:jc w:val="both"/>
        <w:ind w:right="100" w:firstLine="802"/>
        <w:spacing w:after="0" w:line="266" w:lineRule="auto"/>
        <w:rPr>
          <w:sz w:val="20"/>
          <w:szCs w:val="20"/>
          <w:color w:val="auto"/>
        </w:rPr>
      </w:pPr>
      <w:r>
        <w:rPr>
          <w:rFonts w:ascii="Times New Roman" w:cs="Times New Roman" w:eastAsia="Times New Roman" w:hAnsi="Times New Roman"/>
          <w:sz w:val="18"/>
          <w:szCs w:val="18"/>
          <w:color w:val="auto"/>
        </w:rPr>
        <w:t>Subsidiaries are all companies over which the Group has control. The Group has control over a company when it is exposed to or has a right to variable returns from its participation in the company and has the possibility to influence the return through its participation in the company. Subsidiaries are consolidated from the date on which control is transferred to the Group. They are deconsolidated from the date that control ceases.</w:t>
      </w:r>
    </w:p>
    <w:p>
      <w:pPr>
        <w:spacing w:after="0" w:line="135" w:lineRule="exact"/>
        <w:rPr>
          <w:sz w:val="20"/>
          <w:szCs w:val="20"/>
          <w:color w:val="auto"/>
        </w:rPr>
      </w:pPr>
    </w:p>
    <w:p>
      <w:pPr>
        <w:ind w:right="20" w:firstLine="802"/>
        <w:spacing w:after="0" w:line="258" w:lineRule="auto"/>
        <w:rPr>
          <w:sz w:val="20"/>
          <w:szCs w:val="20"/>
          <w:color w:val="auto"/>
        </w:rPr>
      </w:pPr>
      <w:r>
        <w:rPr>
          <w:rFonts w:ascii="Times New Roman" w:cs="Times New Roman" w:eastAsia="Times New Roman" w:hAnsi="Times New Roman"/>
          <w:sz w:val="18"/>
          <w:szCs w:val="18"/>
          <w:color w:val="auto"/>
        </w:rPr>
        <w:t>The Group applies the acquisition method to recognize the Group’s business combinations. The acquisition price is the consideration paid for a subsidiary and comprises the fair value of the sum of the assets transferred and the liabilities incurred by the Group to the previous owner of the company. The consideration also includes the fair value of any asset or liability resulting from a contingent consideration arrangement. Identifiable assets acquired and liabilities assumed in a business combination are measured initially at their fair values at the acquisition date. Acquisition-related costs are expensed as incurred.</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Inter-company transactions, balances and unrealized gains and losses on transactions between Group companies are eliminated.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Segment reporting</w:t>
      </w:r>
    </w:p>
    <w:p>
      <w:pPr>
        <w:spacing w:after="0" w:line="229" w:lineRule="exact"/>
        <w:rPr>
          <w:sz w:val="20"/>
          <w:szCs w:val="20"/>
          <w:color w:val="auto"/>
        </w:rPr>
      </w:pPr>
    </w:p>
    <w:p>
      <w:pPr>
        <w:ind w:firstLine="802"/>
        <w:spacing w:after="0" w:line="261" w:lineRule="auto"/>
        <w:rPr>
          <w:sz w:val="20"/>
          <w:szCs w:val="20"/>
          <w:color w:val="auto"/>
        </w:rPr>
      </w:pPr>
      <w:r>
        <w:rPr>
          <w:rFonts w:ascii="Times New Roman" w:cs="Times New Roman" w:eastAsia="Times New Roman" w:hAnsi="Times New Roman"/>
          <w:sz w:val="18"/>
          <w:szCs w:val="18"/>
          <w:color w:val="auto"/>
        </w:rPr>
        <w:t>The operating segments are reported in a manner consistent with the internal reporting provided to the chief operating decision maker. The CEO is the chief operating decision maker and evaluates financial position and performance and makes strategic decisions. The CEO monitors the Group’s performance from a geographic perspective through the reportable segments EMEA, Asia and Americas. No operating segments have been aggregated to form the reportable segments.</w:t>
      </w:r>
    </w:p>
    <w:p>
      <w:pPr>
        <w:spacing w:after="0" w:line="180" w:lineRule="exact"/>
        <w:rPr>
          <w:sz w:val="20"/>
          <w:szCs w:val="20"/>
          <w:color w:val="auto"/>
        </w:rPr>
      </w:pPr>
    </w:p>
    <w:p>
      <w:pPr>
        <w:ind w:right="380" w:firstLine="802"/>
        <w:spacing w:after="0" w:line="261" w:lineRule="auto"/>
        <w:rPr>
          <w:sz w:val="20"/>
          <w:szCs w:val="20"/>
          <w:color w:val="auto"/>
        </w:rPr>
      </w:pPr>
      <w:r>
        <w:rPr>
          <w:rFonts w:ascii="Times New Roman" w:cs="Times New Roman" w:eastAsia="Times New Roman" w:hAnsi="Times New Roman"/>
          <w:sz w:val="18"/>
          <w:szCs w:val="18"/>
          <w:color w:val="auto"/>
        </w:rPr>
        <w:t>The CEO primarily uses a measure of earnings before interest, tax, depreciation and amortization (“EBITDA”), and earnings for the period attributable to shareholders of the parent adjusted to exclude, when applicable, income tax expense,</w:t>
      </w:r>
    </w:p>
    <w:p>
      <w:pPr>
        <w:ind w:right="220"/>
        <w:spacing w:after="0" w:line="260" w:lineRule="auto"/>
        <w:rPr>
          <w:sz w:val="20"/>
          <w:szCs w:val="20"/>
          <w:color w:val="auto"/>
        </w:rPr>
      </w:pPr>
      <w:r>
        <w:rPr>
          <w:rFonts w:ascii="Times New Roman" w:cs="Times New Roman" w:eastAsia="Times New Roman" w:hAnsi="Times New Roman"/>
          <w:sz w:val="18"/>
          <w:szCs w:val="18"/>
          <w:color w:val="auto"/>
        </w:rPr>
        <w:t>finance expenses, finance income, depreciation and amortization expense, share-based compensation expense, product recall expenses, asset impairment charge and IPO preparation and transaction costs (“Adjusted EBITDA”), to assess the performance of the operating segments.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2.4. Foreign currency translation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 and presentation currency</w:t>
      </w:r>
    </w:p>
    <w:p>
      <w:pPr>
        <w:spacing w:after="0" w:line="189" w:lineRule="exact"/>
        <w:rPr>
          <w:sz w:val="20"/>
          <w:szCs w:val="20"/>
          <w:color w:val="auto"/>
        </w:rPr>
      </w:pPr>
    </w:p>
    <w:p>
      <w:pPr>
        <w:ind w:right="240" w:firstLine="802"/>
        <w:spacing w:after="0" w:line="282" w:lineRule="auto"/>
        <w:rPr>
          <w:sz w:val="20"/>
          <w:szCs w:val="20"/>
          <w:color w:val="auto"/>
        </w:rPr>
      </w:pPr>
      <w:r>
        <w:rPr>
          <w:rFonts w:ascii="Times New Roman" w:cs="Times New Roman" w:eastAsia="Times New Roman" w:hAnsi="Times New Roman"/>
          <w:sz w:val="18"/>
          <w:szCs w:val="18"/>
          <w:color w:val="auto"/>
        </w:rPr>
        <w:t>The entities in the Group have the local currency as their functional currency, as the local currency has been defined as the primary economic environment in which each entity operates. The Group’s presentation currency is U.S. dollars.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balances</w:t>
      </w:r>
    </w:p>
    <w:p>
      <w:pPr>
        <w:spacing w:after="0" w:line="202" w:lineRule="exact"/>
        <w:rPr>
          <w:sz w:val="20"/>
          <w:szCs w:val="20"/>
          <w:color w:val="auto"/>
        </w:rPr>
      </w:pPr>
    </w:p>
    <w:p>
      <w:pPr>
        <w:ind w:firstLine="802"/>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using the exchange rates prevailing on the transaction dates. Foreign exchange rate profits and losses from the settlement of such transactions and the translation of monetary assets and liabilities in foreign currencies using the exchange rates prevailing at the reporting date are recognized in operating loss in the consolidated statement of operations.</w:t>
      </w:r>
    </w:p>
    <w:p>
      <w:pPr>
        <w:spacing w:after="0" w:line="135" w:lineRule="exact"/>
        <w:rPr>
          <w:sz w:val="20"/>
          <w:szCs w:val="20"/>
          <w:color w:val="auto"/>
        </w:rPr>
      </w:pPr>
    </w:p>
    <w:p>
      <w:pPr>
        <w:ind w:right="100" w:firstLine="802"/>
        <w:spacing w:after="0" w:line="282" w:lineRule="auto"/>
        <w:rPr>
          <w:sz w:val="20"/>
          <w:szCs w:val="20"/>
          <w:color w:val="auto"/>
        </w:rPr>
      </w:pPr>
      <w:r>
        <w:rPr>
          <w:rFonts w:ascii="Times New Roman" w:cs="Times New Roman" w:eastAsia="Times New Roman" w:hAnsi="Times New Roman"/>
          <w:sz w:val="18"/>
          <w:szCs w:val="18"/>
          <w:color w:val="auto"/>
        </w:rPr>
        <w:t>Foreign exchange rate profits and losses attributable to the financing of the Group are recognized in the consolidated statement of operations as finance income and finance costs. All other foreign exchange rate profits and losses are recognized under other operating income and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group companies</w:t>
      </w:r>
    </w:p>
    <w:p>
      <w:pPr>
        <w:spacing w:after="0" w:line="202" w:lineRule="exact"/>
        <w:rPr>
          <w:sz w:val="20"/>
          <w:szCs w:val="20"/>
          <w:color w:val="auto"/>
        </w:rPr>
      </w:pPr>
    </w:p>
    <w:p>
      <w:pPr>
        <w:ind w:firstLine="802"/>
        <w:spacing w:after="0" w:line="256" w:lineRule="auto"/>
        <w:rPr>
          <w:sz w:val="20"/>
          <w:szCs w:val="20"/>
          <w:color w:val="auto"/>
        </w:rPr>
      </w:pPr>
      <w:r>
        <w:rPr>
          <w:rFonts w:ascii="Times New Roman" w:cs="Times New Roman" w:eastAsia="Times New Roman" w:hAnsi="Times New Roman"/>
          <w:sz w:val="18"/>
          <w:szCs w:val="18"/>
          <w:color w:val="auto"/>
        </w:rPr>
        <w:t>The results and financial position for all companies with a functional currency other than the presentation currency are translated into the Group’s reporting currency. Assets and liabilities are translated from the foreign operation’s functional currency to the Group’s reporting currency using the exchange rates prevailing at the reporting date. Income and expenses for each statement of operations and statement of comprehensive loss are translated to USD using the average exchange rate for the period. Foreign exchange differences arising from the currency translation of foreign operations are recognized in other comprehensive loss. Goodwill and fair value adjustments arising from the acquisition of foreign operations are treated as assets and liabilities in these operations and are translated to the reporting currency using the exchange rate at the reporting date.</w:t>
      </w:r>
    </w:p>
    <w:p>
      <w:pPr>
        <w:spacing w:after="0" w:line="147" w:lineRule="exact"/>
        <w:rPr>
          <w:sz w:val="20"/>
          <w:szCs w:val="20"/>
          <w:color w:val="auto"/>
        </w:rPr>
      </w:pPr>
    </w:p>
    <w:p>
      <w:pPr>
        <w:ind w:right="100" w:firstLine="802"/>
        <w:spacing w:after="0" w:line="266" w:lineRule="auto"/>
        <w:rPr>
          <w:sz w:val="20"/>
          <w:szCs w:val="20"/>
          <w:color w:val="auto"/>
        </w:rPr>
      </w:pPr>
      <w:r>
        <w:rPr>
          <w:rFonts w:ascii="Times New Roman" w:cs="Times New Roman" w:eastAsia="Times New Roman" w:hAnsi="Times New Roman"/>
          <w:sz w:val="18"/>
          <w:szCs w:val="18"/>
          <w:color w:val="auto"/>
        </w:rPr>
        <w:t>In the consolidated accounts, exchange rate differences attributable to monetary items that form part of the net investment in foreign operations are recognized in other comprehensive loss and are reclassified from equity to the consolidated statement of operations when the foreign operation is divested in whole or in part.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Revenue recognition</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Group’s principles for recognition of revenue from customer contracts are presented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goods</w:t>
      </w:r>
    </w:p>
    <w:p>
      <w:pPr>
        <w:spacing w:after="0" w:line="189" w:lineRule="exact"/>
        <w:rPr>
          <w:sz w:val="20"/>
          <w:szCs w:val="20"/>
          <w:color w:val="auto"/>
        </w:rPr>
      </w:pPr>
    </w:p>
    <w:p>
      <w:pPr>
        <w:ind w:right="20" w:firstLine="802"/>
        <w:spacing w:after="0" w:line="258" w:lineRule="auto"/>
        <w:rPr>
          <w:sz w:val="20"/>
          <w:szCs w:val="20"/>
          <w:color w:val="auto"/>
        </w:rPr>
      </w:pPr>
      <w:r>
        <w:rPr>
          <w:rFonts w:ascii="Times New Roman" w:cs="Times New Roman" w:eastAsia="Times New Roman" w:hAnsi="Times New Roman"/>
          <w:sz w:val="18"/>
          <w:szCs w:val="18"/>
          <w:color w:val="auto"/>
        </w:rPr>
        <w:t>Revenue from contracts with customers consists of sales of goods. Revenue from the sale of goods is recognized at the point in time when control of goods has transferred to the customer, being when the products are delivered to the customer, the customer has full discretion over the channel to sell the goods, and there is no unfulfilled obligation that could affect the customer’s acceptance of the goods. Delivery occurs when the products are shipped to the specific location, the risks of obsolescence and loss have been transferred to the customer and either the customer has accepted the products in accordance with the sales contract or the Group has objective evidence that all criteria for acceptance have been satisfied.</w:t>
      </w:r>
    </w:p>
    <w:p>
      <w:pPr>
        <w:spacing w:after="0" w:line="156" w:lineRule="exact"/>
        <w:rPr>
          <w:sz w:val="20"/>
          <w:szCs w:val="20"/>
          <w:color w:val="auto"/>
        </w:rPr>
      </w:pPr>
    </w:p>
    <w:p>
      <w:pPr>
        <w:ind w:firstLine="802"/>
        <w:spacing w:after="0" w:line="258" w:lineRule="auto"/>
        <w:rPr>
          <w:sz w:val="20"/>
          <w:szCs w:val="20"/>
          <w:color w:val="auto"/>
        </w:rPr>
      </w:pPr>
      <w:r>
        <w:rPr>
          <w:rFonts w:ascii="Times New Roman" w:cs="Times New Roman" w:eastAsia="Times New Roman" w:hAnsi="Times New Roman"/>
          <w:sz w:val="18"/>
          <w:szCs w:val="18"/>
          <w:color w:val="auto"/>
        </w:rPr>
        <w:t>Revenue from contracts with customers is measured at an amount that reflects the consideration to which the Group expects to be entitled in exchange for those goods. Presented revenue excludes VAT and other sales taxes. The Group considers if contracts include other promises that constitute separate performance obligations to which a portion of the transaction price needs to be allocated. The Group considers the effects of variable consideration in determining the transaction price. The Group is acting as principal in its revenue arrangements because the Group maintains control of the goods until they are transferred to the customers.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 and other consideration</w:t>
      </w:r>
    </w:p>
    <w:p>
      <w:pPr>
        <w:spacing w:after="0" w:line="187" w:lineRule="exact"/>
        <w:rPr>
          <w:sz w:val="20"/>
          <w:szCs w:val="20"/>
          <w:color w:val="auto"/>
        </w:rPr>
      </w:pPr>
    </w:p>
    <w:p>
      <w:pPr>
        <w:jc w:val="both"/>
        <w:ind w:right="40" w:firstLine="802"/>
        <w:spacing w:after="0" w:line="261" w:lineRule="auto"/>
        <w:rPr>
          <w:sz w:val="20"/>
          <w:szCs w:val="20"/>
          <w:color w:val="auto"/>
        </w:rPr>
      </w:pPr>
      <w:r>
        <w:rPr>
          <w:rFonts w:ascii="Times New Roman" w:cs="Times New Roman" w:eastAsia="Times New Roman" w:hAnsi="Times New Roman"/>
          <w:sz w:val="18"/>
          <w:szCs w:val="18"/>
          <w:color w:val="auto"/>
        </w:rPr>
        <w:t>The transaction price is adjusted for estimates of known or expected variable consideration, which includes cash discounts, product returns and allowances such as coupons. Variable consideration is recorded as a reduction to revenue based on amounts the Group expects to be liable for. Estimates of variable consideration are based on a number of factors, including current contract sales terms, estimated units sold, customer participation and redemption rates. Estimates are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reviewed regularly until the incentives or product returns are realized and the impact of any adjustments are recognized in the period the adjustments are identified.</w:t>
      </w:r>
    </w:p>
    <w:p>
      <w:pPr>
        <w:spacing w:after="0" w:line="135" w:lineRule="exact"/>
        <w:rPr>
          <w:sz w:val="20"/>
          <w:szCs w:val="20"/>
          <w:color w:val="auto"/>
        </w:rPr>
      </w:pPr>
    </w:p>
    <w:p>
      <w:pPr>
        <w:ind w:firstLine="802"/>
        <w:spacing w:after="0" w:line="282" w:lineRule="auto"/>
        <w:rPr>
          <w:sz w:val="20"/>
          <w:szCs w:val="20"/>
          <w:color w:val="auto"/>
        </w:rPr>
      </w:pPr>
      <w:r>
        <w:rPr>
          <w:rFonts w:ascii="Times New Roman" w:cs="Times New Roman" w:eastAsia="Times New Roman" w:hAnsi="Times New Roman"/>
          <w:sz w:val="18"/>
          <w:szCs w:val="18"/>
          <w:color w:val="auto"/>
        </w:rPr>
        <w:t>The Group accounts for consideration payable to a customer as a reduction of the transaction, unless the payment to the customer is in exchange for a distinct good or service that the customer transfers to the Group. Such reductions to revenue include slotting and listing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87" w:lineRule="exact"/>
        <w:rPr>
          <w:sz w:val="20"/>
          <w:szCs w:val="20"/>
          <w:color w:val="auto"/>
        </w:rPr>
      </w:pPr>
    </w:p>
    <w:p>
      <w:pPr>
        <w:ind w:right="140" w:firstLine="802"/>
        <w:spacing w:after="0" w:line="266" w:lineRule="auto"/>
        <w:rPr>
          <w:sz w:val="20"/>
          <w:szCs w:val="20"/>
          <w:color w:val="auto"/>
        </w:rPr>
      </w:pPr>
      <w:r>
        <w:rPr>
          <w:rFonts w:ascii="Times New Roman" w:cs="Times New Roman" w:eastAsia="Times New Roman" w:hAnsi="Times New Roman"/>
          <w:sz w:val="18"/>
          <w:szCs w:val="18"/>
          <w:color w:val="auto"/>
        </w:rPr>
        <w:t>The Group incurs expenses for sales commissions to third parties to obtain customer contracts. Sales commissions are recognized in the consolidated statement of operations, in selling, general and administration expenses. The Group applies the practical expedient that permits the Group to expense the costs to obtain a contract as incurred when the expected amortization period is one year or less.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Interest income is recognized with the application of the effective interest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components</w:t>
      </w:r>
    </w:p>
    <w:p>
      <w:pPr>
        <w:spacing w:after="0" w:line="202" w:lineRule="exact"/>
        <w:rPr>
          <w:sz w:val="20"/>
          <w:szCs w:val="20"/>
          <w:color w:val="auto"/>
        </w:rPr>
      </w:pPr>
    </w:p>
    <w:p>
      <w:pPr>
        <w:ind w:firstLine="802"/>
        <w:spacing w:after="0" w:line="282" w:lineRule="auto"/>
        <w:rPr>
          <w:sz w:val="20"/>
          <w:szCs w:val="20"/>
          <w:color w:val="auto"/>
        </w:rPr>
      </w:pPr>
      <w:r>
        <w:rPr>
          <w:rFonts w:ascii="Times New Roman" w:cs="Times New Roman" w:eastAsia="Times New Roman" w:hAnsi="Times New Roman"/>
          <w:sz w:val="18"/>
          <w:szCs w:val="18"/>
          <w:color w:val="auto"/>
        </w:rPr>
        <w:t>The Group does not have any contracts where the period between the transfer of the promised goods or services to the customer and payment by the customer exceeds one year. As a consequence, the Group does not adjust any of the transaction prices for the time value of money.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right="300" w:firstLine="802"/>
        <w:spacing w:after="0" w:line="266"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100" w:firstLine="80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related expenses for our research and development staff, including salaries, 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80" w:firstLine="80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include primarily personnel related expenses, brand 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and (expenses), net</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Other operating income and (expenses), net consists primarily of net foreign exchange gains (losses) on operating related activities.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expenses, net</w:t>
      </w:r>
    </w:p>
    <w:p>
      <w:pPr>
        <w:spacing w:after="0" w:line="189" w:lineRule="exact"/>
        <w:rPr>
          <w:sz w:val="20"/>
          <w:szCs w:val="20"/>
          <w:color w:val="auto"/>
        </w:rPr>
      </w:pPr>
    </w:p>
    <w:p>
      <w:pPr>
        <w:ind w:right="500" w:firstLine="802"/>
        <w:spacing w:after="0" w:line="282" w:lineRule="auto"/>
        <w:rPr>
          <w:sz w:val="20"/>
          <w:szCs w:val="20"/>
          <w:color w:val="auto"/>
        </w:rPr>
      </w:pPr>
      <w:r>
        <w:rPr>
          <w:rFonts w:ascii="Times New Roman" w:cs="Times New Roman" w:eastAsia="Times New Roman" w:hAnsi="Times New Roman"/>
          <w:sz w:val="18"/>
          <w:szCs w:val="18"/>
          <w:color w:val="auto"/>
        </w:rPr>
        <w:t>Finance income and expenses, net primarily consists of interest expense related to loans from credit institutions, interest expense on lease liabilities and foreign exchange gains and losses attributable to our external and internal financing arrangements.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2" w:lineRule="exact"/>
        <w:rPr>
          <w:sz w:val="20"/>
          <w:szCs w:val="20"/>
          <w:color w:val="auto"/>
        </w:rPr>
      </w:pPr>
    </w:p>
    <w:p>
      <w:pPr>
        <w:ind w:right="120" w:firstLine="802"/>
        <w:spacing w:after="0" w:line="282" w:lineRule="auto"/>
        <w:rPr>
          <w:sz w:val="20"/>
          <w:szCs w:val="20"/>
          <w:color w:val="auto"/>
        </w:rPr>
      </w:pPr>
      <w:r>
        <w:rPr>
          <w:rFonts w:ascii="Times New Roman" w:cs="Times New Roman" w:eastAsia="Times New Roman" w:hAnsi="Times New Roman"/>
          <w:sz w:val="18"/>
          <w:szCs w:val="18"/>
          <w:color w:val="auto"/>
        </w:rPr>
        <w:t>Income tax expense represents both current and deferred income tax expenses. Current tax expenses primarily represent income taxes based on income in multiple foreign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Current versus non-current classification</w:t>
      </w:r>
    </w:p>
    <w:p>
      <w:pPr>
        <w:spacing w:after="0" w:line="189" w:lineRule="exact"/>
        <w:rPr>
          <w:sz w:val="20"/>
          <w:szCs w:val="20"/>
          <w:color w:val="auto"/>
        </w:rPr>
      </w:pPr>
    </w:p>
    <w:p>
      <w:pPr>
        <w:ind w:firstLine="802"/>
        <w:spacing w:after="0" w:line="282" w:lineRule="auto"/>
        <w:rPr>
          <w:sz w:val="20"/>
          <w:szCs w:val="20"/>
          <w:color w:val="auto"/>
        </w:rPr>
      </w:pPr>
      <w:r>
        <w:rPr>
          <w:rFonts w:ascii="Times New Roman" w:cs="Times New Roman" w:eastAsia="Times New Roman" w:hAnsi="Times New Roman"/>
          <w:sz w:val="18"/>
          <w:szCs w:val="18"/>
          <w:color w:val="auto"/>
        </w:rPr>
        <w:t>The Group presents assets and liabilities in the consolidated statement of financial position based on current/ non-current classification. An asset is current when it is:</w:t>
      </w:r>
    </w:p>
    <w:p>
      <w:pPr>
        <w:spacing w:after="0" w:line="121" w:lineRule="exact"/>
        <w:rPr>
          <w:sz w:val="20"/>
          <w:szCs w:val="20"/>
          <w:color w:val="auto"/>
        </w:rPr>
      </w:pPr>
    </w:p>
    <w:p>
      <w:pPr>
        <w:ind w:left="1200" w:hanging="396"/>
        <w:spacing w:after="0"/>
        <w:tabs>
          <w:tab w:leader="none" w:pos="1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be realized or intended to be sold or consumed in the normal operating cycle,</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primarily for the purpose of trading,</w:t>
      </w:r>
    </w:p>
    <w:p>
      <w:pPr>
        <w:spacing w:after="0" w:line="202"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expected to be realized within twelve months after the reporting </w:t>
      </w:r>
      <w:r>
        <w:rPr>
          <w:rFonts w:ascii="Times New Roman" w:cs="Times New Roman" w:eastAsia="Times New Roman" w:hAnsi="Times New Roman"/>
          <w:sz w:val="21"/>
          <w:szCs w:val="21"/>
          <w:color w:val="auto"/>
        </w:rPr>
        <w:t>period, or</w:t>
      </w:r>
    </w:p>
    <w:p>
      <w:pPr>
        <w:spacing w:after="0" w:line="186" w:lineRule="exact"/>
        <w:rPr>
          <w:rFonts w:ascii="Times New Roman" w:cs="Times New Roman" w:eastAsia="Times New Roman" w:hAnsi="Times New Roman"/>
          <w:sz w:val="18"/>
          <w:szCs w:val="18"/>
          <w:color w:val="auto"/>
        </w:rPr>
      </w:pPr>
    </w:p>
    <w:p>
      <w:pPr>
        <w:ind w:left="1200" w:right="340" w:hanging="396"/>
        <w:spacing w:after="0" w:line="282" w:lineRule="auto"/>
        <w:tabs>
          <w:tab w:leader="none" w:pos="1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cash equivalent unless restricted from being exchanged or used to settle a liability for at least twelve months after the reporting period.</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All other assets are classified as non-current. A liability is current when:</w:t>
      </w:r>
    </w:p>
    <w:p>
      <w:pPr>
        <w:spacing w:after="0" w:line="198" w:lineRule="exact"/>
        <w:rPr>
          <w:sz w:val="20"/>
          <w:szCs w:val="20"/>
          <w:color w:val="auto"/>
        </w:rPr>
      </w:pPr>
    </w:p>
    <w:p>
      <w:pPr>
        <w:ind w:left="1200" w:hanging="396"/>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settled in the normal operating cycle,</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primarily for the purpose of trading,</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due to be settled within twelve months after the reporting period, or</w:t>
      </w:r>
    </w:p>
    <w:p>
      <w:pPr>
        <w:spacing w:after="0" w:line="211" w:lineRule="exact"/>
        <w:rPr>
          <w:rFonts w:ascii="Times New Roman" w:cs="Times New Roman" w:eastAsia="Times New Roman" w:hAnsi="Times New Roman"/>
          <w:sz w:val="18"/>
          <w:szCs w:val="18"/>
          <w:color w:val="auto"/>
        </w:rPr>
      </w:pPr>
    </w:p>
    <w:p>
      <w:pPr>
        <w:ind w:left="800" w:right="1340" w:firstLine="4"/>
        <w:spacing w:after="0" w:line="469" w:lineRule="auto"/>
        <w:tabs>
          <w:tab w:leader="none" w:pos="11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unconditional right to defer the settlement of the liability for at least twelve months after the reporting period. The Group classifies all other liabilities as non-current.</w:t>
      </w:r>
    </w:p>
    <w:p>
      <w:pPr>
        <w:spacing w:after="0" w:line="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are classified as non-current assets and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lessee</w:t>
      </w:r>
    </w:p>
    <w:p>
      <w:pPr>
        <w:spacing w:after="0" w:line="189" w:lineRule="exact"/>
        <w:rPr>
          <w:sz w:val="20"/>
          <w:szCs w:val="20"/>
          <w:color w:val="auto"/>
        </w:rPr>
      </w:pPr>
    </w:p>
    <w:p>
      <w:pPr>
        <w:ind w:right="60" w:firstLine="802"/>
        <w:spacing w:after="0" w:line="261" w:lineRule="auto"/>
        <w:rPr>
          <w:sz w:val="20"/>
          <w:szCs w:val="20"/>
          <w:color w:val="auto"/>
        </w:rPr>
      </w:pPr>
      <w:r>
        <w:rPr>
          <w:rFonts w:ascii="Times New Roman" w:cs="Times New Roman" w:eastAsia="Times New Roman" w:hAnsi="Times New Roman"/>
          <w:sz w:val="18"/>
          <w:szCs w:val="18"/>
          <w:color w:val="auto"/>
        </w:rPr>
        <w:t>The Group’s leases pertain to land and buildings, and plant and machinery. Contracts may contain both lease and non-lease components. The Group allocates the consideration in the contract to the lease and non-lease components based on their relative stand-alone prices. Lease terms are negotiated on an individual basis and contain a wide range of different terms and conditions. The lease agreements do not impose any covenants other than the security interests in the leased assets that are held by the lessor. Leased assets may not be used as security for borrowing purposes.</w:t>
      </w:r>
    </w:p>
    <w:p>
      <w:pPr>
        <w:spacing w:after="0" w:line="1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Leases are recognized as a right-of-use asset and a corresponding liability at the date at which the leased asset is available for use by the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arising from a lease are initially measured on a present value basis.</w:t>
      </w:r>
    </w:p>
    <w:p>
      <w:pPr>
        <w:spacing w:after="0" w:line="1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Lease liabilities include the net present value of the following lease payments:</w:t>
      </w:r>
    </w:p>
    <w:p>
      <w:pPr>
        <w:spacing w:after="0" w:line="185" w:lineRule="exact"/>
        <w:rPr>
          <w:sz w:val="20"/>
          <w:szCs w:val="20"/>
          <w:color w:val="auto"/>
        </w:rPr>
      </w:pPr>
    </w:p>
    <w:p>
      <w:pPr>
        <w:ind w:left="1200" w:right="180" w:hanging="396"/>
        <w:spacing w:after="0" w:line="282" w:lineRule="auto"/>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 less any lease incentives receivable variable lease payment that are based on an index or a rate, initially measured using the index or rate as at the commencement date,</w:t>
      </w:r>
    </w:p>
    <w:p>
      <w:pPr>
        <w:spacing w:after="0" w:line="12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by the Group under residual value guarantees,</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purchase option if the Group is reasonably certain to exercise that option, and</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penalties for terminating the lease, if the lease term reflects the Group exercising that option.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98" w:lineRule="exact"/>
        <w:rPr>
          <w:sz w:val="20"/>
          <w:szCs w:val="20"/>
          <w:color w:val="auto"/>
        </w:rPr>
      </w:pPr>
    </w:p>
    <w:p>
      <w:pPr>
        <w:ind w:right="20" w:firstLine="802"/>
        <w:spacing w:after="0" w:line="261" w:lineRule="auto"/>
        <w:rPr>
          <w:sz w:val="20"/>
          <w:szCs w:val="20"/>
          <w:color w:val="auto"/>
        </w:rPr>
      </w:pPr>
      <w:r>
        <w:rPr>
          <w:rFonts w:ascii="Times New Roman" w:cs="Times New Roman" w:eastAsia="Times New Roman" w:hAnsi="Times New Roman"/>
          <w:sz w:val="18"/>
          <w:szCs w:val="18"/>
          <w:color w:val="auto"/>
        </w:rPr>
        <w:t>Lease payments to be made under reasonably certain extension options are also included in the measurement of the liability. The lease payments are discounted using the interest rate implicit in the lease. If that rate cannot be readily determined, which is the case for leases in the Group, the lessee’s incremental borrowing rate is used, which is the rate that the individual lessee would have to pay to borrow the funds necessary to obtain an asset of similar value to the right-of-use asset in a similar economic environment with similar terms, security, and conditions.</w:t>
      </w:r>
    </w:p>
    <w:p>
      <w:pPr>
        <w:spacing w:after="0" w:line="1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To determine the incremental borrowing rate, the Group:</w:t>
      </w:r>
    </w:p>
    <w:p>
      <w:pPr>
        <w:spacing w:after="0" w:line="185" w:lineRule="exact"/>
        <w:rPr>
          <w:sz w:val="20"/>
          <w:szCs w:val="20"/>
          <w:color w:val="auto"/>
        </w:rPr>
      </w:pPr>
    </w:p>
    <w:p>
      <w:pPr>
        <w:ind w:left="1200" w:hanging="396"/>
        <w:spacing w:after="0"/>
        <w:tabs>
          <w:tab w:leader="none" w:pos="12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a build-up approach that starts with a risk-free interest rate adjusted for credit risk, and</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adjustments specific to the lease, e.g. term, country, currency and security.</w:t>
      </w:r>
    </w:p>
    <w:p>
      <w:pPr>
        <w:spacing w:after="0" w:line="212" w:lineRule="exact"/>
        <w:rPr>
          <w:sz w:val="20"/>
          <w:szCs w:val="20"/>
          <w:color w:val="auto"/>
        </w:rPr>
      </w:pPr>
    </w:p>
    <w:p>
      <w:pPr>
        <w:ind w:right="180" w:firstLine="802"/>
        <w:spacing w:after="0" w:line="261" w:lineRule="auto"/>
        <w:rPr>
          <w:sz w:val="20"/>
          <w:szCs w:val="20"/>
          <w:color w:val="auto"/>
        </w:rPr>
      </w:pPr>
      <w:r>
        <w:rPr>
          <w:rFonts w:ascii="Times New Roman" w:cs="Times New Roman" w:eastAsia="Times New Roman" w:hAnsi="Times New Roman"/>
          <w:sz w:val="18"/>
          <w:szCs w:val="18"/>
          <w:color w:val="auto"/>
        </w:rPr>
        <w:t>The Group is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 Lease payments are allocated between principal and finance cost. The finance cost is charged to profit or loss over the lease period so as to produce a constant periodic rate of interest on the remaining balance of the liability for each period.</w:t>
      </w:r>
    </w:p>
    <w:p>
      <w:pPr>
        <w:spacing w:after="0" w:line="1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Right-of-use assets are measured at cost comprising the following:</w:t>
      </w:r>
    </w:p>
    <w:p>
      <w:pPr>
        <w:spacing w:after="0" w:line="198" w:lineRule="exact"/>
        <w:rPr>
          <w:sz w:val="20"/>
          <w:szCs w:val="20"/>
          <w:color w:val="auto"/>
        </w:rPr>
      </w:pPr>
    </w:p>
    <w:p>
      <w:pPr>
        <w:ind w:left="1200" w:hanging="396"/>
        <w:spacing w:after="0"/>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initial measurement of lease liability,</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payments made at or before the commencement date less any lease incentives received,</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direct costs, and</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restoration costs.</w:t>
      </w:r>
    </w:p>
    <w:p>
      <w:pPr>
        <w:spacing w:after="0" w:line="212" w:lineRule="exact"/>
        <w:rPr>
          <w:sz w:val="20"/>
          <w:szCs w:val="20"/>
          <w:color w:val="auto"/>
        </w:rPr>
      </w:pPr>
    </w:p>
    <w:p>
      <w:pPr>
        <w:ind w:firstLine="802"/>
        <w:spacing w:after="0" w:line="261" w:lineRule="auto"/>
        <w:rPr>
          <w:sz w:val="20"/>
          <w:szCs w:val="20"/>
          <w:color w:val="auto"/>
        </w:rPr>
      </w:pPr>
      <w:r>
        <w:rPr>
          <w:rFonts w:ascii="Times New Roman" w:cs="Times New Roman" w:eastAsia="Times New Roman" w:hAnsi="Times New Roman"/>
          <w:sz w:val="18"/>
          <w:szCs w:val="18"/>
          <w:color w:val="auto"/>
        </w:rPr>
        <w:t>Right-of-use assets are generally depreciated over the shorter of the asset’s useful life and the lease term on a straight-line basis. If the Group is reasonably certain to exercise a purchase option, the right-of-use asset is depreciated over the underlying asset’s useful life. Payments associated with short-term leases and leases of low-value assets are recognized on a straight-line basis as an expense in profit or loss. Short-term leases are leases with a lease term of 12 months or less.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income tax</w:t>
      </w:r>
    </w:p>
    <w:p>
      <w:pPr>
        <w:spacing w:after="0" w:line="202" w:lineRule="exact"/>
        <w:rPr>
          <w:sz w:val="20"/>
          <w:szCs w:val="20"/>
          <w:color w:val="auto"/>
        </w:rPr>
      </w:pPr>
    </w:p>
    <w:p>
      <w:pPr>
        <w:jc w:val="both"/>
        <w:ind w:right="240" w:firstLine="802"/>
        <w:spacing w:after="0" w:line="266" w:lineRule="auto"/>
        <w:rPr>
          <w:sz w:val="20"/>
          <w:szCs w:val="20"/>
          <w:color w:val="auto"/>
        </w:rPr>
      </w:pPr>
      <w:r>
        <w:rPr>
          <w:rFonts w:ascii="Times New Roman" w:cs="Times New Roman" w:eastAsia="Times New Roman" w:hAnsi="Times New Roman"/>
          <w:sz w:val="18"/>
          <w:szCs w:val="18"/>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spacing w:after="0" w:line="135" w:lineRule="exact"/>
        <w:rPr>
          <w:sz w:val="20"/>
          <w:szCs w:val="20"/>
          <w:color w:val="auto"/>
        </w:rPr>
      </w:pPr>
    </w:p>
    <w:p>
      <w:pPr>
        <w:ind w:right="380" w:firstLine="802"/>
        <w:spacing w:after="0" w:line="282" w:lineRule="auto"/>
        <w:rPr>
          <w:sz w:val="20"/>
          <w:szCs w:val="20"/>
          <w:color w:val="auto"/>
        </w:rPr>
      </w:pPr>
      <w:r>
        <w:rPr>
          <w:rFonts w:ascii="Times New Roman" w:cs="Times New Roman" w:eastAsia="Times New Roman" w:hAnsi="Times New Roman"/>
          <w:sz w:val="18"/>
          <w:szCs w:val="18"/>
          <w:color w:val="auto"/>
        </w:rPr>
        <w:t>Current income tax is recognized in the consolidated statement of operations except for tax attributable to items that are recognized in other comprehensive loss or directly in equity. In such cases, tax is also recognized in other comprehensive loss and equity, respectively.</w:t>
      </w:r>
    </w:p>
    <w:p>
      <w:pPr>
        <w:spacing w:after="0" w:line="121" w:lineRule="exact"/>
        <w:rPr>
          <w:sz w:val="20"/>
          <w:szCs w:val="20"/>
          <w:color w:val="auto"/>
        </w:rPr>
      </w:pPr>
    </w:p>
    <w:p>
      <w:pPr>
        <w:ind w:right="80" w:firstLine="802"/>
        <w:spacing w:after="0" w:line="282" w:lineRule="auto"/>
        <w:rPr>
          <w:sz w:val="20"/>
          <w:szCs w:val="20"/>
          <w:color w:val="auto"/>
        </w:rPr>
      </w:pPr>
      <w:r>
        <w:rPr>
          <w:rFonts w:ascii="Times New Roman" w:cs="Times New Roman" w:eastAsia="Times New Roman" w:hAnsi="Times New Roman"/>
          <w:sz w:val="18"/>
          <w:szCs w:val="18"/>
          <w:color w:val="auto"/>
        </w:rPr>
        <w:t>Management periodically evaluates positions taken in the tax returns with respect to situations in which applicable tax regulations are subject to interpretation and establishes provisions where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189" w:lineRule="exact"/>
        <w:rPr>
          <w:sz w:val="20"/>
          <w:szCs w:val="20"/>
          <w:color w:val="auto"/>
        </w:rPr>
      </w:pPr>
    </w:p>
    <w:p>
      <w:pPr>
        <w:ind w:right="80" w:firstLine="802"/>
        <w:spacing w:after="0" w:line="255" w:lineRule="auto"/>
        <w:rPr>
          <w:sz w:val="20"/>
          <w:szCs w:val="20"/>
          <w:color w:val="auto"/>
        </w:rPr>
      </w:pPr>
      <w:r>
        <w:rPr>
          <w:rFonts w:ascii="Times New Roman" w:cs="Times New Roman" w:eastAsia="Times New Roman" w:hAnsi="Times New Roman"/>
          <w:sz w:val="18"/>
          <w:szCs w:val="18"/>
          <w:color w:val="auto"/>
        </w:rPr>
        <w:t>Deferred tax is recognized for all temporary differences that arise between the taxable value of assets and liabilities and their carrying values in the consolidated financial statements. However, a deferred tax liability is not recognized if it arises as a result of the initial recognition of goodwill, nor is a deferred tax liability recognized if it arises as a result of a transaction that constitutes the initial recognition of an asset or a liability that is not a business combination and which, at the date of the transaction, neither impacts the carrying value nor the taxable profit (loss). Deferred tax is measured at the tax rates that are expected to be applied to temporary differences when they reverse, using tax rates enacted or substantively enacted at the reporting date. The measurement of deferred tax reflects the tax consequences that would follow from the manner in which the Group expects at the reporting date to recover or settle the carrying amount of its assets and liabilities.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right="620" w:firstLine="802"/>
        <w:spacing w:after="0" w:line="282" w:lineRule="auto"/>
        <w:rPr>
          <w:sz w:val="20"/>
          <w:szCs w:val="20"/>
          <w:color w:val="auto"/>
        </w:rPr>
      </w:pPr>
      <w:r>
        <w:rPr>
          <w:rFonts w:ascii="Times New Roman" w:cs="Times New Roman" w:eastAsia="Times New Roman" w:hAnsi="Times New Roman"/>
          <w:sz w:val="18"/>
          <w:szCs w:val="18"/>
          <w:color w:val="auto"/>
        </w:rPr>
        <w:t>Deferred tax assets are recognized to the extent that it is probable that there will be future taxable surpluses against which the temporary differences can be utilized.</w:t>
      </w:r>
    </w:p>
    <w:p>
      <w:pPr>
        <w:spacing w:after="0" w:line="135" w:lineRule="exact"/>
        <w:rPr>
          <w:sz w:val="20"/>
          <w:szCs w:val="20"/>
          <w:color w:val="auto"/>
        </w:rPr>
      </w:pPr>
    </w:p>
    <w:p>
      <w:pPr>
        <w:ind w:firstLine="802"/>
        <w:spacing w:after="0" w:line="266" w:lineRule="auto"/>
        <w:rPr>
          <w:sz w:val="20"/>
          <w:szCs w:val="20"/>
          <w:color w:val="auto"/>
        </w:rPr>
      </w:pPr>
      <w:r>
        <w:rPr>
          <w:rFonts w:ascii="Times New Roman" w:cs="Times New Roman" w:eastAsia="Times New Roman" w:hAnsi="Times New Roman"/>
          <w:sz w:val="18"/>
          <w:szCs w:val="18"/>
          <w:color w:val="auto"/>
        </w:rPr>
        <w:t>Deferred tax assets and tax liabilities are offset when there is a legal right to offset for current tax assets and tax liabilities, and when the deferred tax assets and tax liabilities are attributable to taxes charged by the same tax authorities and are either attributable to the same tax subject or different tax subjects, where there is an intention to settle the balances through net payments.</w:t>
      </w:r>
    </w:p>
    <w:p>
      <w:pPr>
        <w:spacing w:after="0" w:line="135" w:lineRule="exact"/>
        <w:rPr>
          <w:sz w:val="20"/>
          <w:szCs w:val="20"/>
          <w:color w:val="auto"/>
        </w:rPr>
      </w:pPr>
    </w:p>
    <w:p>
      <w:pPr>
        <w:ind w:right="380" w:firstLine="802"/>
        <w:spacing w:after="0" w:line="282" w:lineRule="auto"/>
        <w:rPr>
          <w:sz w:val="20"/>
          <w:szCs w:val="20"/>
          <w:color w:val="auto"/>
        </w:rPr>
      </w:pPr>
      <w:r>
        <w:rPr>
          <w:rFonts w:ascii="Times New Roman" w:cs="Times New Roman" w:eastAsia="Times New Roman" w:hAnsi="Times New Roman"/>
          <w:sz w:val="18"/>
          <w:szCs w:val="18"/>
          <w:color w:val="auto"/>
        </w:rPr>
        <w:t>Deferred tax relating to items recognized outside the statement of operations is recognized outside the statement of operations. Deferred tax items are recognized in correlation to the underlying transaction either in other comprehensive loss or directly in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Intangible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ind w:right="440" w:firstLine="802"/>
        <w:spacing w:after="0" w:line="282" w:lineRule="auto"/>
        <w:rPr>
          <w:sz w:val="20"/>
          <w:szCs w:val="20"/>
          <w:color w:val="auto"/>
        </w:rPr>
      </w:pPr>
      <w:r>
        <w:rPr>
          <w:rFonts w:ascii="Times New Roman" w:cs="Times New Roman" w:eastAsia="Times New Roman" w:hAnsi="Times New Roman"/>
          <w:sz w:val="18"/>
          <w:szCs w:val="18"/>
          <w:color w:val="auto"/>
        </w:rPr>
        <w:t>Goodwill arises at the acquisition of subsidiaries and consists of the amount by which the consideration, any non-controlling interest in the acquired company and fair value at the acquisition dates of previous shareholdings, exceeds the fair value of identifiable net assets acquired.</w:t>
      </w:r>
    </w:p>
    <w:p>
      <w:pPr>
        <w:spacing w:after="0" w:line="121" w:lineRule="exact"/>
        <w:rPr>
          <w:sz w:val="20"/>
          <w:szCs w:val="20"/>
          <w:color w:val="auto"/>
        </w:rPr>
      </w:pPr>
    </w:p>
    <w:p>
      <w:pPr>
        <w:ind w:right="440" w:firstLine="802"/>
        <w:spacing w:after="0" w:line="258" w:lineRule="auto"/>
        <w:rPr>
          <w:sz w:val="20"/>
          <w:szCs w:val="20"/>
          <w:color w:val="auto"/>
        </w:rPr>
      </w:pPr>
      <w:r>
        <w:rPr>
          <w:rFonts w:ascii="Times New Roman" w:cs="Times New Roman" w:eastAsia="Times New Roman" w:hAnsi="Times New Roman"/>
          <w:sz w:val="18"/>
          <w:szCs w:val="18"/>
          <w:color w:val="auto"/>
        </w:rPr>
        <w:t>In order to perform impairment tests, goodwill acquired in a business combination is allocated to cash generating units or groups of cash generating units that are expected to benefit with synergies from the acquisition. Each unit or group of units to which goodwill has been allocated correspond to the lowest level in the Group for which goodwill is monitored. The Group monitors goodwill at the operating segment level for internal purposes, consistent with the way it assesses performance and allocates resources. The goodwill as at December 31, 2021 is allocated to the EMEA segment.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expenditure for development activities</w:t>
      </w:r>
    </w:p>
    <w:p>
      <w:pPr>
        <w:spacing w:after="0" w:line="187" w:lineRule="exact"/>
        <w:rPr>
          <w:sz w:val="20"/>
          <w:szCs w:val="20"/>
          <w:color w:val="auto"/>
        </w:rPr>
      </w:pPr>
    </w:p>
    <w:p>
      <w:pPr>
        <w:ind w:right="180" w:firstLine="802"/>
        <w:spacing w:after="0" w:line="282" w:lineRule="auto"/>
        <w:rPr>
          <w:sz w:val="20"/>
          <w:szCs w:val="20"/>
          <w:color w:val="auto"/>
        </w:rPr>
      </w:pPr>
      <w:r>
        <w:rPr>
          <w:rFonts w:ascii="Times New Roman" w:cs="Times New Roman" w:eastAsia="Times New Roman" w:hAnsi="Times New Roman"/>
          <w:sz w:val="18"/>
          <w:szCs w:val="18"/>
          <w:color w:val="auto"/>
        </w:rPr>
        <w:t>Expenditure for development and testing of new or significantly improved materials, products, processes or systems are recognized as an asset in the consolidated statement of financial position if the following criteria are met:</w:t>
      </w:r>
    </w:p>
    <w:p>
      <w:pPr>
        <w:spacing w:after="0" w:line="135" w:lineRule="exact"/>
        <w:rPr>
          <w:sz w:val="20"/>
          <w:szCs w:val="20"/>
          <w:color w:val="auto"/>
        </w:rPr>
      </w:pPr>
    </w:p>
    <w:p>
      <w:pPr>
        <w:ind w:left="1200" w:hanging="396"/>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technically feasible to complete the asset so that it will be available for use,</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Group’s purpose to complete the asset so that it will be available for use or sale,</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prerequisites to make the asset available for use or sale,</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to prove how the asset is likely to generate future economic benefits,</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adequate technical, economic and other resources to fulfil the development and to make the asset available for use or sale, and</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attributable to the asset during development can be reliably measured.</w:t>
      </w:r>
    </w:p>
    <w:p>
      <w:pPr>
        <w:spacing w:after="0" w:line="239" w:lineRule="exact"/>
        <w:rPr>
          <w:sz w:val="20"/>
          <w:szCs w:val="20"/>
          <w:color w:val="auto"/>
        </w:rPr>
      </w:pPr>
    </w:p>
    <w:p>
      <w:pPr>
        <w:ind w:right="100" w:firstLine="802"/>
        <w:spacing w:after="0" w:line="261" w:lineRule="auto"/>
        <w:rPr>
          <w:sz w:val="20"/>
          <w:szCs w:val="20"/>
          <w:color w:val="auto"/>
        </w:rPr>
      </w:pPr>
      <w:r>
        <w:rPr>
          <w:rFonts w:ascii="Times New Roman" w:cs="Times New Roman" w:eastAsia="Times New Roman" w:hAnsi="Times New Roman"/>
          <w:sz w:val="18"/>
          <w:szCs w:val="18"/>
          <w:color w:val="auto"/>
        </w:rPr>
        <w:t>Other development costs are recognized in the consolidated statement of operations as costs are incurred. In the consolidated statement of financial position, capitalized development costs are reported at cost less accumulated depreciation and any impairment. Capitalized development expenditure is recognized as intangible assets and is depreciated from the date when the asset is ready for use. The estimated useful life is 3-5 years, which corresponds to the estimated period of time during which these assets will generate cash flows.</w:t>
      </w:r>
    </w:p>
    <w:p>
      <w:pPr>
        <w:spacing w:after="0" w:line="153" w:lineRule="exact"/>
        <w:rPr>
          <w:sz w:val="20"/>
          <w:szCs w:val="20"/>
          <w:color w:val="auto"/>
        </w:rPr>
      </w:pPr>
    </w:p>
    <w:p>
      <w:pPr>
        <w:ind w:right="800" w:firstLine="802"/>
        <w:spacing w:after="0" w:line="282" w:lineRule="auto"/>
        <w:rPr>
          <w:sz w:val="20"/>
          <w:szCs w:val="20"/>
          <w:color w:val="auto"/>
        </w:rPr>
      </w:pPr>
      <w:r>
        <w:rPr>
          <w:rFonts w:ascii="Times New Roman" w:cs="Times New Roman" w:eastAsia="Times New Roman" w:hAnsi="Times New Roman"/>
          <w:sz w:val="18"/>
          <w:szCs w:val="18"/>
          <w:color w:val="auto"/>
        </w:rPr>
        <w:t>Development costs that do not meet these criteria are expensed as incurred. Development expenditure previously carried at cost is not recognized as an asset in a subsequent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Software-as-a-Service (SaaS) arrangements</w:t>
      </w:r>
    </w:p>
    <w:p>
      <w:pPr>
        <w:spacing w:after="0" w:line="227" w:lineRule="exact"/>
        <w:rPr>
          <w:sz w:val="20"/>
          <w:szCs w:val="20"/>
          <w:color w:val="auto"/>
        </w:rPr>
      </w:pPr>
    </w:p>
    <w:p>
      <w:pPr>
        <w:ind w:right="80" w:firstLine="802"/>
        <w:spacing w:after="0" w:line="282" w:lineRule="auto"/>
        <w:rPr>
          <w:sz w:val="20"/>
          <w:szCs w:val="20"/>
          <w:color w:val="auto"/>
        </w:rPr>
      </w:pPr>
      <w:r>
        <w:rPr>
          <w:rFonts w:ascii="Times New Roman" w:cs="Times New Roman" w:eastAsia="Times New Roman" w:hAnsi="Times New Roman"/>
          <w:sz w:val="18"/>
          <w:szCs w:val="18"/>
          <w:color w:val="auto"/>
        </w:rPr>
        <w:t>SaaS arrangements are service contracts providing the Group with the right to access the cloud provider’s application software over the contract period. As such the Group does not receive a software intangible asset at the contract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commencement date. A right to receive future access to the supplier’s software does not, at the contract commencement date, give the customer the power to obtain the future economic benefits flowing from the software itself and to restrict others’ access to those benefits.</w:t>
      </w:r>
    </w:p>
    <w:p>
      <w:pPr>
        <w:spacing w:after="0" w:line="162" w:lineRule="exact"/>
        <w:rPr>
          <w:sz w:val="20"/>
          <w:szCs w:val="20"/>
          <w:color w:val="auto"/>
        </w:rPr>
      </w:pPr>
    </w:p>
    <w:p>
      <w:pPr>
        <w:ind w:right="80" w:firstLine="802"/>
        <w:spacing w:after="0" w:line="266" w:lineRule="auto"/>
        <w:rPr>
          <w:sz w:val="20"/>
          <w:szCs w:val="20"/>
          <w:color w:val="auto"/>
        </w:rPr>
      </w:pPr>
      <w:r>
        <w:rPr>
          <w:rFonts w:ascii="Times New Roman" w:cs="Times New Roman" w:eastAsia="Times New Roman" w:hAnsi="Times New Roman"/>
          <w:sz w:val="18"/>
          <w:szCs w:val="18"/>
          <w:color w:val="auto"/>
        </w:rPr>
        <w:t>The Group treats costs incurred in relation to SaaS arrangements as operating expenses over the term of the service contract or as operating expenses when the service is received, depending on the nature of the expenses incurred and whether they are distinct from the cloud computing service or not in the underlying SaaS arrangement.</w:t>
      </w:r>
    </w:p>
    <w:p>
      <w:pPr>
        <w:spacing w:after="0" w:line="176" w:lineRule="exact"/>
        <w:rPr>
          <w:sz w:val="20"/>
          <w:szCs w:val="20"/>
          <w:color w:val="auto"/>
        </w:rPr>
      </w:pPr>
    </w:p>
    <w:p>
      <w:pPr>
        <w:ind w:right="300" w:firstLine="802"/>
        <w:spacing w:after="0" w:line="266" w:lineRule="auto"/>
        <w:rPr>
          <w:sz w:val="20"/>
          <w:szCs w:val="20"/>
          <w:color w:val="auto"/>
        </w:rPr>
      </w:pPr>
      <w:r>
        <w:rPr>
          <w:rFonts w:ascii="Times New Roman" w:cs="Times New Roman" w:eastAsia="Times New Roman" w:hAnsi="Times New Roman"/>
          <w:sz w:val="18"/>
          <w:szCs w:val="18"/>
          <w:color w:val="auto"/>
        </w:rPr>
        <w:t>There could be a variety of other costs incurred as part of the arrangement, for example development of bridging modules that connect or integrate the SaaS software with existing software/systems that may be controlled by the Group. The Group assesses such expenses to determine if they should be expensed or may qualify for capitalization as an intangible asset.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 patents and similar rights</w:t>
      </w:r>
    </w:p>
    <w:p>
      <w:pPr>
        <w:spacing w:after="0" w:line="200" w:lineRule="exact"/>
        <w:rPr>
          <w:sz w:val="20"/>
          <w:szCs w:val="20"/>
          <w:color w:val="auto"/>
        </w:rPr>
      </w:pPr>
    </w:p>
    <w:p>
      <w:pPr>
        <w:ind w:right="100" w:firstLine="802"/>
        <w:spacing w:after="0" w:line="266" w:lineRule="auto"/>
        <w:rPr>
          <w:sz w:val="20"/>
          <w:szCs w:val="20"/>
          <w:color w:val="auto"/>
        </w:rPr>
      </w:pPr>
      <w:r>
        <w:rPr>
          <w:rFonts w:ascii="Times New Roman" w:cs="Times New Roman" w:eastAsia="Times New Roman" w:hAnsi="Times New Roman"/>
          <w:sz w:val="18"/>
          <w:szCs w:val="18"/>
          <w:color w:val="auto"/>
        </w:rPr>
        <w:t>Separately acquired trademarks and patents are shown at historical cost. They are reported at fair value at the time of acquisition and amortized on a straight-line basis over the projected useful life. They are reported in subsequent periods at cost less accumulated amortization and impairment. The estimated useful life is 5 years, which corresponds to the estimated time these will generate cash flow.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02" w:lineRule="exact"/>
        <w:rPr>
          <w:sz w:val="20"/>
          <w:szCs w:val="20"/>
          <w:color w:val="auto"/>
        </w:rPr>
      </w:pPr>
    </w:p>
    <w:p>
      <w:pPr>
        <w:ind w:right="60" w:firstLine="802"/>
        <w:spacing w:after="0" w:line="261" w:lineRule="auto"/>
        <w:rPr>
          <w:sz w:val="20"/>
          <w:szCs w:val="20"/>
          <w:color w:val="auto"/>
        </w:rPr>
      </w:pPr>
      <w:r>
        <w:rPr>
          <w:rFonts w:ascii="Times New Roman" w:cs="Times New Roman" w:eastAsia="Times New Roman" w:hAnsi="Times New Roman"/>
          <w:sz w:val="18"/>
          <w:szCs w:val="18"/>
          <w:color w:val="auto"/>
        </w:rPr>
        <w:t>Property, plant and equipment consist of land, buildings and fixtures, plant and machinery and construction in progress. These are recognized at historical cost less depreciation and impairment, except for construction in progress. Construction in progress is transferred to another asset (and depreciation begins) once an asset is in the location and condition necessary for it to be capable of operating in the manner intended by management. Historical cost includes expenditure that is directly attributable to the acquisition of the items.</w:t>
      </w:r>
    </w:p>
    <w:p>
      <w:pPr>
        <w:spacing w:after="0" w:line="139" w:lineRule="exact"/>
        <w:rPr>
          <w:sz w:val="20"/>
          <w:szCs w:val="20"/>
          <w:color w:val="auto"/>
        </w:rPr>
      </w:pPr>
    </w:p>
    <w:p>
      <w:pPr>
        <w:ind w:right="20" w:firstLine="802"/>
        <w:spacing w:after="0" w:line="261" w:lineRule="auto"/>
        <w:rPr>
          <w:sz w:val="20"/>
          <w:szCs w:val="20"/>
          <w:color w:val="auto"/>
        </w:rPr>
      </w:pPr>
      <w:r>
        <w:rPr>
          <w:rFonts w:ascii="Times New Roman" w:cs="Times New Roman" w:eastAsia="Times New Roman" w:hAnsi="Times New Roman"/>
          <w:sz w:val="18"/>
          <w:szCs w:val="18"/>
          <w:color w:val="auto"/>
        </w:rPr>
        <w:t>Subsequent costs are added to the asset’s carrying value or are recognized as a separate asset, depending on which is most suitable, only when it is probable that the future economic benefits attributable to the asset will flow to the Group and the cost of the asset can be reliably measured. The carrying value of the replaced component is derecognized from the consolidated statement of financial position. All other kinds of repairs and maintenance are recognized at cost in the consolidated statement of operations in the period in which they occur.</w:t>
      </w:r>
    </w:p>
    <w:p>
      <w:pPr>
        <w:spacing w:after="0" w:line="139" w:lineRule="exact"/>
        <w:rPr>
          <w:sz w:val="20"/>
          <w:szCs w:val="20"/>
          <w:color w:val="auto"/>
        </w:rPr>
      </w:pPr>
    </w:p>
    <w:p>
      <w:pPr>
        <w:ind w:right="700" w:firstLine="802"/>
        <w:spacing w:after="0" w:line="282" w:lineRule="auto"/>
        <w:rPr>
          <w:sz w:val="20"/>
          <w:szCs w:val="20"/>
          <w:color w:val="auto"/>
        </w:rPr>
      </w:pPr>
      <w:r>
        <w:rPr>
          <w:rFonts w:ascii="Times New Roman" w:cs="Times New Roman" w:eastAsia="Times New Roman" w:hAnsi="Times New Roman"/>
          <w:sz w:val="18"/>
          <w:szCs w:val="18"/>
          <w:color w:val="auto"/>
        </w:rPr>
        <w:t>Depreciation of assets is calculated using the straight-line method to allocate the cost of the assets, net of their residual values, over the estimated useful life of each component of an item of buildings and plant and machinery as follows:</w:t>
      </w:r>
    </w:p>
    <w:p>
      <w:pPr>
        <w:sectPr>
          <w:pgSz w:w="11900" w:h="16838" w:orient="portrait"/>
          <w:cols w:equalWidth="0" w:num="1">
            <w:col w:w="11220"/>
          </w:cols>
          <w:pgMar w:left="320" w:top="121" w:right="359" w:bottom="1440" w:gutter="0" w:footer="0" w:header="0"/>
        </w:sectPr>
      </w:pP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w:t>
      </w:r>
    </w:p>
    <w:p>
      <w:pPr>
        <w:spacing w:after="0" w:line="3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Buildings and fixtures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Plant and machinery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 years</w:t>
      </w:r>
    </w:p>
    <w:p>
      <w:pPr>
        <w:spacing w:after="0" w:line="180" w:lineRule="exact"/>
        <w:rPr>
          <w:sz w:val="20"/>
          <w:szCs w:val="20"/>
          <w:color w:val="auto"/>
        </w:rPr>
      </w:pPr>
    </w:p>
    <w:p>
      <w:pPr>
        <w:sectPr>
          <w:pgSz w:w="11900" w:h="16838" w:orient="portrait"/>
          <w:cols w:equalWidth="0" w:num="3">
            <w:col w:w="1100" w:space="260"/>
            <w:col w:w="2720" w:space="720"/>
            <w:col w:w="6420"/>
          </w:cols>
          <w:pgMar w:left="320" w:top="121" w:right="3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The assets’ residual values and useful lives are assessed at the end of each reporting period and adjusted, if needed.</w:t>
      </w:r>
    </w:p>
    <w:p>
      <w:pPr>
        <w:spacing w:after="0" w:line="185" w:lineRule="exact"/>
        <w:rPr>
          <w:sz w:val="20"/>
          <w:szCs w:val="20"/>
          <w:color w:val="auto"/>
        </w:rPr>
      </w:pPr>
    </w:p>
    <w:p>
      <w:pPr>
        <w:ind w:right="660" w:firstLine="802"/>
        <w:spacing w:after="0" w:line="282" w:lineRule="auto"/>
        <w:rPr>
          <w:sz w:val="20"/>
          <w:szCs w:val="20"/>
          <w:color w:val="auto"/>
        </w:rPr>
      </w:pPr>
      <w:r>
        <w:rPr>
          <w:rFonts w:ascii="Times New Roman" w:cs="Times New Roman" w:eastAsia="Times New Roman" w:hAnsi="Times New Roman"/>
          <w:sz w:val="18"/>
          <w:szCs w:val="18"/>
          <w:color w:val="auto"/>
        </w:rPr>
        <w:t>Profit or loss from disposals is established through a comparison of the profit from sales and carrying value and is recognized in “Other operating income and expense” in the consolidated statement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non-financial assets</w:t>
      </w:r>
    </w:p>
    <w:p>
      <w:pPr>
        <w:spacing w:after="0" w:line="202" w:lineRule="exact"/>
        <w:rPr>
          <w:sz w:val="20"/>
          <w:szCs w:val="20"/>
          <w:color w:val="auto"/>
        </w:rPr>
      </w:pPr>
    </w:p>
    <w:p>
      <w:pPr>
        <w:ind w:right="40" w:firstLine="802"/>
        <w:spacing w:after="0" w:line="266" w:lineRule="auto"/>
        <w:rPr>
          <w:sz w:val="20"/>
          <w:szCs w:val="20"/>
          <w:color w:val="auto"/>
        </w:rPr>
      </w:pPr>
      <w:r>
        <w:rPr>
          <w:rFonts w:ascii="Times New Roman" w:cs="Times New Roman" w:eastAsia="Times New Roman" w:hAnsi="Times New Roman"/>
          <w:sz w:val="18"/>
          <w:szCs w:val="18"/>
          <w:color w:val="auto"/>
        </w:rPr>
        <w:t>Intangible assets that have an indefinite useful life (goodwill) or intangible assets not ready to use (capitalized expenditure for development) are not subject to amortization and are tested for impairment annually and when circumstances indicate that the carrying value may be impaired. Other assets are tested for impairment whenever events or changes in circumstances indicate that the carrying amount may not be recoverable.</w:t>
      </w:r>
    </w:p>
    <w:p>
      <w:pPr>
        <w:spacing w:after="0" w:line="176" w:lineRule="exact"/>
        <w:rPr>
          <w:sz w:val="20"/>
          <w:szCs w:val="20"/>
          <w:color w:val="auto"/>
        </w:rPr>
      </w:pPr>
    </w:p>
    <w:p>
      <w:pPr>
        <w:ind w:firstLine="802"/>
        <w:spacing w:after="0" w:line="261" w:lineRule="auto"/>
        <w:rPr>
          <w:sz w:val="20"/>
          <w:szCs w:val="20"/>
          <w:color w:val="auto"/>
        </w:rPr>
      </w:pPr>
      <w:r>
        <w:rPr>
          <w:rFonts w:ascii="Times New Roman" w:cs="Times New Roman" w:eastAsia="Times New Roman" w:hAnsi="Times New Roman"/>
          <w:sz w:val="18"/>
          <w:szCs w:val="18"/>
          <w:color w:val="auto"/>
        </w:rPr>
        <w:t>An impairment loss is recognized for the amount by which the asset’s carrying amount exceeds its recoverable amount. The recoverable amount is the higher of an asset’s fair value less costs of disposal and value in use. For the purposes of assessing impairment, assets are grouped at the lowest levels for which there are separately identifiable cash inflows, which are largely independent of the cash inflows from other assets or groups of assets (cash-generating units). Non-financial assets other than goodwill are reviewed for reversal of the impairment at the end of each reporting period.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Inventories</w:t>
      </w:r>
    </w:p>
    <w:p>
      <w:pPr>
        <w:spacing w:after="0" w:line="202" w:lineRule="exact"/>
        <w:rPr>
          <w:sz w:val="20"/>
          <w:szCs w:val="20"/>
          <w:color w:val="auto"/>
        </w:rPr>
      </w:pPr>
    </w:p>
    <w:p>
      <w:pPr>
        <w:ind w:right="60" w:firstLine="802"/>
        <w:spacing w:after="0" w:line="258" w:lineRule="auto"/>
        <w:rPr>
          <w:sz w:val="20"/>
          <w:szCs w:val="20"/>
          <w:color w:val="auto"/>
        </w:rPr>
      </w:pPr>
      <w:r>
        <w:rPr>
          <w:rFonts w:ascii="Times New Roman" w:cs="Times New Roman" w:eastAsia="Times New Roman" w:hAnsi="Times New Roman"/>
          <w:sz w:val="18"/>
          <w:szCs w:val="18"/>
          <w:color w:val="auto"/>
        </w:rPr>
        <w:t>Raw materials and finished goods are stated at the lower of cost and net realizable value. Costs consist of direct materials, direct labor and an appropriate proportion of variable and fixed overhead expenditure. Overhead expenditures are allocated on the basis of normal operating capacity. Costs of purchased inventory are determined after deducting rebates and discounts. Net realizable value is the estimated selling price in the ordinary course of business less the estimated costs of completion and the estimated costs necessary to make the sale. The Group reviews inventory quantities and records a provision for excess and obsolete inventory based primarily on demand and the age of the inventory, among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Financial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recognition</w:t>
      </w:r>
    </w:p>
    <w:p>
      <w:pPr>
        <w:spacing w:after="0" w:line="202" w:lineRule="exact"/>
        <w:rPr>
          <w:sz w:val="20"/>
          <w:szCs w:val="20"/>
          <w:color w:val="auto"/>
        </w:rPr>
      </w:pPr>
    </w:p>
    <w:p>
      <w:pPr>
        <w:jc w:val="both"/>
        <w:ind w:right="100" w:firstLine="802"/>
        <w:spacing w:after="0" w:line="266" w:lineRule="auto"/>
        <w:rPr>
          <w:sz w:val="20"/>
          <w:szCs w:val="20"/>
          <w:color w:val="auto"/>
        </w:rPr>
      </w:pPr>
      <w:r>
        <w:rPr>
          <w:rFonts w:ascii="Times New Roman" w:cs="Times New Roman" w:eastAsia="Times New Roman" w:hAnsi="Times New Roman"/>
          <w:sz w:val="18"/>
          <w:szCs w:val="18"/>
          <w:color w:val="auto"/>
        </w:rPr>
        <w:t>Purchases and sales of financial assets are recognized on trade date, being the date upon which the Group commits to purchase or sell the asset. Financial assets are derecognized when the rights to receive cash flows from the financial assets have expired or have been transferred, and the Group has transferred substantially all the risks and rewards of ownership.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assets—Classification and measurement</w:t>
      </w:r>
    </w:p>
    <w:p>
      <w:pPr>
        <w:spacing w:after="0" w:line="189" w:lineRule="exact"/>
        <w:rPr>
          <w:sz w:val="20"/>
          <w:szCs w:val="20"/>
          <w:color w:val="auto"/>
        </w:rPr>
      </w:pPr>
    </w:p>
    <w:p>
      <w:pPr>
        <w:jc w:val="both"/>
        <w:ind w:right="100" w:firstLine="802"/>
        <w:spacing w:after="0" w:line="282" w:lineRule="auto"/>
        <w:rPr>
          <w:sz w:val="20"/>
          <w:szCs w:val="20"/>
          <w:color w:val="auto"/>
        </w:rPr>
      </w:pPr>
      <w:r>
        <w:rPr>
          <w:rFonts w:ascii="Times New Roman" w:cs="Times New Roman" w:eastAsia="Times New Roman" w:hAnsi="Times New Roman"/>
          <w:sz w:val="18"/>
          <w:szCs w:val="18"/>
          <w:color w:val="auto"/>
        </w:rPr>
        <w:t>Financial assets include cash and cash equivalents, trade receivables, short-term investments, derivatives and other financial assets. The Group classifies its financial assets in the following measurement categories:</w:t>
      </w:r>
    </w:p>
    <w:p>
      <w:pPr>
        <w:spacing w:after="0" w:line="135" w:lineRule="exact"/>
        <w:rPr>
          <w:sz w:val="20"/>
          <w:szCs w:val="20"/>
          <w:color w:val="auto"/>
        </w:rPr>
      </w:pPr>
    </w:p>
    <w:p>
      <w:pPr>
        <w:ind w:left="1200" w:hanging="396"/>
        <w:spacing w:after="0"/>
        <w:tabs>
          <w:tab w:leader="none" w:pos="12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subsequently at fair value (either through other comprehensive loss or through profit or loss), and</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amortized cost.</w:t>
      </w:r>
    </w:p>
    <w:p>
      <w:pPr>
        <w:spacing w:after="0" w:line="212" w:lineRule="exact"/>
        <w:rPr>
          <w:sz w:val="20"/>
          <w:szCs w:val="20"/>
          <w:color w:val="auto"/>
        </w:rPr>
      </w:pPr>
    </w:p>
    <w:p>
      <w:pPr>
        <w:jc w:val="both"/>
        <w:ind w:right="60" w:firstLine="802"/>
        <w:spacing w:after="0" w:line="266" w:lineRule="auto"/>
        <w:rPr>
          <w:sz w:val="20"/>
          <w:szCs w:val="20"/>
          <w:color w:val="auto"/>
        </w:rPr>
      </w:pPr>
      <w:r>
        <w:rPr>
          <w:rFonts w:ascii="Times New Roman" w:cs="Times New Roman" w:eastAsia="Times New Roman" w:hAnsi="Times New Roman"/>
          <w:sz w:val="18"/>
          <w:szCs w:val="18"/>
          <w:color w:val="auto"/>
        </w:rPr>
        <w:t>The classification depends on the Group’s business model for managing the financial assets and contractual terms of the cash flows. For assets measured at fair value, gains and losses will either be recorded in profit or loss or other comprehensive loss. The Group reclassifies debt investments when and only when its business model for managing those assets changes.</w:t>
      </w:r>
    </w:p>
    <w:p>
      <w:pPr>
        <w:spacing w:after="0" w:line="135" w:lineRule="exact"/>
        <w:rPr>
          <w:sz w:val="20"/>
          <w:szCs w:val="20"/>
          <w:color w:val="auto"/>
        </w:rPr>
      </w:pPr>
    </w:p>
    <w:p>
      <w:pPr>
        <w:ind w:firstLine="802"/>
        <w:spacing w:after="0" w:line="266" w:lineRule="auto"/>
        <w:rPr>
          <w:sz w:val="20"/>
          <w:szCs w:val="20"/>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35" w:lineRule="exact"/>
        <w:rPr>
          <w:sz w:val="20"/>
          <w:szCs w:val="20"/>
          <w:color w:val="auto"/>
        </w:rPr>
      </w:pPr>
    </w:p>
    <w:p>
      <w:pPr>
        <w:ind w:firstLine="802"/>
        <w:spacing w:after="0" w:line="266" w:lineRule="auto"/>
        <w:rPr>
          <w:sz w:val="20"/>
          <w:szCs w:val="20"/>
          <w:color w:val="auto"/>
        </w:rPr>
      </w:pPr>
      <w:r>
        <w:rPr>
          <w:rFonts w:ascii="Times New Roman" w:cs="Times New Roman" w:eastAsia="Times New Roman" w:hAnsi="Times New Roman"/>
          <w:sz w:val="18"/>
          <w:szCs w:val="18"/>
          <w:color w:val="auto"/>
        </w:rPr>
        <w:t>Subsequent measurement of debt instruments depends on the Group’s business model for managing the asset and the cash flow characteristics of the asset. All debt instruments in the Group are measured at amortized cost. The Group’s financial assets measured at amortized cost consist of the items other non-current receivables, trade receivables, other current receivables and cash and cash equivalents.</w:t>
      </w:r>
    </w:p>
    <w:p>
      <w:pPr>
        <w:spacing w:after="0" w:line="149" w:lineRule="exact"/>
        <w:rPr>
          <w:sz w:val="20"/>
          <w:szCs w:val="20"/>
          <w:color w:val="auto"/>
        </w:rPr>
      </w:pPr>
    </w:p>
    <w:p>
      <w:pPr>
        <w:ind w:right="80" w:firstLine="802"/>
        <w:spacing w:after="0" w:line="261" w:lineRule="auto"/>
        <w:rPr>
          <w:sz w:val="20"/>
          <w:szCs w:val="20"/>
          <w:color w:val="auto"/>
        </w:rPr>
      </w:pPr>
      <w:r>
        <w:rPr>
          <w:rFonts w:ascii="Times New Roman" w:cs="Times New Roman" w:eastAsia="Times New Roman" w:hAnsi="Times New Roman"/>
          <w:sz w:val="18"/>
          <w:szCs w:val="18"/>
          <w:color w:val="auto"/>
        </w:rPr>
        <w:t>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operating income and expense net together with foreign exchange gains and losses.</w:t>
      </w:r>
    </w:p>
    <w:p>
      <w:pPr>
        <w:spacing w:after="0" w:line="139" w:lineRule="exact"/>
        <w:rPr>
          <w:sz w:val="20"/>
          <w:szCs w:val="20"/>
          <w:color w:val="auto"/>
        </w:rPr>
      </w:pPr>
    </w:p>
    <w:p>
      <w:pPr>
        <w:ind w:right="220" w:firstLine="802"/>
        <w:spacing w:after="0" w:line="282" w:lineRule="auto"/>
        <w:rPr>
          <w:sz w:val="20"/>
          <w:szCs w:val="20"/>
          <w:color w:val="auto"/>
        </w:rPr>
      </w:pPr>
      <w:r>
        <w:rPr>
          <w:rFonts w:ascii="Times New Roman" w:cs="Times New Roman" w:eastAsia="Times New Roman" w:hAnsi="Times New Roman"/>
          <w:sz w:val="18"/>
          <w:szCs w:val="18"/>
          <w:color w:val="auto"/>
        </w:rPr>
        <w:t>Fair value through profit or loss: Assets that are held primarily for the purpose to secure and increase value of the investments are included in the business model “Other”.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89" w:lineRule="exact"/>
        <w:rPr>
          <w:sz w:val="20"/>
          <w:szCs w:val="20"/>
          <w:color w:val="auto"/>
        </w:rPr>
      </w:pPr>
    </w:p>
    <w:p>
      <w:pPr>
        <w:ind w:right="280" w:firstLine="802"/>
        <w:spacing w:after="0" w:line="266" w:lineRule="auto"/>
        <w:rPr>
          <w:sz w:val="20"/>
          <w:szCs w:val="20"/>
          <w:color w:val="auto"/>
        </w:rPr>
      </w:pPr>
      <w:r>
        <w:rPr>
          <w:rFonts w:ascii="Times New Roman" w:cs="Times New Roman" w:eastAsia="Times New Roman" w:hAnsi="Times New Roman"/>
          <w:sz w:val="18"/>
          <w:szCs w:val="18"/>
          <w:color w:val="auto"/>
        </w:rPr>
        <w:t>Derivatives are initially recognized at the fair value on the date a derivative contract is entered into, and they are subsequently remeasured to their fair value at the end of each reporting period. Changes in the fair value are recognized in finance income or finance expenses in the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02" w:lineRule="exact"/>
        <w:rPr>
          <w:sz w:val="20"/>
          <w:szCs w:val="20"/>
          <w:color w:val="auto"/>
        </w:rPr>
      </w:pPr>
    </w:p>
    <w:p>
      <w:pPr>
        <w:ind w:right="340" w:firstLine="802"/>
        <w:spacing w:after="0" w:line="282" w:lineRule="auto"/>
        <w:rPr>
          <w:sz w:val="20"/>
          <w:szCs w:val="20"/>
          <w:color w:val="auto"/>
        </w:rPr>
      </w:pPr>
      <w:r>
        <w:rPr>
          <w:rFonts w:ascii="Times New Roman" w:cs="Times New Roman" w:eastAsia="Times New Roman" w:hAnsi="Times New Roman"/>
          <w:sz w:val="18"/>
          <w:szCs w:val="18"/>
          <w:color w:val="auto"/>
        </w:rPr>
        <w:t>Short-term investments are primarily comprised of funds and bonds carried at fair value through profit and loss. The primary purpose of the portfolio is to secure and increase value of the investments compared to keeping cash in bank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accounts, until cash is needed for other investments in the business, for example new production facilities. Based on the primary purpose of the portfolio and indicators identified in the IFRS 9 Financial Instruments test, the overall assessment is that the portfolio is the business model “Other”. The investments in the portfolio are therefore recognized at fair value through profit or loss and presented as short-term investments and cash and cash equivalents in the statement of financial position.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Derecognition of financial assets</w:t>
      </w:r>
    </w:p>
    <w:p>
      <w:pPr>
        <w:spacing w:after="0" w:line="189" w:lineRule="exact"/>
        <w:rPr>
          <w:sz w:val="20"/>
          <w:szCs w:val="20"/>
          <w:color w:val="auto"/>
        </w:rPr>
      </w:pPr>
    </w:p>
    <w:p>
      <w:pPr>
        <w:jc w:val="both"/>
        <w:ind w:firstLine="802"/>
        <w:spacing w:after="0" w:line="261" w:lineRule="auto"/>
        <w:rPr>
          <w:sz w:val="20"/>
          <w:szCs w:val="20"/>
          <w:color w:val="auto"/>
        </w:rPr>
      </w:pPr>
      <w:r>
        <w:rPr>
          <w:rFonts w:ascii="Times New Roman" w:cs="Times New Roman" w:eastAsia="Times New Roman" w:hAnsi="Times New Roman"/>
          <w:sz w:val="18"/>
          <w:szCs w:val="18"/>
          <w:color w:val="auto"/>
        </w:rPr>
        <w:t>Purchases and sales of financial instruments are reported on the trade date, that is, the date on which the Group commits itself to purchase or sell the asset. Financial assets are derecognized from the statement of financial position when the right to receive cash flows from the instrument has expired or been transferred, and the Group has, in all significant aspects, transferred all risk and benefits associated with the ownership. Profits and losses arising from derecognition from the statement of financial position are recognized directly in the statement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liabilities—Classification and measurement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amortized cost</w:t>
      </w:r>
    </w:p>
    <w:p>
      <w:pPr>
        <w:spacing w:after="0" w:line="187" w:lineRule="exact"/>
        <w:rPr>
          <w:sz w:val="20"/>
          <w:szCs w:val="20"/>
          <w:color w:val="auto"/>
        </w:rPr>
      </w:pPr>
    </w:p>
    <w:p>
      <w:pPr>
        <w:ind w:right="100" w:firstLine="802"/>
        <w:spacing w:after="0" w:line="282" w:lineRule="auto"/>
        <w:rPr>
          <w:sz w:val="20"/>
          <w:szCs w:val="20"/>
          <w:color w:val="auto"/>
        </w:rPr>
      </w:pPr>
      <w:r>
        <w:rPr>
          <w:rFonts w:ascii="Times New Roman" w:cs="Times New Roman" w:eastAsia="Times New Roman" w:hAnsi="Times New Roman"/>
          <w:sz w:val="18"/>
          <w:szCs w:val="18"/>
          <w:color w:val="auto"/>
        </w:rPr>
        <w:t>At initial recognition, the Group measures a financial liability at its fair value plus transaction costs that are directly attributable to the financial liability. After initial recognition, the majority of the Group’s financial liabilities are valued at amortized cost applying the effective interest method.</w:t>
      </w:r>
    </w:p>
    <w:p>
      <w:pPr>
        <w:spacing w:after="0" w:line="121" w:lineRule="exact"/>
        <w:rPr>
          <w:sz w:val="20"/>
          <w:szCs w:val="20"/>
          <w:color w:val="auto"/>
        </w:rPr>
      </w:pPr>
    </w:p>
    <w:p>
      <w:pPr>
        <w:ind w:right="280" w:firstLine="802"/>
        <w:spacing w:after="0" w:line="282" w:lineRule="auto"/>
        <w:rPr>
          <w:sz w:val="20"/>
          <w:szCs w:val="20"/>
          <w:color w:val="auto"/>
        </w:rPr>
      </w:pPr>
      <w:r>
        <w:rPr>
          <w:rFonts w:ascii="Times New Roman" w:cs="Times New Roman" w:eastAsia="Times New Roman" w:hAnsi="Times New Roman"/>
          <w:sz w:val="18"/>
          <w:szCs w:val="18"/>
          <w:color w:val="auto"/>
        </w:rPr>
        <w:t>The Group’s financial liabilities measured at amortized cost comprise liabilities to credit institutions, bank overdraft facilities, trade payables and accrued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fair value</w:t>
      </w:r>
    </w:p>
    <w:p>
      <w:pPr>
        <w:spacing w:after="0" w:line="187" w:lineRule="exact"/>
        <w:rPr>
          <w:sz w:val="20"/>
          <w:szCs w:val="20"/>
          <w:color w:val="auto"/>
        </w:rPr>
      </w:pPr>
    </w:p>
    <w:p>
      <w:pPr>
        <w:ind w:right="220" w:firstLine="802"/>
        <w:spacing w:after="0" w:line="282" w:lineRule="auto"/>
        <w:rPr>
          <w:sz w:val="20"/>
          <w:szCs w:val="20"/>
          <w:color w:val="auto"/>
        </w:rPr>
      </w:pPr>
      <w:r>
        <w:rPr>
          <w:rFonts w:ascii="Times New Roman" w:cs="Times New Roman" w:eastAsia="Times New Roman" w:hAnsi="Times New Roman"/>
          <w:sz w:val="18"/>
          <w:szCs w:val="18"/>
          <w:color w:val="auto"/>
        </w:rPr>
        <w:t>At initial recognition, the Group measures a financial liability at its fair value. Transaction costs of financial liabilities carried at fair value are expensed in the consolidated statement of operations.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Group’s financial liabilities at fair value comprise a contingent consideration that was settled during 2019. For more information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Derecognition of financial liabilities</w:t>
      </w:r>
    </w:p>
    <w:p>
      <w:pPr>
        <w:spacing w:after="0" w:line="189" w:lineRule="exact"/>
        <w:rPr>
          <w:sz w:val="20"/>
          <w:szCs w:val="20"/>
          <w:color w:val="auto"/>
        </w:rPr>
      </w:pPr>
    </w:p>
    <w:p>
      <w:pPr>
        <w:jc w:val="both"/>
        <w:ind w:right="120" w:firstLine="802"/>
        <w:spacing w:after="0" w:line="266" w:lineRule="auto"/>
        <w:rPr>
          <w:sz w:val="20"/>
          <w:szCs w:val="20"/>
          <w:color w:val="auto"/>
        </w:rPr>
      </w:pPr>
      <w:r>
        <w:rPr>
          <w:rFonts w:ascii="Times New Roman" w:cs="Times New Roman" w:eastAsia="Times New Roman" w:hAnsi="Times New Roman"/>
          <w:sz w:val="18"/>
          <w:szCs w:val="18"/>
          <w:color w:val="auto"/>
        </w:rPr>
        <w:t>Financial liabilities are derecognized from the statement of financial position when the obligations are settled, cancelled or have expired in any other way. The difference between the carrying value of a financial liability that has been extinguished or transferred to another party and the fee paid are reported in the consolidated statement of operations.</w:t>
      </w:r>
    </w:p>
    <w:p>
      <w:pPr>
        <w:spacing w:after="0" w:line="135" w:lineRule="exact"/>
        <w:rPr>
          <w:sz w:val="20"/>
          <w:szCs w:val="20"/>
          <w:color w:val="auto"/>
        </w:rPr>
      </w:pPr>
    </w:p>
    <w:p>
      <w:pPr>
        <w:ind w:right="20" w:firstLine="802"/>
        <w:spacing w:after="0" w:line="266" w:lineRule="auto"/>
        <w:rPr>
          <w:sz w:val="20"/>
          <w:szCs w:val="20"/>
          <w:color w:val="auto"/>
        </w:rPr>
      </w:pPr>
      <w:r>
        <w:rPr>
          <w:rFonts w:ascii="Times New Roman" w:cs="Times New Roman" w:eastAsia="Times New Roman" w:hAnsi="Times New Roman"/>
          <w:sz w:val="18"/>
          <w:szCs w:val="18"/>
          <w:color w:val="auto"/>
        </w:rPr>
        <w:t>When the terms and conditions of a financial liability are renegotiated and are not derecognized from the statement of financial position, a profit or loss is reported in the consolidated statement of operations. The profit or loss is calculated as the difference between the original contractual cash flows and the modified cash flows discounted at the original effective interest 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of financial instruments</w:t>
      </w:r>
    </w:p>
    <w:p>
      <w:pPr>
        <w:spacing w:after="0" w:line="189" w:lineRule="exact"/>
        <w:rPr>
          <w:sz w:val="20"/>
          <w:szCs w:val="20"/>
          <w:color w:val="auto"/>
        </w:rPr>
      </w:pPr>
    </w:p>
    <w:p>
      <w:pPr>
        <w:ind w:right="120" w:firstLine="802"/>
        <w:spacing w:after="0" w:line="312" w:lineRule="auto"/>
        <w:rPr>
          <w:sz w:val="20"/>
          <w:szCs w:val="20"/>
          <w:color w:val="auto"/>
        </w:rPr>
      </w:pPr>
      <w:r>
        <w:rPr>
          <w:rFonts w:ascii="Times New Roman" w:cs="Times New Roman" w:eastAsia="Times New Roman" w:hAnsi="Times New Roman"/>
          <w:sz w:val="17"/>
          <w:szCs w:val="17"/>
          <w:color w:val="auto"/>
        </w:rPr>
        <w:t>Financial assets and liabilities are offset and recognized with a net amount in the statement of financial position only when there is a legal right to offset the recognized amounts and an intention to balance the items with a net amount or to simultaneously realize the asset and settle the liability.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financial assets recognized at amortized cost</w:t>
      </w:r>
    </w:p>
    <w:p>
      <w:pPr>
        <w:spacing w:after="0" w:line="189" w:lineRule="exact"/>
        <w:rPr>
          <w:sz w:val="20"/>
          <w:szCs w:val="20"/>
          <w:color w:val="auto"/>
        </w:rPr>
      </w:pPr>
    </w:p>
    <w:p>
      <w:pPr>
        <w:ind w:right="260" w:firstLine="802"/>
        <w:spacing w:after="0" w:line="282"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losses associated with its debt instruments carried at amortized cost. The impairment methodology applied depends on whether there has been a significant increase in credit risk.</w:t>
      </w:r>
    </w:p>
    <w:p>
      <w:pPr>
        <w:spacing w:after="0" w:line="135" w:lineRule="exact"/>
        <w:rPr>
          <w:sz w:val="20"/>
          <w:szCs w:val="20"/>
          <w:color w:val="auto"/>
        </w:rPr>
      </w:pPr>
    </w:p>
    <w:p>
      <w:pPr>
        <w:ind w:right="280" w:firstLine="802"/>
        <w:spacing w:after="0" w:line="282" w:lineRule="auto"/>
        <w:rPr>
          <w:sz w:val="20"/>
          <w:szCs w:val="20"/>
          <w:color w:val="auto"/>
        </w:rPr>
      </w:pPr>
      <w:r>
        <w:rPr>
          <w:rFonts w:ascii="Times New Roman" w:cs="Times New Roman" w:eastAsia="Times New Roman" w:hAnsi="Times New Roman"/>
          <w:sz w:val="18"/>
          <w:szCs w:val="18"/>
          <w:color w:val="auto"/>
        </w:rPr>
        <w:t>For trade receivables, the Group applies the simplified approach, i.e., the reserve will correspond to the expected loss over the lifetime of the trade receivables. In order to measure the expected credit losses, trade receivables have been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grouped based on days past due. The Group applies forward-looking variables for expected credit losses. Expected credit losses are recognized in the consolidated statement of operations, in selling, general and administration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Trade receivables</w:t>
      </w:r>
    </w:p>
    <w:p>
      <w:pPr>
        <w:spacing w:after="0" w:line="189" w:lineRule="exact"/>
        <w:rPr>
          <w:sz w:val="20"/>
          <w:szCs w:val="20"/>
          <w:color w:val="auto"/>
        </w:rPr>
      </w:pPr>
    </w:p>
    <w:p>
      <w:pPr>
        <w:jc w:val="both"/>
        <w:ind w:right="620" w:firstLine="802"/>
        <w:spacing w:after="0" w:line="266" w:lineRule="auto"/>
        <w:rPr>
          <w:sz w:val="20"/>
          <w:szCs w:val="20"/>
          <w:color w:val="auto"/>
        </w:rPr>
      </w:pPr>
      <w:r>
        <w:rPr>
          <w:rFonts w:ascii="Times New Roman" w:cs="Times New Roman" w:eastAsia="Times New Roman" w:hAnsi="Times New Roman"/>
          <w:sz w:val="18"/>
          <w:szCs w:val="18"/>
          <w:color w:val="auto"/>
        </w:rPr>
        <w:t>Trade receivables are recognized initially at the amount of consideration that is unconditional, unless they contain significant financing components when they are recognized at fair value. They are subsequently measured at amortized cost using the effective interest rate method, less allowance for expected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Cash and cash equivalents</w:t>
      </w:r>
    </w:p>
    <w:p>
      <w:pPr>
        <w:spacing w:after="0" w:line="202" w:lineRule="exact"/>
        <w:rPr>
          <w:sz w:val="20"/>
          <w:szCs w:val="20"/>
          <w:color w:val="auto"/>
        </w:rPr>
      </w:pPr>
    </w:p>
    <w:p>
      <w:pPr>
        <w:ind w:firstLine="802"/>
        <w:spacing w:after="0" w:line="282" w:lineRule="auto"/>
        <w:rPr>
          <w:sz w:val="20"/>
          <w:szCs w:val="20"/>
          <w:color w:val="auto"/>
        </w:rPr>
      </w:pPr>
      <w:r>
        <w:rPr>
          <w:rFonts w:ascii="Times New Roman" w:cs="Times New Roman" w:eastAsia="Times New Roman" w:hAnsi="Times New Roman"/>
          <w:sz w:val="18"/>
          <w:szCs w:val="18"/>
          <w:color w:val="auto"/>
        </w:rPr>
        <w:t>For the purpose of presentation in the consolidated statement of cash flows, cash and cash equivalents include cash on hand, deposits held at call with financial institutions. Bank overdrafts are shown within liabilities to credit institutions in current liabilities in the statement of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Share capital</w:t>
      </w:r>
    </w:p>
    <w:p>
      <w:pPr>
        <w:spacing w:after="0" w:line="189" w:lineRule="exact"/>
        <w:rPr>
          <w:sz w:val="20"/>
          <w:szCs w:val="20"/>
          <w:color w:val="auto"/>
        </w:rPr>
      </w:pPr>
    </w:p>
    <w:p>
      <w:pPr>
        <w:ind w:right="60" w:firstLine="802"/>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are shown in equity as a deduction, net of tax, from the proceeds.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Liabilities to credit institutions</w:t>
      </w:r>
    </w:p>
    <w:p>
      <w:pPr>
        <w:spacing w:after="0" w:line="189" w:lineRule="exact"/>
        <w:rPr>
          <w:sz w:val="20"/>
          <w:szCs w:val="20"/>
          <w:color w:val="auto"/>
        </w:rPr>
      </w:pPr>
    </w:p>
    <w:p>
      <w:pPr>
        <w:ind w:firstLine="802"/>
        <w:spacing w:after="0" w:line="256" w:lineRule="auto"/>
        <w:rPr>
          <w:sz w:val="20"/>
          <w:szCs w:val="20"/>
          <w:color w:val="auto"/>
        </w:rPr>
      </w:pPr>
      <w:r>
        <w:rPr>
          <w:rFonts w:ascii="Times New Roman" w:cs="Times New Roman" w:eastAsia="Times New Roman" w:hAnsi="Times New Roman"/>
          <w:sz w:val="18"/>
          <w:szCs w:val="18"/>
          <w:color w:val="auto"/>
        </w:rPr>
        <w:t>Liabilities to credit institutions are initially recognized at fair value, net of transaction costs incurred. Liabilities to credit institutions are subsequently measured at amortized cost. Any difference between the proceeds (net of transaction costs) and the redemption amount is recognized in profit or loss over the period of the liabilities to credit institutions using the effective interest method. Fees paid on the establishment of loan facilities are recognized as transaction costs of the loan to the extent that it is probable that some or all of the facility will be drawn down. In this case, the fee is deferred until the draw-down occurs. To the extent there is no evidence that it is probable that some or all of the facility will be drawn down, the fee is capitalized as a prepayment for liquidity services and amortized over the period of the facility to which it relates.</w:t>
      </w:r>
    </w:p>
    <w:p>
      <w:pPr>
        <w:spacing w:after="0" w:line="147" w:lineRule="exact"/>
        <w:rPr>
          <w:sz w:val="20"/>
          <w:szCs w:val="20"/>
          <w:color w:val="auto"/>
        </w:rPr>
      </w:pPr>
    </w:p>
    <w:p>
      <w:pPr>
        <w:ind w:right="60" w:firstLine="802"/>
        <w:spacing w:after="0" w:line="282" w:lineRule="auto"/>
        <w:rPr>
          <w:sz w:val="20"/>
          <w:szCs w:val="20"/>
          <w:color w:val="auto"/>
        </w:rPr>
      </w:pPr>
      <w:r>
        <w:rPr>
          <w:rFonts w:ascii="Times New Roman" w:cs="Times New Roman" w:eastAsia="Times New Roman" w:hAnsi="Times New Roman"/>
          <w:sz w:val="18"/>
          <w:szCs w:val="18"/>
          <w:color w:val="auto"/>
        </w:rPr>
        <w:t>Liabilities to credit institutions are classified as current liabilities, unless the Group has an unconditional right to defer settlement of the liability for at least 12 months after the reporting period.</w:t>
      </w:r>
    </w:p>
    <w:p>
      <w:pPr>
        <w:spacing w:after="0" w:line="135" w:lineRule="exact"/>
        <w:rPr>
          <w:sz w:val="20"/>
          <w:szCs w:val="20"/>
          <w:color w:val="auto"/>
        </w:rPr>
      </w:pPr>
    </w:p>
    <w:p>
      <w:pPr>
        <w:ind w:right="180" w:firstLine="802"/>
        <w:spacing w:after="0" w:line="258" w:lineRule="auto"/>
        <w:rPr>
          <w:sz w:val="20"/>
          <w:szCs w:val="20"/>
          <w:color w:val="auto"/>
        </w:rPr>
      </w:pPr>
      <w:r>
        <w:rPr>
          <w:rFonts w:ascii="Times New Roman" w:cs="Times New Roman" w:eastAsia="Times New Roman" w:hAnsi="Times New Roman"/>
          <w:sz w:val="18"/>
          <w:szCs w:val="18"/>
          <w:color w:val="auto"/>
        </w:rPr>
        <w:t>General and specific borrowing costs that are directly attributable to the acquisition, construction or production of a qualifying asset are capitalized during the period of time that is required to complete and prepare the asset for its intended use or sale. Qualifying assets are assets that necessarily take a substantial period of time to get ready for their intended use or sale. Investment income earned on the temporary investment of specific borrowings, pending their expenditure on qualifying assets, is deducted from the borrowing costs eligible for capitalization. Other borrowing costs are expensed in the period in which they are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Provisions</w:t>
      </w:r>
    </w:p>
    <w:p>
      <w:pPr>
        <w:spacing w:after="0" w:line="189" w:lineRule="exact"/>
        <w:rPr>
          <w:sz w:val="20"/>
          <w:szCs w:val="20"/>
          <w:color w:val="auto"/>
        </w:rPr>
      </w:pPr>
    </w:p>
    <w:p>
      <w:pPr>
        <w:ind w:right="300" w:firstLine="802"/>
        <w:spacing w:after="0" w:line="266" w:lineRule="auto"/>
        <w:rPr>
          <w:sz w:val="20"/>
          <w:szCs w:val="20"/>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and it is probable that an outflow of resources embodying economic benefits will be required to settle the obligation, and a reliable estimate can be made of the amount of the obligation. The expense relating to a provision is presented in the statement of operations net of any reimbursement.</w:t>
      </w:r>
    </w:p>
    <w:p>
      <w:pPr>
        <w:spacing w:after="0" w:line="149" w:lineRule="exact"/>
        <w:rPr>
          <w:sz w:val="20"/>
          <w:szCs w:val="20"/>
          <w:color w:val="auto"/>
        </w:rPr>
      </w:pPr>
    </w:p>
    <w:p>
      <w:pPr>
        <w:ind w:right="340" w:firstLine="802"/>
        <w:spacing w:after="0" w:line="282" w:lineRule="auto"/>
        <w:rPr>
          <w:sz w:val="20"/>
          <w:szCs w:val="20"/>
          <w:color w:val="auto"/>
        </w:rPr>
      </w:pPr>
      <w:r>
        <w:rPr>
          <w:rFonts w:ascii="Times New Roman" w:cs="Times New Roman" w:eastAsia="Times New Roman" w:hAnsi="Times New Roman"/>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restoration costs</w:t>
      </w:r>
    </w:p>
    <w:p>
      <w:pPr>
        <w:spacing w:after="0" w:line="189" w:lineRule="exact"/>
        <w:rPr>
          <w:sz w:val="20"/>
          <w:szCs w:val="20"/>
          <w:color w:val="auto"/>
        </w:rPr>
      </w:pPr>
    </w:p>
    <w:p>
      <w:pPr>
        <w:ind w:right="120" w:firstLine="802"/>
        <w:spacing w:after="0" w:line="258" w:lineRule="auto"/>
        <w:rPr>
          <w:sz w:val="20"/>
          <w:szCs w:val="20"/>
          <w:color w:val="auto"/>
        </w:rPr>
      </w:pPr>
      <w:r>
        <w:rPr>
          <w:rFonts w:ascii="Times New Roman" w:cs="Times New Roman" w:eastAsia="Times New Roman" w:hAnsi="Times New Roman"/>
          <w:sz w:val="18"/>
          <w:szCs w:val="18"/>
          <w:color w:val="auto"/>
        </w:rPr>
        <w:t>The Group recognizes provisions for restoration costs of leased manufacturing facilities. Restoration costs are provided for at the present value of expected costs to settle the obligation using estimated cash flows and are recognized as part of the cost of the relevant asset. The cash flows are discounted at a current pre-tax rate that reflects the risks specific to the liability for the restoration costs. The unwinding of the discount is expensed as incurred and recognized in the statement of operations as a finance cost. The estimated future costs of the restorations are reviewed annually and adjusted as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Changes in the estimated future costs, or in the discount rate applied, are added to, or deducted from the cost of the asset.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Employee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benefits to employees</w:t>
      </w:r>
    </w:p>
    <w:p>
      <w:pPr>
        <w:spacing w:after="0" w:line="189" w:lineRule="exact"/>
        <w:rPr>
          <w:sz w:val="20"/>
          <w:szCs w:val="20"/>
          <w:color w:val="auto"/>
        </w:rPr>
      </w:pPr>
    </w:p>
    <w:p>
      <w:pPr>
        <w:ind w:firstLine="802"/>
        <w:spacing w:after="0" w:line="261" w:lineRule="auto"/>
        <w:rPr>
          <w:sz w:val="20"/>
          <w:szCs w:val="20"/>
          <w:color w:val="auto"/>
        </w:rPr>
      </w:pPr>
      <w:r>
        <w:rPr>
          <w:rFonts w:ascii="Times New Roman" w:cs="Times New Roman" w:eastAsia="Times New Roman" w:hAnsi="Times New Roman"/>
          <w:sz w:val="18"/>
          <w:szCs w:val="18"/>
          <w:color w:val="auto"/>
        </w:rPr>
        <w:t>Liabilities for wages and salaries, annual leave and accumulating sick leave that are expected to be settled wholly within 12 months after the end of the period in which the employees render the related services are recognized in respect of employees’ services up to the end of the reporting period, and they are measured at the amounts expected to be paid when the liabilities are settled. The liabilities are presented as accrued expenses in the statement of financial position.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Post-employment obligations</w:t>
      </w:r>
    </w:p>
    <w:p>
      <w:pPr>
        <w:spacing w:after="0" w:line="189" w:lineRule="exact"/>
        <w:rPr>
          <w:sz w:val="20"/>
          <w:szCs w:val="20"/>
          <w:color w:val="auto"/>
        </w:rPr>
      </w:pPr>
    </w:p>
    <w:p>
      <w:pPr>
        <w:ind w:right="20" w:firstLine="802"/>
        <w:spacing w:after="0" w:line="261" w:lineRule="auto"/>
        <w:rPr>
          <w:sz w:val="20"/>
          <w:szCs w:val="20"/>
          <w:color w:val="auto"/>
        </w:rPr>
      </w:pPr>
      <w:r>
        <w:rPr>
          <w:rFonts w:ascii="Times New Roman" w:cs="Times New Roman" w:eastAsia="Times New Roman" w:hAnsi="Times New Roman"/>
          <w:sz w:val="18"/>
          <w:szCs w:val="18"/>
          <w:color w:val="auto"/>
        </w:rPr>
        <w:t>Within the Group, there are defined-contribution plans. A defined-contribution plan is a pension plan according to which the Group pays a fixed amount to a separate legal entity. The Group has no legal or constructive obligation to pay additional premiums if this legal entity does not have adequate means to pay all benefits to employees, attributable to their service in current or previous periods. The premiums are reported as costs in the consolidated statement of operations when they fall due.</w:t>
      </w:r>
    </w:p>
    <w:p>
      <w:pPr>
        <w:spacing w:after="0" w:line="139" w:lineRule="exact"/>
        <w:rPr>
          <w:sz w:val="20"/>
          <w:szCs w:val="20"/>
          <w:color w:val="auto"/>
        </w:rPr>
      </w:pPr>
    </w:p>
    <w:p>
      <w:pPr>
        <w:ind w:right="60" w:firstLine="802"/>
        <w:spacing w:after="0" w:line="253" w:lineRule="auto"/>
        <w:rPr>
          <w:sz w:val="20"/>
          <w:szCs w:val="20"/>
          <w:color w:val="auto"/>
        </w:rPr>
      </w:pPr>
      <w:r>
        <w:rPr>
          <w:rFonts w:ascii="Times New Roman" w:cs="Times New Roman" w:eastAsia="Times New Roman" w:hAnsi="Times New Roman"/>
          <w:sz w:val="18"/>
          <w:szCs w:val="18"/>
          <w:color w:val="auto"/>
        </w:rPr>
        <w:t xml:space="preserve">The Swedish Financial Reporting Board is a private sector body in Sweden with the authority to develop interpretations of IFRS Standards for consolidated financial statements for issues that are very specific to the Swedish environment, for example, UFR 10 </w:t>
      </w:r>
      <w:r>
        <w:rPr>
          <w:rFonts w:ascii="Times New Roman" w:cs="Times New Roman" w:eastAsia="Times New Roman" w:hAnsi="Times New Roman"/>
          <w:sz w:val="18"/>
          <w:szCs w:val="18"/>
          <w:i w:val="1"/>
          <w:iCs w:val="1"/>
          <w:color w:val="auto"/>
        </w:rPr>
        <w:t>Accounting for the pension plan ITP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financed through an insurance in Alecta</w:t>
      </w:r>
      <w:r>
        <w:rPr>
          <w:rFonts w:ascii="Times New Roman" w:cs="Times New Roman" w:eastAsia="Times New Roman" w:hAnsi="Times New Roman"/>
          <w:sz w:val="18"/>
          <w:szCs w:val="18"/>
          <w:color w:val="auto"/>
        </w:rPr>
        <w:t>. The Group’s pension obligations for certain employees in Sweden, which are secured through an insurance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Alecta, are reported as a defined contribution plan. According to UFR 10, this is a defined benefit multi-employer plan. For the financial year 2021, the Group has not had access to information in order to be able to report its proportional share of the obligations of the plan, plan assets and costs and therefore, it has not been possible to recognize the plan as a defined benefit plan. The ITP 2 pension plan, secured through an insurance with Alecta, is therefore reported as a defined contribution plan. The premium of the defined contributions plan for retirement pensions and survivor’s pension is calculated individually and is, among other factors, based on salary, previously earned pension and expected remaining years of service. Expected premiums for the next reporting period for ITP 2 insurances signed with Alecta is $2.5 million. Premiums for the year ended December 31, 2021 for ITP 2 insurances signed with Alecta amounted to $1.7 million.</w:t>
      </w:r>
    </w:p>
    <w:p>
      <w:pPr>
        <w:spacing w:after="0" w:line="194" w:lineRule="exact"/>
        <w:rPr>
          <w:sz w:val="20"/>
          <w:szCs w:val="20"/>
          <w:color w:val="auto"/>
        </w:rPr>
      </w:pPr>
    </w:p>
    <w:p>
      <w:pPr>
        <w:ind w:right="60" w:firstLine="802"/>
        <w:spacing w:after="0" w:line="256" w:lineRule="auto"/>
        <w:rPr>
          <w:sz w:val="20"/>
          <w:szCs w:val="20"/>
          <w:color w:val="auto"/>
        </w:rPr>
      </w:pPr>
      <w:r>
        <w:rPr>
          <w:rFonts w:ascii="Times New Roman" w:cs="Times New Roman" w:eastAsia="Times New Roman" w:hAnsi="Times New Roman"/>
          <w:sz w:val="18"/>
          <w:szCs w:val="18"/>
          <w:color w:val="auto"/>
        </w:rPr>
        <w:t>The collective consolidation level comprises the market value of Alecta’s assets as a percentage of the insurance obligations in accordance with Alecta’s actuarial methods and assessments. The collective consolidation level should normally be allowed to vary between 125% and 175%. If Alecta’s collective consolidation level falls below 125% or exceeds 175%, measure should be taken in order for the consolidation level to return to the normal interval. At a low consolidation, one measure might be to increase the price when signing new insurance agreements and an expansion of existing benefits. At a high level of consolidation, one measure might be to introduce lower premiums. At the end of the financial year 2021, Alecta’s surplus of the collective consolidation level was 172%.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payments—equity settled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options (ESOP) and Restricted Stock Units (RSU) (2021)</w:t>
      </w:r>
    </w:p>
    <w:p>
      <w:pPr>
        <w:spacing w:after="0" w:line="227" w:lineRule="exact"/>
        <w:rPr>
          <w:sz w:val="20"/>
          <w:szCs w:val="20"/>
          <w:color w:val="auto"/>
        </w:rPr>
      </w:pPr>
    </w:p>
    <w:p>
      <w:pPr>
        <w:ind w:right="380" w:firstLine="802"/>
        <w:spacing w:after="0" w:line="282" w:lineRule="auto"/>
        <w:rPr>
          <w:sz w:val="20"/>
          <w:szCs w:val="20"/>
          <w:color w:val="auto"/>
        </w:rPr>
      </w:pPr>
      <w:r>
        <w:rPr>
          <w:rFonts w:ascii="Times New Roman" w:cs="Times New Roman" w:eastAsia="Times New Roman" w:hAnsi="Times New Roman"/>
          <w:sz w:val="18"/>
          <w:szCs w:val="18"/>
          <w:color w:val="auto"/>
        </w:rPr>
        <w:t>For share-based payment schemes, the fair value of the instruments granted are established at the grant date and recognized as an employee benefits expense, with a corresponding increase in equity.</w:t>
      </w:r>
    </w:p>
    <w:p>
      <w:pPr>
        <w:spacing w:after="0" w:line="162" w:lineRule="exact"/>
        <w:rPr>
          <w:sz w:val="20"/>
          <w:szCs w:val="20"/>
          <w:color w:val="auto"/>
        </w:rPr>
      </w:pPr>
    </w:p>
    <w:p>
      <w:pPr>
        <w:ind w:right="460" w:firstLine="802"/>
        <w:spacing w:after="0" w:line="282" w:lineRule="auto"/>
        <w:rPr>
          <w:sz w:val="20"/>
          <w:szCs w:val="20"/>
          <w:color w:val="auto"/>
        </w:rPr>
      </w:pPr>
      <w:r>
        <w:rPr>
          <w:rFonts w:ascii="Times New Roman" w:cs="Times New Roman" w:eastAsia="Times New Roman" w:hAnsi="Times New Roman"/>
          <w:sz w:val="18"/>
          <w:szCs w:val="18"/>
          <w:color w:val="auto"/>
        </w:rPr>
        <w:t>The fair value of ESOPs at grant date has been established by using the Black-Scholes option pricing model and input data in the model is disclosed in Note 8.</w:t>
      </w:r>
    </w:p>
    <w:p>
      <w:pPr>
        <w:spacing w:after="0" w:line="162" w:lineRule="exact"/>
        <w:rPr>
          <w:sz w:val="20"/>
          <w:szCs w:val="20"/>
          <w:color w:val="auto"/>
        </w:rPr>
      </w:pPr>
    </w:p>
    <w:p>
      <w:pPr>
        <w:ind w:right="20" w:firstLine="802"/>
        <w:spacing w:after="0" w:line="258" w:lineRule="auto"/>
        <w:rPr>
          <w:sz w:val="20"/>
          <w:szCs w:val="20"/>
          <w:color w:val="auto"/>
        </w:rPr>
      </w:pPr>
      <w:r>
        <w:rPr>
          <w:rFonts w:ascii="Times New Roman" w:cs="Times New Roman" w:eastAsia="Times New Roman" w:hAnsi="Times New Roman"/>
          <w:sz w:val="18"/>
          <w:szCs w:val="18"/>
          <w:color w:val="auto"/>
        </w:rPr>
        <w:t>The awards only have a service condition whereby the awards vest in 12-month installments over 36 months. Each of the instalments are treated as separate awards which are expensed on a linear basis for each instalment period i.e., 12 months, 24 months, and 36 months; this will result in a front-loaded IFRS 2 charge. At the end of each period, the entity revises its estimates of the number of instruments that are expected to vest based on the service conditions. It recognizes the impact of the revision to original estimates, if any, in profit or loss, with a corresponding adjustment to retained earnings within equity.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Warrants (2016-2020)</w:t>
      </w:r>
    </w:p>
    <w:p>
      <w:pPr>
        <w:spacing w:after="0" w:line="227" w:lineRule="exact"/>
        <w:rPr>
          <w:sz w:val="20"/>
          <w:szCs w:val="20"/>
          <w:color w:val="auto"/>
        </w:rPr>
      </w:pPr>
    </w:p>
    <w:p>
      <w:pPr>
        <w:ind w:right="180" w:firstLine="802"/>
        <w:spacing w:after="0" w:line="282" w:lineRule="auto"/>
        <w:rPr>
          <w:sz w:val="20"/>
          <w:szCs w:val="20"/>
          <w:color w:val="auto"/>
        </w:rPr>
      </w:pPr>
      <w:r>
        <w:rPr>
          <w:rFonts w:ascii="Times New Roman" w:cs="Times New Roman" w:eastAsia="Times New Roman" w:hAnsi="Times New Roman"/>
          <w:sz w:val="18"/>
          <w:szCs w:val="18"/>
          <w:color w:val="231F20"/>
        </w:rPr>
        <w:t>The Group grants warrants to certain employees in exchange for payments equal, or at a discount, to the fair value estimated using the Black-Scholes option pricing model as of the grant date.</w:t>
      </w:r>
    </w:p>
    <w:p>
      <w:pPr>
        <w:spacing w:after="0" w:line="162" w:lineRule="exact"/>
        <w:rPr>
          <w:sz w:val="20"/>
          <w:szCs w:val="20"/>
          <w:color w:val="auto"/>
        </w:rPr>
      </w:pPr>
    </w:p>
    <w:p>
      <w:pPr>
        <w:ind w:right="340" w:firstLine="802"/>
        <w:spacing w:after="0" w:line="282" w:lineRule="auto"/>
        <w:rPr>
          <w:sz w:val="20"/>
          <w:szCs w:val="20"/>
          <w:color w:val="auto"/>
        </w:rPr>
      </w:pPr>
      <w:r>
        <w:rPr>
          <w:rFonts w:ascii="Times New Roman" w:cs="Times New Roman" w:eastAsia="Times New Roman" w:hAnsi="Times New Roman"/>
          <w:sz w:val="18"/>
          <w:szCs w:val="18"/>
          <w:color w:val="231F20"/>
        </w:rPr>
        <w:t>Warrants are accounted for as equity settled share-based payments, proceeds are recognized in equity and share-based payments expense is recognized in situations where warrants are granted at a discount to grant date fair value.</w:t>
      </w:r>
    </w:p>
    <w:p>
      <w:pPr>
        <w:spacing w:after="0" w:line="1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231F20"/>
        </w:rPr>
        <w:t>There are no service conditions, and share-based payments expense is recognized immediately upon grant date or employment commencement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231F20"/>
        </w:rPr>
        <w:t>For further information on share-based payments, see Note 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Loss per share</w:t>
      </w:r>
    </w:p>
    <w:p>
      <w:pPr>
        <w:spacing w:after="0" w:line="202" w:lineRule="exact"/>
        <w:rPr>
          <w:sz w:val="20"/>
          <w:szCs w:val="20"/>
          <w:color w:val="auto"/>
        </w:rPr>
      </w:pPr>
    </w:p>
    <w:p>
      <w:pPr>
        <w:ind w:right="180" w:firstLine="802"/>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by dividing the loss after tax by the weighted average number of ordinary shares outstanding for the period. Diluted loss per share is computed using the treasury stock method to the extent that the effect is dilutive by using the weighted-average number of outstanding ordinary shares and potential ordinary shares during the period. The Group’s potential ordinary shares consist of incremental shares issuable upon the assumed exercise of warrants, excluding all anti-dilutive ordinary shares outstanding during the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Initial public offering costs</w:t>
      </w:r>
    </w:p>
    <w:p>
      <w:pPr>
        <w:spacing w:after="0" w:line="189" w:lineRule="exact"/>
        <w:rPr>
          <w:sz w:val="20"/>
          <w:szCs w:val="20"/>
          <w:color w:val="auto"/>
        </w:rPr>
      </w:pPr>
    </w:p>
    <w:p>
      <w:pPr>
        <w:ind w:right="140" w:firstLine="802"/>
        <w:spacing w:after="0" w:line="266" w:lineRule="auto"/>
        <w:rPr>
          <w:sz w:val="20"/>
          <w:szCs w:val="20"/>
          <w:color w:val="auto"/>
        </w:rPr>
      </w:pPr>
      <w:r>
        <w:rPr>
          <w:rFonts w:ascii="Times New Roman" w:cs="Times New Roman" w:eastAsia="Times New Roman" w:hAnsi="Times New Roman"/>
          <w:sz w:val="18"/>
          <w:szCs w:val="18"/>
          <w:color w:val="auto"/>
        </w:rPr>
        <w:t>The initial public offering (“IPO”) costs for the Group involved costs both for issuing new shares and the listing of existing shares/ADS and were recorded within prepaid expenses in the statement of financial position and were accounted for as a reduction of equity since they were incremental costs that were directly attributable to issuing new shares (net of any income tax benefit) when the IPO occurred.</w:t>
      </w:r>
    </w:p>
    <w:p>
      <w:pPr>
        <w:spacing w:after="0" w:line="145" w:lineRule="exact"/>
        <w:rPr>
          <w:sz w:val="20"/>
          <w:szCs w:val="20"/>
          <w:color w:val="auto"/>
        </w:rPr>
      </w:pPr>
    </w:p>
    <w:p>
      <w:pPr>
        <w:ind w:left="180" w:hanging="172"/>
        <w:spacing w:after="0"/>
        <w:tabs>
          <w:tab w:leader="none" w:pos="1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184"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factors</w:t>
      </w:r>
    </w:p>
    <w:p>
      <w:pPr>
        <w:spacing w:after="0" w:line="189" w:lineRule="exact"/>
        <w:rPr>
          <w:sz w:val="20"/>
          <w:szCs w:val="20"/>
          <w:color w:val="auto"/>
        </w:rPr>
      </w:pPr>
    </w:p>
    <w:p>
      <w:pPr>
        <w:jc w:val="both"/>
        <w:ind w:right="60" w:firstLine="802"/>
        <w:spacing w:after="0" w:line="266" w:lineRule="auto"/>
        <w:rPr>
          <w:sz w:val="20"/>
          <w:szCs w:val="20"/>
          <w:color w:val="auto"/>
        </w:rPr>
      </w:pPr>
      <w:r>
        <w:rPr>
          <w:rFonts w:ascii="Times New Roman" w:cs="Times New Roman" w:eastAsia="Times New Roman" w:hAnsi="Times New Roman"/>
          <w:sz w:val="18"/>
          <w:szCs w:val="18"/>
          <w:color w:val="auto"/>
        </w:rPr>
        <w:t>Through its operations, the Group is exposed to various financial risks attributable to primarily cash, short-term investments, trade receivables, trade payables and liabilities to credit institutions. The financial risks are market risk, mainly interest risk and currency risk, credit risk, liquidity risk and refinancing risk. The Group strives to minimize potential unfavorable effects from these risks on the Group’s financial results.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aim of the Group’s financial operations is to:</w:t>
      </w:r>
    </w:p>
    <w:p>
      <w:pPr>
        <w:spacing w:after="0" w:line="185" w:lineRule="exact"/>
        <w:rPr>
          <w:sz w:val="20"/>
          <w:szCs w:val="20"/>
          <w:color w:val="auto"/>
        </w:rPr>
      </w:pPr>
    </w:p>
    <w:p>
      <w:pPr>
        <w:ind w:left="1200" w:hanging="396"/>
        <w:spacing w:after="0"/>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Group can meet its payment obligations,</w:t>
      </w:r>
    </w:p>
    <w:p>
      <w:pPr>
        <w:spacing w:after="0" w:line="225"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financial risks,</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supply of necessary financing, and</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the Group’s finance net.</w:t>
      </w:r>
    </w:p>
    <w:p>
      <w:pPr>
        <w:spacing w:after="0" w:line="212" w:lineRule="exact"/>
        <w:rPr>
          <w:sz w:val="20"/>
          <w:szCs w:val="20"/>
          <w:color w:val="auto"/>
        </w:rPr>
      </w:pPr>
    </w:p>
    <w:p>
      <w:pPr>
        <w:ind w:right="20" w:firstLine="802"/>
        <w:spacing w:after="0" w:line="266" w:lineRule="auto"/>
        <w:rPr>
          <w:sz w:val="20"/>
          <w:szCs w:val="20"/>
          <w:color w:val="auto"/>
        </w:rPr>
      </w:pPr>
      <w:r>
        <w:rPr>
          <w:rFonts w:ascii="Times New Roman" w:cs="Times New Roman" w:eastAsia="Times New Roman" w:hAnsi="Times New Roman"/>
          <w:sz w:val="18"/>
          <w:szCs w:val="18"/>
          <w:color w:val="auto"/>
        </w:rPr>
        <w:t>The Group’s risk management is predominantly controlled by a central treasury department (the “Group treasury”) under policies owned by the CFO and approved by the Board of Directors. The CEO is responsible to the Board of Directors for the risk management and ensuring that the guidelines and risk mandates are followed and carried out in accordance with established treasury policy.</w:t>
      </w:r>
    </w:p>
    <w:p>
      <w:pPr>
        <w:spacing w:after="0" w:line="135" w:lineRule="exact"/>
        <w:rPr>
          <w:sz w:val="20"/>
          <w:szCs w:val="20"/>
          <w:color w:val="auto"/>
        </w:rPr>
      </w:pPr>
    </w:p>
    <w:p>
      <w:pPr>
        <w:ind w:firstLine="802"/>
        <w:spacing w:after="0" w:line="281" w:lineRule="auto"/>
        <w:rPr>
          <w:sz w:val="20"/>
          <w:szCs w:val="20"/>
          <w:color w:val="auto"/>
        </w:rPr>
      </w:pPr>
      <w:r>
        <w:rPr>
          <w:rFonts w:ascii="Times New Roman" w:cs="Times New Roman" w:eastAsia="Times New Roman" w:hAnsi="Times New Roman"/>
          <w:sz w:val="17"/>
          <w:szCs w:val="17"/>
          <w:color w:val="auto"/>
        </w:rPr>
        <w:t>The Group treasury identifies, evaluates and hedges financial risks in close cooperation with the Group’s operating units. The treasury policy provides principles for overall risk management, as well as policies covering specific areas, such as foreign exchange risk, interest rate risk, credit risk, use of derivative financial instruments and non-derivative financial instruments and investment of excess liquidity. The treasury policy (a) identifies categories of financial risks and describe how they should be managed, (b) clarifies the responsibility in financial risk management among the Board of Directors, the</w:t>
      </w: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CEO, the CFO, Group Treasury and the Subsidiaries, (c) specifies reporting and control requirements for Group treasury functions and (d) ensures that the treasury operations of the Group are supporting the overall strategy of the Group.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189" w:lineRule="exact"/>
        <w:rPr>
          <w:sz w:val="20"/>
          <w:szCs w:val="20"/>
          <w:color w:val="auto"/>
        </w:rPr>
      </w:pPr>
    </w:p>
    <w:p>
      <w:pPr>
        <w:ind w:right="200" w:firstLine="802"/>
        <w:spacing w:after="0" w:line="261" w:lineRule="auto"/>
        <w:rPr>
          <w:sz w:val="20"/>
          <w:szCs w:val="20"/>
          <w:color w:val="auto"/>
        </w:rPr>
      </w:pPr>
      <w:r>
        <w:rPr>
          <w:rFonts w:ascii="Times New Roman" w:cs="Times New Roman" w:eastAsia="Times New Roman" w:hAnsi="Times New Roman"/>
          <w:sz w:val="18"/>
          <w:szCs w:val="18"/>
          <w:color w:val="auto"/>
        </w:rPr>
        <w:t>The Group operates internationally and is exposed to foreign exchange risk. Foreign exchange risk arises from future commercial transactions and recognized assets and liabilities denominated in a currency that is not the functional currency of the relevant Group entity. Primarily, the Group is exposed to currency risk in Group companies with SEK as the functional currency. The primary risks in these companies are USD/SEK, GBP/SEK, EUR/SEK and CNY/SEK due to sales (trade receivables), purchases (trade payables), borrowings and short-term deposits (cash and cash equivalents).</w:t>
      </w:r>
    </w:p>
    <w:p>
      <w:pPr>
        <w:spacing w:after="0" w:line="153" w:lineRule="exact"/>
        <w:rPr>
          <w:sz w:val="20"/>
          <w:szCs w:val="20"/>
          <w:color w:val="auto"/>
        </w:rPr>
      </w:pPr>
    </w:p>
    <w:p>
      <w:pPr>
        <w:ind w:right="80" w:firstLine="802"/>
        <w:spacing w:after="0" w:line="258" w:lineRule="auto"/>
        <w:rPr>
          <w:sz w:val="20"/>
          <w:szCs w:val="20"/>
          <w:color w:val="auto"/>
        </w:rPr>
      </w:pPr>
      <w:r>
        <w:rPr>
          <w:rFonts w:ascii="Times New Roman" w:cs="Times New Roman" w:eastAsia="Times New Roman" w:hAnsi="Times New Roman"/>
          <w:sz w:val="18"/>
          <w:szCs w:val="18"/>
          <w:color w:val="auto"/>
        </w:rPr>
        <w:t>Due to the growth profile of the Group it is necessary to maintain a dynamic risk management of currency. Treasury monitors forecast of highly probable cash flows for each currency and aim to achieve a natural match of inflows and outflows. For those currencies which have a net cash flow that is positive or negative, foreign exchange instruments (FX forward or spot) are used to manage the risk between 50% and 100% of the exposure for the following 12 months. The Group does not apply hedge accounting. As at December 31, 2021 the Group had no currency derivatives. As at December 31, 2020 the Group had currency derivatives of £20 million for which the fair value was $0.8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Group’s primary exposure to foreign currency risk at the end of the reporting period, expressed in thousands of USD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at December 31, 2021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4"/>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SEK/USD</w:t>
            </w:r>
          </w:p>
        </w:tc>
        <w:tc>
          <w:tcPr>
            <w:tcW w:w="1320" w:type="dxa"/>
            <w:vAlign w:val="bottom"/>
            <w:gridSpan w:val="3"/>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SEK/EUR</w:t>
            </w:r>
          </w:p>
        </w:tc>
        <w:tc>
          <w:tcPr>
            <w:tcW w:w="138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SEK/GBP</w:t>
            </w:r>
          </w:p>
        </w:tc>
        <w:tc>
          <w:tcPr>
            <w:tcW w:w="116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SEK/CNY</w:t>
            </w:r>
          </w:p>
        </w:tc>
        <w:tc>
          <w:tcPr>
            <w:tcW w:w="100" w:type="dxa"/>
            <w:vAlign w:val="bottom"/>
          </w:tcPr>
          <w:p>
            <w:pPr>
              <w:spacing w:after="0"/>
              <w:rPr>
                <w:sz w:val="13"/>
                <w:szCs w:val="13"/>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8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9,220</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78,766</w:t>
            </w:r>
          </w:p>
        </w:tc>
        <w:tc>
          <w:tcPr>
            <w:tcW w:w="10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8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(5,314)</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4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40" w:type="dxa"/>
            <w:vAlign w:val="bottom"/>
          </w:tcPr>
          <w:p>
            <w:pPr>
              <w:spacing w:after="0"/>
              <w:rPr>
                <w:sz w:val="19"/>
                <w:szCs w:val="19"/>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(14,732)</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8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(2,903)</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(13,729)</w:t>
            </w: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78,766</w:t>
            </w:r>
          </w:p>
        </w:tc>
        <w:tc>
          <w:tcPr>
            <w:tcW w:w="10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at December 31, 2020</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3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4"/>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SEK/USD</w:t>
            </w:r>
          </w:p>
        </w:tc>
        <w:tc>
          <w:tcPr>
            <w:tcW w:w="1320" w:type="dxa"/>
            <w:vAlign w:val="bottom"/>
            <w:gridSpan w:val="3"/>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SEK/EUR</w:t>
            </w:r>
          </w:p>
        </w:tc>
        <w:tc>
          <w:tcPr>
            <w:tcW w:w="138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SEK/GBP</w:t>
            </w:r>
          </w:p>
        </w:tc>
        <w:tc>
          <w:tcPr>
            <w:tcW w:w="116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SEK/CNY</w:t>
            </w:r>
          </w:p>
        </w:tc>
        <w:tc>
          <w:tcPr>
            <w:tcW w:w="100" w:type="dxa"/>
            <w:vAlign w:val="bottom"/>
          </w:tcPr>
          <w:p>
            <w:pPr>
              <w:spacing w:after="0"/>
              <w:rPr>
                <w:sz w:val="13"/>
                <w:szCs w:val="13"/>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80" w:type="dxa"/>
            <w:vAlign w:val="bottom"/>
            <w:gridSpan w:val="4"/>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(8,041)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 loans</w:t>
            </w:r>
          </w:p>
        </w:tc>
        <w:tc>
          <w:tcPr>
            <w:tcW w:w="340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(40,284)</w:t>
            </w:r>
          </w:p>
        </w:tc>
        <w:tc>
          <w:tcPr>
            <w:tcW w:w="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(45,427)</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4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(4,154)</w:t>
            </w:r>
          </w:p>
        </w:tc>
        <w:tc>
          <w:tcPr>
            <w:tcW w:w="4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(10,856)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80" w:type="dxa"/>
            <w:vAlign w:val="bottom"/>
            <w:gridSpan w:val="4"/>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(3,074)</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(27,273)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(44,438)</w:t>
            </w:r>
          </w:p>
        </w:tc>
        <w:tc>
          <w:tcPr>
            <w:tcW w:w="2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(61,285)</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18"/>
        </w:trPr>
        <w:tc>
          <w:tcPr>
            <w:tcW w:w="3840" w:type="dxa"/>
            <w:vAlign w:val="bottom"/>
          </w:tcPr>
          <w:p>
            <w:pPr>
              <w:spacing w:after="0"/>
              <w:rPr>
                <w:sz w:val="24"/>
                <w:szCs w:val="24"/>
                <w:color w:val="auto"/>
              </w:rPr>
            </w:pPr>
          </w:p>
        </w:tc>
        <w:tc>
          <w:tcPr>
            <w:tcW w:w="3440" w:type="dxa"/>
            <w:vAlign w:val="bottom"/>
            <w:gridSpan w:val="6"/>
          </w:tcPr>
          <w:p>
            <w:pPr>
              <w:ind w:left="1620"/>
              <w:spacing w:after="0"/>
              <w:rPr>
                <w:sz w:val="20"/>
                <w:szCs w:val="20"/>
                <w:color w:val="auto"/>
              </w:rPr>
            </w:pPr>
            <w:r>
              <w:rPr>
                <w:rFonts w:ascii="Times New Roman" w:cs="Times New Roman" w:eastAsia="Times New Roman" w:hAnsi="Times New Roman"/>
                <w:sz w:val="18"/>
                <w:szCs w:val="18"/>
                <w:color w:val="auto"/>
              </w:rPr>
              <w:t>F-21</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w:t>
      </w:r>
    </w:p>
    <w:p>
      <w:pPr>
        <w:spacing w:after="0" w:line="189" w:lineRule="exact"/>
        <w:rPr>
          <w:sz w:val="20"/>
          <w:szCs w:val="20"/>
          <w:color w:val="auto"/>
        </w:rPr>
      </w:pPr>
    </w:p>
    <w:p>
      <w:pPr>
        <w:ind w:right="260" w:firstLine="802"/>
        <w:spacing w:after="0" w:line="282" w:lineRule="auto"/>
        <w:rPr>
          <w:sz w:val="20"/>
          <w:szCs w:val="20"/>
          <w:color w:val="auto"/>
        </w:rPr>
      </w:pPr>
      <w:r>
        <w:rPr>
          <w:rFonts w:ascii="Times New Roman" w:cs="Times New Roman" w:eastAsia="Times New Roman" w:hAnsi="Times New Roman"/>
          <w:sz w:val="18"/>
          <w:szCs w:val="18"/>
          <w:color w:val="auto"/>
        </w:rPr>
        <w:t>The Group is primarily exposed to changes in USD/SEK, EUR/SEK, GBP/SEK and CNY/SEK exchange rates. The Group’s risk exposure in foreign currencies: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Impact on loss</w:t>
            </w:r>
          </w:p>
        </w:tc>
        <w:tc>
          <w:tcPr>
            <w:tcW w:w="1440" w:type="dxa"/>
            <w:vAlign w:val="bottom"/>
          </w:tcPr>
          <w:p>
            <w:pPr>
              <w:spacing w:after="0"/>
              <w:rPr>
                <w:sz w:val="13"/>
                <w:szCs w:val="13"/>
                <w:color w:val="auto"/>
              </w:rPr>
            </w:pPr>
          </w:p>
        </w:tc>
      </w:tr>
      <w:tr>
        <w:trPr>
          <w:trHeight w:val="162"/>
        </w:trPr>
        <w:tc>
          <w:tcPr>
            <w:tcW w:w="6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440" w:type="dxa"/>
            <w:vAlign w:val="bottom"/>
          </w:tcPr>
          <w:p>
            <w:pPr>
              <w:spacing w:after="0"/>
              <w:rPr>
                <w:sz w:val="14"/>
                <w:szCs w:val="14"/>
                <w:color w:val="auto"/>
              </w:rPr>
            </w:pPr>
          </w:p>
        </w:tc>
      </w:tr>
      <w:tr>
        <w:trPr>
          <w:trHeight w:val="173"/>
        </w:trPr>
        <w:tc>
          <w:tcPr>
            <w:tcW w:w="668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USD/SEK exchange rate—increase/decrease 10 %</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+/- 4,444</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+/- 1,700</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rate—increase/decrease 10 %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+/- 1,211</w:t>
            </w:r>
          </w:p>
        </w:tc>
        <w:tc>
          <w:tcPr>
            <w:tcW w:w="140" w:type="dxa"/>
            <w:vAlign w:val="bottom"/>
          </w:tcPr>
          <w:p>
            <w:pPr>
              <w:spacing w:after="0"/>
              <w:rPr>
                <w:sz w:val="19"/>
                <w:szCs w:val="19"/>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+/- 6,129</w:t>
            </w:r>
          </w:p>
        </w:tc>
        <w:tc>
          <w:tcPr>
            <w:tcW w:w="1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+/- 1,451</w:t>
            </w: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GBP/SEK exchange rate—increase/decrease 10 %</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+/- 2,786</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+/- 116</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CNY/SEK exchange rate—increase/decrease 10 %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+/- 7,877</w:t>
            </w:r>
          </w:p>
        </w:tc>
        <w:tc>
          <w:tcPr>
            <w:tcW w:w="1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(translation risk)</w:t>
      </w:r>
    </w:p>
    <w:p>
      <w:pPr>
        <w:spacing w:after="0" w:line="202" w:lineRule="exact"/>
        <w:rPr>
          <w:sz w:val="20"/>
          <w:szCs w:val="20"/>
          <w:color w:val="auto"/>
        </w:rPr>
      </w:pPr>
    </w:p>
    <w:p>
      <w:pPr>
        <w:ind w:right="100" w:firstLine="802"/>
        <w:spacing w:after="0" w:line="266" w:lineRule="auto"/>
        <w:rPr>
          <w:sz w:val="20"/>
          <w:szCs w:val="20"/>
          <w:color w:val="auto"/>
        </w:rPr>
      </w:pPr>
      <w:r>
        <w:rPr>
          <w:rFonts w:ascii="Times New Roman" w:cs="Times New Roman" w:eastAsia="Times New Roman" w:hAnsi="Times New Roman"/>
          <w:sz w:val="18"/>
          <w:szCs w:val="18"/>
          <w:color w:val="auto"/>
        </w:rPr>
        <w:t>The Group is also exposed to currency risk when foreign subsidiaries with a functional currency other than USD are consolidated, primarily for EUR, SEK, GBP and CNY. The Group’s policy is not to hedge the translation exposure related to net foreign assets to reduce translation risk in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Interest-rate risk</w:t>
      </w:r>
    </w:p>
    <w:p>
      <w:pPr>
        <w:spacing w:after="0" w:line="189" w:lineRule="exact"/>
        <w:rPr>
          <w:sz w:val="20"/>
          <w:szCs w:val="20"/>
          <w:color w:val="auto"/>
        </w:rPr>
      </w:pPr>
    </w:p>
    <w:p>
      <w:pPr>
        <w:ind w:right="60" w:firstLine="802"/>
        <w:spacing w:after="0" w:line="258" w:lineRule="auto"/>
        <w:rPr>
          <w:sz w:val="20"/>
          <w:szCs w:val="20"/>
          <w:color w:val="auto"/>
        </w:rPr>
      </w:pPr>
      <w:r>
        <w:rPr>
          <w:rFonts w:ascii="Times New Roman" w:cs="Times New Roman" w:eastAsia="Times New Roman" w:hAnsi="Times New Roman"/>
          <w:sz w:val="18"/>
          <w:szCs w:val="18"/>
          <w:color w:val="auto"/>
        </w:rPr>
        <w:t>The Group’s main interest rate risk arises from long-term liabilities to credit institutions with variable rates (primarily Euro Interbank Offered Rate “Euribor” 3 Months during 2021 and 2020 and Stockholm Interbank Offered Rate “Stibor” 3 Months during 2020), which expose the Group to cash flow interest rate risk. As at December 31, 2021, the nominal amount of liabilities to credit institutions with variable interest rate were $5.3 million with no hedges. As at December 31, 2020, the nominal amount of liabilities to credit institutions with variable interest rate were $97.6 million, whereof, $5.7 million were swapped using floating-to-fixed interest rate swaps for the risk in Stibor 3M.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Profit or loss is sensitive to higher/lower interest expense primarily from liabilities to credit institutions as a result of changes in interest rates.</w:t>
      </w:r>
    </w:p>
    <w:p>
      <w:pPr>
        <w:spacing w:after="0" w:line="232"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Impact on loss</w:t>
      </w:r>
    </w:p>
    <w:p>
      <w:pPr>
        <w:spacing w:after="0" w:line="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before tax</w:t>
      </w:r>
    </w:p>
    <w:tbl>
      <w:tblPr>
        <w:tblLayout w:type="fixed"/>
        <w:tblInd w:w="0" w:type="dxa"/>
        <w:tblCellMar>
          <w:top w:w="0" w:type="dxa"/>
          <w:left w:w="0" w:type="dxa"/>
          <w:bottom w:w="0" w:type="dxa"/>
          <w:right w:w="0" w:type="dxa"/>
        </w:tblCellMar>
      </w:tblPr>
      <w:tr>
        <w:trPr>
          <w:trHeight w:val="156"/>
        </w:trPr>
        <w:tc>
          <w:tcPr>
            <w:tcW w:w="756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499"/>
              <w:spacing w:after="0" w:line="156"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3"/>
                <w:szCs w:val="13"/>
                <w:color w:val="auto"/>
              </w:rPr>
            </w:pPr>
          </w:p>
        </w:tc>
        <w:tc>
          <w:tcPr>
            <w:tcW w:w="1460" w:type="dxa"/>
            <w:vAlign w:val="bottom"/>
          </w:tcPr>
          <w:p>
            <w:pPr>
              <w:jc w:val="right"/>
              <w:ind w:right="519"/>
              <w:spacing w:after="0" w:line="156"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rates - increase/decrease by 100 basis points</w:t>
            </w:r>
          </w:p>
        </w:tc>
        <w:tc>
          <w:tcPr>
            <w:tcW w:w="9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+/- 60</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+/- 996</w:t>
            </w:r>
          </w:p>
        </w:tc>
        <w:tc>
          <w:tcPr>
            <w:tcW w:w="1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+/- 721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 Price risk</w:t>
      </w:r>
    </w:p>
    <w:p>
      <w:pPr>
        <w:spacing w:after="0" w:line="189" w:lineRule="exact"/>
        <w:rPr>
          <w:sz w:val="20"/>
          <w:szCs w:val="20"/>
          <w:color w:val="auto"/>
        </w:rPr>
      </w:pPr>
    </w:p>
    <w:p>
      <w:pPr>
        <w:ind w:right="120" w:firstLine="802"/>
        <w:spacing w:after="0" w:line="256" w:lineRule="auto"/>
        <w:rPr>
          <w:sz w:val="20"/>
          <w:szCs w:val="20"/>
          <w:color w:val="auto"/>
        </w:rPr>
      </w:pPr>
      <w:r>
        <w:rPr>
          <w:rFonts w:ascii="Times New Roman" w:cs="Times New Roman" w:eastAsia="Times New Roman" w:hAnsi="Times New Roman"/>
          <w:sz w:val="18"/>
          <w:szCs w:val="18"/>
          <w:color w:val="auto"/>
        </w:rPr>
        <w:t>The Group is exposed to price risk from changes in fair value from short-term investments held by the Group that are classified as fair value through profit and loss. To manage the risk arising from investments, surplus liquidity may be invested primarily in liquid assets with low risk, investment grade BBB- or better rated. The fair value of the short-term investments as of December 31, 2021 is $250 (-) million. The investment portfolio consists of funds, bonds and certificates in USD and SEK. Funds consist of primarily “money market funds”, i.e., a kind of mutual fund that invests in highly liquid, near-term instruments and high-credit-rating debt-based securities with a short-term maturity. Bonds and certificates consist of corporate bonds and commercial papers.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Profit or loss is sensitive to changes in fair value from short-term investments.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Impact on loss</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7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5"/>
                <w:szCs w:val="15"/>
                <w:color w:val="auto"/>
              </w:rPr>
            </w:pPr>
          </w:p>
        </w:tc>
        <w:tc>
          <w:tcPr>
            <w:tcW w:w="13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23"/>
        </w:trPr>
        <w:tc>
          <w:tcPr>
            <w:tcW w:w="6680" w:type="dxa"/>
            <w:vAlign w:val="bottom"/>
            <w:tcBorders>
              <w:top w:val="single" w:sz="8" w:color="CFF0FC"/>
            </w:tcBorders>
            <w:shd w:val="clear" w:color="auto" w:fill="CFF0FC"/>
          </w:tcPr>
          <w:p>
            <w:pPr>
              <w:jc w:val="right"/>
              <w:ind w:right="3856"/>
              <w:spacing w:after="0"/>
              <w:rPr>
                <w:sz w:val="20"/>
                <w:szCs w:val="20"/>
                <w:color w:val="auto"/>
              </w:rPr>
            </w:pPr>
            <w:r>
              <w:rPr>
                <w:rFonts w:ascii="Times New Roman" w:cs="Times New Roman" w:eastAsia="Times New Roman" w:hAnsi="Times New Roman"/>
                <w:sz w:val="18"/>
                <w:szCs w:val="18"/>
                <w:color w:val="auto"/>
                <w:w w:val="99"/>
              </w:rPr>
              <w:t>Fair value - increase/decrease by 10%</w:t>
            </w:r>
          </w:p>
        </w:tc>
        <w:tc>
          <w:tcPr>
            <w:tcW w:w="9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864"/>
        </w:trPr>
        <w:tc>
          <w:tcPr>
            <w:tcW w:w="7600" w:type="dxa"/>
            <w:vAlign w:val="bottom"/>
            <w:gridSpan w:val="2"/>
          </w:tcPr>
          <w:p>
            <w:pPr>
              <w:jc w:val="right"/>
              <w:ind w:right="1800"/>
              <w:spacing w:after="0"/>
              <w:rPr>
                <w:sz w:val="20"/>
                <w:szCs w:val="20"/>
                <w:color w:val="auto"/>
              </w:rPr>
            </w:pPr>
            <w:r>
              <w:rPr>
                <w:rFonts w:ascii="Times New Roman" w:cs="Times New Roman" w:eastAsia="Times New Roman" w:hAnsi="Times New Roman"/>
                <w:sz w:val="18"/>
                <w:szCs w:val="18"/>
                <w:color w:val="auto"/>
              </w:rPr>
              <w:t>F-22</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89" w:lineRule="exact"/>
        <w:rPr>
          <w:sz w:val="20"/>
          <w:szCs w:val="20"/>
          <w:color w:val="auto"/>
        </w:rPr>
      </w:pPr>
    </w:p>
    <w:p>
      <w:pPr>
        <w:ind w:firstLine="802"/>
        <w:spacing w:after="0" w:line="255" w:lineRule="auto"/>
        <w:rPr>
          <w:sz w:val="20"/>
          <w:szCs w:val="20"/>
          <w:color w:val="auto"/>
        </w:rPr>
      </w:pPr>
      <w:r>
        <w:rPr>
          <w:rFonts w:ascii="Times New Roman" w:cs="Times New Roman" w:eastAsia="Times New Roman" w:hAnsi="Times New Roman"/>
          <w:sz w:val="18"/>
          <w:szCs w:val="18"/>
          <w:color w:val="auto"/>
        </w:rPr>
        <w:t>The Group is exposed to risk related to the price and availability of our ingredients and our profitability is dependent on, among other things, our ability to anticipate and react to availability of ingredients and inflationary pressures. Currently, the main ingredient in our products is oat. The Group purchases oats from millers in Belgium, Sweden, Finland the United States, Malaysia and China, so supply may be particularly affected by any adverse events in these countries and regions. The prices of oats and other ingredients, such as rapeseed oil, used are subject to many factors beyond the Group’s control, including poor harvests due to adverse weather conditions, natural disasters and changes in world economic conditions, including as a result of COVID-19 and the conflict in Ukraine. Oat prices and other ingredients such as rapeseed oil are normally agreed to annually with suppliers for the following year based on the outcome of the current year harvest.</w:t>
      </w:r>
    </w:p>
    <w:p>
      <w:pPr>
        <w:spacing w:after="0" w:line="162" w:lineRule="exact"/>
        <w:rPr>
          <w:sz w:val="20"/>
          <w:szCs w:val="20"/>
          <w:color w:val="auto"/>
        </w:rPr>
      </w:pPr>
    </w:p>
    <w:p>
      <w:pPr>
        <w:ind w:right="100" w:firstLine="802"/>
        <w:spacing w:after="0" w:line="289" w:lineRule="auto"/>
        <w:rPr>
          <w:sz w:val="20"/>
          <w:szCs w:val="20"/>
          <w:color w:val="auto"/>
        </w:rPr>
      </w:pPr>
      <w:r>
        <w:rPr>
          <w:rFonts w:ascii="Times New Roman" w:cs="Times New Roman" w:eastAsia="Times New Roman" w:hAnsi="Times New Roman"/>
          <w:sz w:val="17"/>
          <w:szCs w:val="17"/>
          <w:color w:val="auto"/>
        </w:rPr>
        <w:t>The Group believes it will be able to address material commodity increases by either increasing prices or reducing operating expenses. However, increases in commodity prices, without adjustments to pricing, or reduction to operating expenses, or a delay in pricing actions, could increase costs and increase loss as a share of revenue. In addition, macro-economic and competitive conditions could make additional price increases difficult.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 general commodity cost price increase of 5% would have increased our 2021 commodity costs by $10.0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3.1.2 Credit risk</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Credit risk arises primarily from cash and cash equivalents and debt instruments carried at amortized cost.</w:t>
      </w:r>
    </w:p>
    <w:p>
      <w:pPr>
        <w:spacing w:after="0" w:line="225" w:lineRule="exact"/>
        <w:rPr>
          <w:sz w:val="20"/>
          <w:szCs w:val="20"/>
          <w:color w:val="auto"/>
        </w:rPr>
      </w:pPr>
    </w:p>
    <w:p>
      <w:pPr>
        <w:ind w:right="100" w:firstLine="802"/>
        <w:spacing w:after="0" w:line="266" w:lineRule="auto"/>
        <w:rPr>
          <w:sz w:val="20"/>
          <w:szCs w:val="20"/>
          <w:color w:val="auto"/>
        </w:rPr>
      </w:pPr>
      <w:r>
        <w:rPr>
          <w:rFonts w:ascii="Times New Roman" w:cs="Times New Roman" w:eastAsia="Times New Roman" w:hAnsi="Times New Roman"/>
          <w:sz w:val="18"/>
          <w:szCs w:val="18"/>
          <w:color w:val="auto"/>
        </w:rPr>
        <w:t>Financial counterparty credit risk is managed on a Group basis. The external financial counterparties must be high-quality international credit institutions or other major participants in the financial markets, in each case, with a minimum investment grade rating BBB- / Baa3. The rating of the financial counterparties used during 2021 and 2020 were in the range from BBB- to AA+.</w:t>
      </w:r>
    </w:p>
    <w:p>
      <w:pPr>
        <w:spacing w:after="0" w:line="135" w:lineRule="exact"/>
        <w:rPr>
          <w:sz w:val="20"/>
          <w:szCs w:val="20"/>
          <w:color w:val="auto"/>
        </w:rPr>
      </w:pPr>
    </w:p>
    <w:p>
      <w:pPr>
        <w:ind w:right="40" w:firstLine="802"/>
        <w:spacing w:after="0" w:line="261" w:lineRule="auto"/>
        <w:rPr>
          <w:sz w:val="20"/>
          <w:szCs w:val="20"/>
          <w:color w:val="auto"/>
        </w:rPr>
      </w:pPr>
      <w:r>
        <w:rPr>
          <w:rFonts w:ascii="Times New Roman" w:cs="Times New Roman" w:eastAsia="Times New Roman" w:hAnsi="Times New Roman"/>
          <w:sz w:val="18"/>
          <w:szCs w:val="18"/>
          <w:color w:val="auto"/>
        </w:rPr>
        <w:t>Customer and supplier credit risk is mitigated through credit risk assessment, credit limit setting in case of payment obligations overdue and through the contractual terms. There are no significant concentrations of credit risk in regards of exposure to specific industry sectors and/or regions. For the year ended December 31, 2021, one customer in the foodservice channel represented approximately 14% of total revenue. The Group has not had any incurred losses from this customer historically. During 2020, there were no customers who individually represented more than 10% of revenue.</w:t>
      </w:r>
    </w:p>
    <w:p>
      <w:pPr>
        <w:spacing w:after="0" w:line="1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Group has primarily two types of financial assets that are subject to the expected credit loss model:</w:t>
      </w:r>
    </w:p>
    <w:p>
      <w:pPr>
        <w:spacing w:after="0" w:line="198" w:lineRule="exact"/>
        <w:rPr>
          <w:sz w:val="20"/>
          <w:szCs w:val="20"/>
          <w:color w:val="auto"/>
        </w:rPr>
      </w:pPr>
    </w:p>
    <w:p>
      <w:pPr>
        <w:ind w:left="1200" w:hanging="396"/>
        <w:spacing w:after="0"/>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and</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employees (other non-current financial assets at amortized cost).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89" w:lineRule="exact"/>
        <w:rPr>
          <w:sz w:val="20"/>
          <w:szCs w:val="20"/>
          <w:color w:val="auto"/>
        </w:rPr>
      </w:pPr>
    </w:p>
    <w:p>
      <w:pPr>
        <w:ind w:right="340" w:firstLine="802"/>
        <w:spacing w:after="0" w:line="282" w:lineRule="auto"/>
        <w:rPr>
          <w:sz w:val="20"/>
          <w:szCs w:val="20"/>
          <w:color w:val="auto"/>
        </w:rPr>
      </w:pPr>
      <w:r>
        <w:rPr>
          <w:rFonts w:ascii="Times New Roman" w:cs="Times New Roman" w:eastAsia="Times New Roman" w:hAnsi="Times New Roman"/>
          <w:sz w:val="18"/>
          <w:szCs w:val="18"/>
          <w:color w:val="auto"/>
        </w:rPr>
        <w:t>The Group applies the simplified approach to measuring expected credit losses, which uses a lifetime expected loss allowance for all trade receivables.</w:t>
      </w:r>
    </w:p>
    <w:p>
      <w:pPr>
        <w:spacing w:after="0" w:line="121" w:lineRule="exact"/>
        <w:rPr>
          <w:sz w:val="20"/>
          <w:szCs w:val="20"/>
          <w:color w:val="auto"/>
        </w:rPr>
      </w:pPr>
    </w:p>
    <w:p>
      <w:pPr>
        <w:ind w:right="60" w:firstLine="802"/>
        <w:spacing w:after="0" w:line="255" w:lineRule="auto"/>
        <w:rPr>
          <w:sz w:val="20"/>
          <w:szCs w:val="20"/>
          <w:color w:val="auto"/>
        </w:rPr>
      </w:pPr>
      <w:r>
        <w:rPr>
          <w:rFonts w:ascii="Times New Roman" w:cs="Times New Roman" w:eastAsia="Times New Roman" w:hAnsi="Times New Roman"/>
          <w:sz w:val="18"/>
          <w:szCs w:val="18"/>
          <w:color w:val="auto"/>
        </w:rPr>
        <w:t>To measure the expected credit losses, trade receivables have been grouped based on days past due. The expected loss rates are based on sales over a period of 36 months before December 31, 2021, and the corresponding historical credit losses experienced within this period. The historical loss rates are adjusted to reflect current and forward-looking information on macroeconomic factors affecting the ability of the customers to settle the receivables. In cases when the Group has more information on customers than the statistical model reflects, a management overlay is made for those specific customers. Historically, the Group has experienced immaterial credit losses. Based on the historical data of very low credit losses together with a forward-looking assessment, the expected credit loss for trade receivables is not material. The Group has during 2021 and 2020 not had any significant impairment losses relating to specific customers.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aging of the Group’s trade receivables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6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9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78,771</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55,086</w:t>
            </w:r>
          </w:p>
        </w:tc>
      </w:tr>
      <w:tr>
        <w:trPr>
          <w:trHeight w:val="23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1-30 days past due</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18,387</w:t>
            </w:r>
          </w:p>
        </w:tc>
        <w:tc>
          <w:tcPr>
            <w:tcW w:w="160" w:type="dxa"/>
            <w:vAlign w:val="bottom"/>
          </w:tcPr>
          <w:p>
            <w:pPr>
              <w:spacing w:after="0"/>
              <w:rPr>
                <w:sz w:val="19"/>
                <w:szCs w:val="19"/>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10,473</w:t>
            </w:r>
          </w:p>
        </w:tc>
      </w:tr>
      <w:tr>
        <w:trPr>
          <w:trHeight w:val="229"/>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 past due</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4,268</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61-90 days past due</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1,159</w:t>
            </w:r>
          </w:p>
        </w:tc>
        <w:tc>
          <w:tcPr>
            <w:tcW w:w="160" w:type="dxa"/>
            <w:vAlign w:val="bottom"/>
          </w:tcPr>
          <w:p>
            <w:pPr>
              <w:spacing w:after="0"/>
              <w:rPr>
                <w:sz w:val="19"/>
                <w:szCs w:val="19"/>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2,154</w:t>
            </w:r>
          </w:p>
        </w:tc>
      </w:tr>
      <w:tr>
        <w:trPr>
          <w:trHeight w:val="229"/>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91- days past due</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3,817</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2,569</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9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106,402</w:t>
            </w:r>
          </w:p>
        </w:tc>
        <w:tc>
          <w:tcPr>
            <w:tcW w:w="160" w:type="dxa"/>
            <w:vAlign w:val="bottom"/>
          </w:tcPr>
          <w:p>
            <w:pPr>
              <w:spacing w:after="0"/>
              <w:rPr>
                <w:sz w:val="19"/>
                <w:szCs w:val="19"/>
                <w:color w:val="auto"/>
              </w:rPr>
            </w:pPr>
          </w:p>
        </w:tc>
        <w:tc>
          <w:tcPr>
            <w:tcW w:w="16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72,009</w:t>
            </w:r>
          </w:p>
        </w:tc>
      </w:tr>
      <w:tr>
        <w:trPr>
          <w:trHeight w:val="229"/>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9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105,519</w:t>
            </w: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71,297</w:t>
            </w:r>
          </w:p>
        </w:tc>
      </w:tr>
      <w:tr>
        <w:trPr>
          <w:trHeight w:val="20"/>
        </w:trPr>
        <w:tc>
          <w:tcPr>
            <w:tcW w:w="7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13"/>
        </w:trPr>
        <w:tc>
          <w:tcPr>
            <w:tcW w:w="86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movements in the Group’s allowance for expected credit losses of trade receivables are as follows: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9"/>
        </w:trPr>
        <w:tc>
          <w:tcPr>
            <w:tcW w:w="866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January 1</w:t>
            </w:r>
          </w:p>
        </w:tc>
        <w:tc>
          <w:tcPr>
            <w:tcW w:w="9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(2,557)</w:t>
            </w:r>
          </w:p>
        </w:tc>
      </w:tr>
      <w:tr>
        <w:trPr>
          <w:trHeight w:val="211"/>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of allowance recognized in statement of</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8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during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11"/>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written off during the year as</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34"/>
        </w:trPr>
        <w:tc>
          <w:tcPr>
            <w:tcW w:w="86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uncollectible</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2,569</w:t>
            </w:r>
          </w:p>
        </w:tc>
      </w:tr>
      <w:tr>
        <w:trPr>
          <w:trHeight w:val="22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Unused amount reversed</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19"/>
                <w:szCs w:val="19"/>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Translation differences</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w:t>
            </w:r>
          </w:p>
        </w:tc>
        <w:tc>
          <w:tcPr>
            <w:tcW w:w="9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r>
      <w:tr>
        <w:trPr>
          <w:trHeight w:val="20"/>
        </w:trPr>
        <w:tc>
          <w:tcPr>
            <w:tcW w:w="7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802"/>
        <w:spacing w:after="0" w:line="261" w:lineRule="auto"/>
        <w:rPr>
          <w:sz w:val="20"/>
          <w:szCs w:val="20"/>
          <w:color w:val="auto"/>
        </w:rPr>
      </w:pPr>
      <w:r>
        <w:rPr>
          <w:rFonts w:ascii="Times New Roman" w:cs="Times New Roman" w:eastAsia="Times New Roman" w:hAnsi="Times New Roman"/>
          <w:sz w:val="18"/>
          <w:szCs w:val="18"/>
          <w:color w:val="auto"/>
        </w:rPr>
        <w:t>Trade receivables are written off where there is no reasonable expectation of recovery. Assessments are made individually, in each case, based on indicators that there is no reasonable expectation of recovery. Indicators include, amongst others, the failure of a debtor to engage in a repayment plan with the Group. Impairment losses on trade receivables are presented as selling, general and administration expenses within operating loss. Subsequent recoveries of amounts previously written off are credited against the same line item.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to employees (Other financial assets at amortized cost)</w:t>
      </w:r>
    </w:p>
    <w:p>
      <w:pPr>
        <w:spacing w:after="0" w:line="189" w:lineRule="exact"/>
        <w:rPr>
          <w:sz w:val="20"/>
          <w:szCs w:val="20"/>
          <w:color w:val="auto"/>
        </w:rPr>
      </w:pPr>
    </w:p>
    <w:p>
      <w:pPr>
        <w:ind w:right="20" w:firstLine="802"/>
        <w:spacing w:after="0" w:line="258" w:lineRule="auto"/>
        <w:rPr>
          <w:sz w:val="20"/>
          <w:szCs w:val="20"/>
          <w:color w:val="auto"/>
        </w:rPr>
      </w:pPr>
      <w:r>
        <w:rPr>
          <w:rFonts w:ascii="Times New Roman" w:cs="Times New Roman" w:eastAsia="Times New Roman" w:hAnsi="Times New Roman"/>
          <w:sz w:val="18"/>
          <w:szCs w:val="18"/>
          <w:color w:val="auto"/>
        </w:rPr>
        <w:t>Other financial assets at amortized cost primarily include loans to certain members of key management and other employees. The loans are full recourse and were issued 2016, 2017, 2019 and 2020 at a market rate for the purchase price of warrants in the parent (Oatly Group AB). The market rate was set at a rate equivalent to Swedish government borrowing rate (</w:t>
      </w:r>
      <w:r>
        <w:rPr>
          <w:rFonts w:ascii="Times New Roman" w:cs="Times New Roman" w:eastAsia="Times New Roman" w:hAnsi="Times New Roman"/>
          <w:sz w:val="18"/>
          <w:szCs w:val="18"/>
          <w:i w:val="1"/>
          <w:iCs w:val="1"/>
          <w:color w:val="auto"/>
        </w:rPr>
        <w:t>Sw. statslåneräntan</w:t>
      </w:r>
      <w:r>
        <w:rPr>
          <w:rFonts w:ascii="Times New Roman" w:cs="Times New Roman" w:eastAsia="Times New Roman" w:hAnsi="Times New Roman"/>
          <w:sz w:val="18"/>
          <w:szCs w:val="18"/>
          <w:color w:val="auto"/>
        </w:rPr>
        <w:t>) at the date of the loan plus a margin of 1%. Total issued amount for the loans was $5.1 million as at December 31, 2020. The loans have a maturity date that is the same as the use of the warrants which is at latest 10 years from grant date. The loans from employees have been repaid during 2021.</w:t>
      </w:r>
    </w:p>
    <w:p>
      <w:pPr>
        <w:spacing w:after="0" w:line="143" w:lineRule="exact"/>
        <w:rPr>
          <w:sz w:val="20"/>
          <w:szCs w:val="20"/>
          <w:color w:val="auto"/>
        </w:rPr>
      </w:pPr>
    </w:p>
    <w:p>
      <w:pPr>
        <w:jc w:val="both"/>
        <w:ind w:right="100" w:firstLine="802"/>
        <w:spacing w:after="0" w:line="266" w:lineRule="auto"/>
        <w:rPr>
          <w:sz w:val="20"/>
          <w:szCs w:val="20"/>
          <w:color w:val="auto"/>
        </w:rPr>
      </w:pPr>
      <w:r>
        <w:rPr>
          <w:rFonts w:ascii="Times New Roman" w:cs="Times New Roman" w:eastAsia="Times New Roman" w:hAnsi="Times New Roman"/>
          <w:sz w:val="18"/>
          <w:szCs w:val="18"/>
          <w:color w:val="auto"/>
        </w:rPr>
        <w:t>The credit risk for other financial assets at amortized cost as at December 31, 2021 and 2020 is not material, and no credit loss reserve has been recognized. The Group monitors closely if the credit risk for any issued loans has changed. For more information of the warrants and outstanding balances to related parties, see Note 7 Employee and personnel costs and Note 30 Related party disclosures.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3.1.3 Liquidity risk</w:t>
      </w:r>
    </w:p>
    <w:p>
      <w:pPr>
        <w:spacing w:after="0" w:line="189" w:lineRule="exact"/>
        <w:rPr>
          <w:sz w:val="20"/>
          <w:szCs w:val="20"/>
          <w:color w:val="auto"/>
        </w:rPr>
      </w:pPr>
    </w:p>
    <w:p>
      <w:pPr>
        <w:ind w:right="160" w:firstLine="802"/>
        <w:spacing w:after="0" w:line="256" w:lineRule="auto"/>
        <w:rPr>
          <w:sz w:val="20"/>
          <w:szCs w:val="20"/>
          <w:color w:val="auto"/>
        </w:rPr>
      </w:pPr>
      <w:r>
        <w:rPr>
          <w:rFonts w:ascii="Times New Roman" w:cs="Times New Roman" w:eastAsia="Times New Roman" w:hAnsi="Times New Roman"/>
          <w:sz w:val="18"/>
          <w:szCs w:val="18"/>
          <w:color w:val="auto"/>
        </w:rPr>
        <w:t>Liquidity risk is the Group’s risk of not being able to meet the short-term payment obligations due to insufficient funds. Management monitors rolling forecasts of the Group’s liquidity reserve (comprising the undrawn borrowing facilities below) and cash and cash equivalents on the basis of expected cash flows. This is monitored at Group level with input from local management. In addition, the Group’s liquidity management policy involves projecting cash flows in major currencies and considering the level of liquid assets necessary to meet these, monitoring balance sheet liquidity ratios against internal and external regulatory requirements and maintaining debt financing plans Due to the dynamic nature of the underlying businesses, the Group treasury maintains flexibility in funding by maintaining availability under committed credit lines.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right="40" w:firstLine="802"/>
        <w:spacing w:after="0" w:line="282" w:lineRule="auto"/>
        <w:rPr>
          <w:sz w:val="20"/>
          <w:szCs w:val="20"/>
          <w:color w:val="auto"/>
        </w:rPr>
      </w:pPr>
      <w:r>
        <w:rPr>
          <w:rFonts w:ascii="Times New Roman" w:cs="Times New Roman" w:eastAsia="Times New Roman" w:hAnsi="Times New Roman"/>
          <w:sz w:val="18"/>
          <w:szCs w:val="18"/>
          <w:color w:val="auto"/>
        </w:rPr>
        <w:t>At the end of the reporting period, the Group held cash and cash equivalents of $295.6 ($105.4) million and short-term investments of $249.9 ($ - ) million that are available for managing liquidity risk. The Group has both long-term and a short-term financing with credit institutions.</w:t>
      </w:r>
    </w:p>
    <w:p>
      <w:pPr>
        <w:spacing w:after="0" w:line="135" w:lineRule="exact"/>
        <w:rPr>
          <w:sz w:val="20"/>
          <w:szCs w:val="20"/>
          <w:color w:val="auto"/>
        </w:rPr>
      </w:pPr>
    </w:p>
    <w:p>
      <w:pPr>
        <w:ind w:right="280" w:firstLine="802"/>
        <w:spacing w:after="0" w:line="261" w:lineRule="auto"/>
        <w:rPr>
          <w:sz w:val="20"/>
          <w:szCs w:val="20"/>
          <w:color w:val="auto"/>
        </w:rPr>
      </w:pPr>
      <w:r>
        <w:rPr>
          <w:rFonts w:ascii="Times New Roman" w:cs="Times New Roman" w:eastAsia="Times New Roman" w:hAnsi="Times New Roman"/>
          <w:sz w:val="18"/>
          <w:szCs w:val="18"/>
          <w:color w:val="auto"/>
        </w:rPr>
        <w:t>In April 2021 the Group entered into Sustainable Revolving Credit Facility Agreement (the “SRCF Agreement”) including a multicurrency revolving credit facility of SEK 3.6 billion (equivalent of USD 397.8 million) with an accordion option of another SEK 850 million (equivalent of USD</w:t>
      </w:r>
    </w:p>
    <w:p>
      <w:pPr>
        <w:ind w:right="40"/>
        <w:spacing w:after="0" w:line="251" w:lineRule="auto"/>
        <w:rPr>
          <w:sz w:val="20"/>
          <w:szCs w:val="20"/>
          <w:color w:val="auto"/>
        </w:rPr>
      </w:pPr>
      <w:r>
        <w:rPr>
          <w:rFonts w:ascii="Times New Roman" w:cs="Times New Roman" w:eastAsia="Times New Roman" w:hAnsi="Times New Roman"/>
          <w:sz w:val="18"/>
          <w:szCs w:val="18"/>
          <w:color w:val="auto"/>
        </w:rPr>
        <w:t>93.9 million), subject to the fulfilment of certain conditions and at the lenders’ discretion. The initial term of the SRCF Agreement is three years from May 20, 2021, with an option to extend twice, for one additional year each at the lenders’ discretion. Borrowings under the SRCF Agreement are repayable at the end of the interest period to which that loan relates and carry an interest rate of the aggregate of the applicable margin and SONIA, LIBOR (with a rate switch to SOFR), STIBOR or EURIBOR, depending on the denominated currency, amounts loaned and if the denominated currency is a rate switch currency. Under the SRCF Agreement, the Group is subject to both financial and non-financial covenants. The non-financial covenants are covenants linked to sustainability measures. The financial covenants are tangible solvency, minimum EBITDA and liquidity requirements. The financial covenants are subject to a conversion right that may be exercised at the Group’s discretion from December 31, 2023, and following such conversion, the existing tangible solvency, minimum EBITDA and liquidity covenants will fall away and be replaced with a total net leverage ratio. The SRCF Agreement also contains limitations on the Group’s ability to pay dividends until the Group exercises their covenant conversion right. The SRCF agreement replaced the previous credit facility of $146.3 million.</w:t>
      </w:r>
    </w:p>
    <w:p>
      <w:pPr>
        <w:spacing w:after="0" w:line="152" w:lineRule="exact"/>
        <w:rPr>
          <w:sz w:val="20"/>
          <w:szCs w:val="20"/>
          <w:color w:val="auto"/>
        </w:rPr>
      </w:pPr>
    </w:p>
    <w:p>
      <w:pPr>
        <w:ind w:right="340" w:firstLine="802"/>
        <w:spacing w:after="0" w:line="266" w:lineRule="auto"/>
        <w:rPr>
          <w:sz w:val="20"/>
          <w:szCs w:val="20"/>
          <w:color w:val="auto"/>
        </w:rPr>
      </w:pPr>
      <w:r>
        <w:rPr>
          <w:rFonts w:ascii="Times New Roman" w:cs="Times New Roman" w:eastAsia="Times New Roman" w:hAnsi="Times New Roman"/>
          <w:sz w:val="18"/>
          <w:szCs w:val="18"/>
          <w:color w:val="auto"/>
        </w:rPr>
        <w:t>As at December 31, 2021, the Group has not utilized any loan amounts under the new SRCF agreement. The Liabilities to credit institutions balance at December 31, 2021, is related to outstanding amounts on the European Investment Fund Facility (the “EIF Facility”) which was entered in October 2019 and matures in October 2022. The recognized amount as at December 31, 2021, is $6.0 ($8.0) million (denominated in EUR).</w:t>
      </w:r>
    </w:p>
    <w:p>
      <w:pPr>
        <w:spacing w:after="0" w:line="1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 December 31, 2020, the Group also had a term loan of $88.4 million that was repaid in 2021.</w:t>
      </w:r>
    </w:p>
    <w:p>
      <w:pPr>
        <w:spacing w:after="0" w:line="198" w:lineRule="exact"/>
        <w:rPr>
          <w:sz w:val="20"/>
          <w:szCs w:val="20"/>
          <w:color w:val="auto"/>
        </w:rPr>
      </w:pPr>
    </w:p>
    <w:p>
      <w:pPr>
        <w:ind w:right="120" w:firstLine="802"/>
        <w:spacing w:after="0" w:line="266" w:lineRule="auto"/>
        <w:rPr>
          <w:sz w:val="20"/>
          <w:szCs w:val="20"/>
          <w:color w:val="auto"/>
        </w:rPr>
      </w:pPr>
      <w:r>
        <w:rPr>
          <w:rFonts w:ascii="Times New Roman" w:cs="Times New Roman" w:eastAsia="Times New Roman" w:hAnsi="Times New Roman"/>
          <w:sz w:val="18"/>
          <w:szCs w:val="18"/>
          <w:color w:val="auto"/>
        </w:rPr>
        <w:t>During 2020, the Group had a short-term credit facility of $15 million with a credit institute in the United States that could be utilized by providing collateral in trade receivables and inventories. As at December 31, 2020 $1.9 million was utilized and the same amount of trade receivables and inventories were pledged as collateral. The facility was pre-terminated in June 2021.</w:t>
      </w:r>
    </w:p>
    <w:p>
      <w:pPr>
        <w:spacing w:after="0" w:line="135" w:lineRule="exact"/>
        <w:rPr>
          <w:sz w:val="20"/>
          <w:szCs w:val="20"/>
          <w:color w:val="auto"/>
        </w:rPr>
      </w:pPr>
    </w:p>
    <w:p>
      <w:pPr>
        <w:ind w:right="140" w:firstLine="802"/>
        <w:spacing w:after="0" w:line="282" w:lineRule="auto"/>
        <w:rPr>
          <w:sz w:val="20"/>
          <w:szCs w:val="20"/>
          <w:color w:val="auto"/>
        </w:rPr>
      </w:pPr>
      <w:r>
        <w:rPr>
          <w:rFonts w:ascii="Times New Roman" w:cs="Times New Roman" w:eastAsia="Times New Roman" w:hAnsi="Times New Roman"/>
          <w:sz w:val="18"/>
          <w:szCs w:val="18"/>
          <w:color w:val="auto"/>
        </w:rPr>
        <w:t>During 2020, the Group received a shareholder loan (the Subordinated Bridge Facilities Agreement) of $87.8 million split into EUR, USD and SEK. The loan was settled in full during 2021. For further information on the terms and conditions for 2020, see Note 27 Shareholder loans.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 total, the Group had access to undrawn bank overdraft facilities at the end of the reporting period amounting to $397.8 ($157.9)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3.1.4 Refinancing risk</w:t>
      </w:r>
    </w:p>
    <w:p>
      <w:pPr>
        <w:spacing w:after="0" w:line="189" w:lineRule="exact"/>
        <w:rPr>
          <w:sz w:val="20"/>
          <w:szCs w:val="20"/>
          <w:color w:val="auto"/>
        </w:rPr>
      </w:pPr>
    </w:p>
    <w:p>
      <w:pPr>
        <w:ind w:right="200" w:firstLine="802"/>
        <w:spacing w:after="0" w:line="282" w:lineRule="auto"/>
        <w:rPr>
          <w:sz w:val="20"/>
          <w:szCs w:val="20"/>
          <w:color w:val="auto"/>
        </w:rPr>
      </w:pPr>
      <w:r>
        <w:rPr>
          <w:rFonts w:ascii="Times New Roman" w:cs="Times New Roman" w:eastAsia="Times New Roman" w:hAnsi="Times New Roman"/>
          <w:sz w:val="18"/>
          <w:szCs w:val="18"/>
          <w:color w:val="auto"/>
        </w:rPr>
        <w:t>Refinancing risk is defined as the risk for difficulties in refinancing the Group, that financing cannot be achieved, or can only be achieved at a higher cost. Liabilities to credit institutions and available facilities within the Group has an average maturity of 27 (18) months.</w:t>
      </w:r>
    </w:p>
    <w:p>
      <w:pPr>
        <w:spacing w:after="0" w:line="121" w:lineRule="exact"/>
        <w:rPr>
          <w:sz w:val="20"/>
          <w:szCs w:val="20"/>
          <w:color w:val="auto"/>
        </w:rPr>
      </w:pPr>
    </w:p>
    <w:p>
      <w:pPr>
        <w:jc w:val="both"/>
        <w:ind w:firstLine="802"/>
        <w:spacing w:after="0" w:line="266" w:lineRule="auto"/>
        <w:rPr>
          <w:sz w:val="20"/>
          <w:szCs w:val="20"/>
          <w:color w:val="auto"/>
        </w:rPr>
      </w:pPr>
      <w:r>
        <w:rPr>
          <w:rFonts w:ascii="Times New Roman" w:cs="Times New Roman" w:eastAsia="Times New Roman" w:hAnsi="Times New Roman"/>
          <w:sz w:val="18"/>
          <w:szCs w:val="18"/>
          <w:color w:val="auto"/>
        </w:rPr>
        <w:t>During 2021, the Group entered into a new multicurrency revolving credit facility of SEK 3.6 billion (equivalent of USD 397.8 million) with an accordion option of another SEK 850 million (equivalent of USD 93.9 million), subject to the fulfilment of certain conditions and at the lenders’ discretion. See above under “Liquidity risk” for a description of the deal.</w:t>
      </w:r>
    </w:p>
    <w:p>
      <w:pPr>
        <w:spacing w:after="0" w:line="1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tables below analyze the Group’s financial liabilities into maturity groupings based on their contractual maturities for:</w:t>
      </w:r>
    </w:p>
    <w:p>
      <w:pPr>
        <w:spacing w:after="0" w:line="185" w:lineRule="exact"/>
        <w:rPr>
          <w:sz w:val="20"/>
          <w:szCs w:val="20"/>
          <w:color w:val="auto"/>
        </w:rPr>
      </w:pPr>
    </w:p>
    <w:p>
      <w:pPr>
        <w:ind w:left="1040" w:hanging="187"/>
        <w:spacing w:after="0"/>
        <w:tabs>
          <w:tab w:leader="none" w:pos="1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non-derivative financial liabilities:</w:t>
      </w:r>
    </w:p>
    <w:p>
      <w:pPr>
        <w:spacing w:after="0" w:line="184" w:lineRule="exact"/>
        <w:rPr>
          <w:rFonts w:ascii="Times New Roman" w:cs="Times New Roman" w:eastAsia="Times New Roman" w:hAnsi="Times New Roman"/>
          <w:sz w:val="18"/>
          <w:szCs w:val="18"/>
          <w:color w:val="auto"/>
        </w:rPr>
      </w:pPr>
    </w:p>
    <w:p>
      <w:pPr>
        <w:ind w:left="1040" w:hanging="187"/>
        <w:spacing w:after="0"/>
        <w:tabs>
          <w:tab w:leader="none" w:pos="1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net settled derivative financial instruments for which the contractual maturities represent the timing of the cash flows.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23" w:lineRule="exact"/>
        <w:rPr>
          <w:sz w:val="20"/>
          <w:szCs w:val="20"/>
          <w:color w:val="auto"/>
        </w:rPr>
      </w:pPr>
    </w:p>
    <w:p>
      <w:pPr>
        <w:jc w:val="both"/>
        <w:ind w:right="80" w:firstLine="802"/>
        <w:spacing w:after="0" w:line="266" w:lineRule="auto"/>
        <w:rPr>
          <w:sz w:val="20"/>
          <w:szCs w:val="20"/>
          <w:color w:val="auto"/>
        </w:rPr>
      </w:pPr>
      <w:r>
        <w:rPr>
          <w:rFonts w:ascii="Times New Roman" w:cs="Times New Roman" w:eastAsia="Times New Roman" w:hAnsi="Times New Roman"/>
          <w:sz w:val="18"/>
          <w:szCs w:val="18"/>
          <w:color w:val="auto"/>
        </w:rPr>
        <w:t>The amounts disclosed in the table are the contractual undiscounted cash flows. Balances due within 12 months equal their carrying balances as the impact of discounting is not significant. For interest rate swaps, the cash flows have been estimated using forward interest rates applicable at the end of the reporting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11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1</w:t>
            </w:r>
          </w:p>
        </w:tc>
        <w:tc>
          <w:tcPr>
            <w:tcW w:w="11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 months</w:t>
            </w:r>
          </w:p>
        </w:tc>
        <w:tc>
          <w:tcPr>
            <w:tcW w:w="114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1140" w:type="dxa"/>
            <w:vAlign w:val="bottom"/>
            <w:gridSpan w:val="4"/>
            <w:vMerge w:val="continue"/>
          </w:tcPr>
          <w:p>
            <w:pPr>
              <w:spacing w:after="0"/>
              <w:rPr>
                <w:sz w:val="12"/>
                <w:szCs w:val="12"/>
                <w:color w:val="auto"/>
              </w:rPr>
            </w:pPr>
          </w:p>
        </w:tc>
        <w:tc>
          <w:tcPr>
            <w:tcW w:w="10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1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2</w:t>
            </w:r>
          </w:p>
        </w:tc>
        <w:tc>
          <w:tcPr>
            <w:tcW w:w="11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 and</w:t>
            </w:r>
          </w:p>
        </w:tc>
        <w:tc>
          <w:tcPr>
            <w:tcW w:w="1140" w:type="dxa"/>
            <w:vAlign w:val="bottom"/>
            <w:gridSpan w:val="4"/>
            <w:vMerge w:val="continue"/>
          </w:tcPr>
          <w:p>
            <w:pPr>
              <w:spacing w:after="0"/>
              <w:rPr>
                <w:sz w:val="12"/>
                <w:szCs w:val="12"/>
                <w:color w:val="auto"/>
              </w:rPr>
            </w:pPr>
          </w:p>
        </w:tc>
        <w:tc>
          <w:tcPr>
            <w:tcW w:w="114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 months</w:t>
            </w: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1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Non-derivatives</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93,043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93,043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6,144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12,826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19,134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200,327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276,265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143,219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non-derivatives</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98,558</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17,730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19,134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39,702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200,327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375,452</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242,249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114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Between 1</w:t>
            </w:r>
          </w:p>
        </w:tc>
        <w:tc>
          <w:tcPr>
            <w:tcW w:w="116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Between</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3 months</w:t>
            </w:r>
          </w:p>
        </w:tc>
        <w:tc>
          <w:tcPr>
            <w:tcW w:w="114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1140" w:type="dxa"/>
            <w:vAlign w:val="bottom"/>
            <w:gridSpan w:val="4"/>
            <w:vMerge w:val="continue"/>
          </w:tcPr>
          <w:p>
            <w:pPr>
              <w:spacing w:after="0"/>
              <w:rPr>
                <w:sz w:val="12"/>
                <w:szCs w:val="12"/>
                <w:color w:val="auto"/>
              </w:rPr>
            </w:pPr>
          </w:p>
        </w:tc>
        <w:tc>
          <w:tcPr>
            <w:tcW w:w="10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2</w:t>
            </w:r>
          </w:p>
        </w:tc>
        <w:tc>
          <w:tcPr>
            <w:tcW w:w="116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2 and</w:t>
            </w:r>
          </w:p>
        </w:tc>
        <w:tc>
          <w:tcPr>
            <w:tcW w:w="1140" w:type="dxa"/>
            <w:vAlign w:val="bottom"/>
            <w:gridSpan w:val="4"/>
            <w:vMerge w:val="continue"/>
          </w:tcPr>
          <w:p>
            <w:pPr>
              <w:spacing w:after="0"/>
              <w:rPr>
                <w:sz w:val="12"/>
                <w:szCs w:val="12"/>
                <w:color w:val="auto"/>
              </w:rPr>
            </w:pPr>
          </w:p>
        </w:tc>
        <w:tc>
          <w:tcPr>
            <w:tcW w:w="11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3 months</w:t>
            </w:r>
          </w:p>
        </w:tc>
        <w:tc>
          <w:tcPr>
            <w:tcW w:w="12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1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1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Non-derivatives</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106,058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95,990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overdraft facility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 loans</w:t>
            </w:r>
          </w:p>
        </w:tc>
        <w:tc>
          <w:tcPr>
            <w:tcW w:w="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108,401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108,401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non-derivatives</w:t>
            </w: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52,211</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119,705</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102,399</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12,693</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12,429</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299,437</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278,744</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swaps—net settled</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Capital management</w:t>
      </w:r>
    </w:p>
    <w:p>
      <w:pPr>
        <w:spacing w:after="0" w:line="189" w:lineRule="exact"/>
        <w:rPr>
          <w:sz w:val="20"/>
          <w:szCs w:val="20"/>
          <w:color w:val="auto"/>
        </w:rPr>
      </w:pPr>
    </w:p>
    <w:p>
      <w:pPr>
        <w:ind w:right="20" w:firstLine="802"/>
        <w:spacing w:after="0" w:line="258" w:lineRule="auto"/>
        <w:rPr>
          <w:sz w:val="20"/>
          <w:szCs w:val="20"/>
          <w:color w:val="auto"/>
        </w:rPr>
      </w:pPr>
      <w:r>
        <w:rPr>
          <w:rFonts w:ascii="Times New Roman" w:cs="Times New Roman" w:eastAsia="Times New Roman" w:hAnsi="Times New Roman"/>
          <w:sz w:val="18"/>
          <w:szCs w:val="18"/>
          <w:color w:val="auto"/>
        </w:rPr>
        <w:t>The Group’s objectives when managing capital are to safeguard its ability to continue as a going concern, so that the Group can continue its business and provide future returns for shareholders and maintain an optimal capital structure to reduce the cost of capital. In order to maintain or adjust the capital structure, the Group may issue new shares or sell assets to reduce debt. Capital is calculated as “equity attributable to owners of the Company” as shown in the balance sheet plus total borrowings (including current and non-current liabilities to credit institutions and lease liabilities as shown in the balance sheet) less cash and cash equivalents.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accounting judgments, estimates and assessments</w:t>
      </w:r>
    </w:p>
    <w:p>
      <w:pPr>
        <w:spacing w:after="0" w:line="189" w:lineRule="exact"/>
        <w:rPr>
          <w:sz w:val="20"/>
          <w:szCs w:val="20"/>
          <w:color w:val="auto"/>
        </w:rPr>
      </w:pPr>
    </w:p>
    <w:p>
      <w:pPr>
        <w:ind w:right="20" w:firstLine="802"/>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judgments, estimates and assumptions that affect the reported amounts of revenues, expenses, assets, liabilities and equity in the consolidated financial statements and the accompanying disclosures. Estimates and judgments are continually evaluated and are based on historical experience and other factors, including expectations of future events. Uncertainty about these assumptions and the use of accounting estimates may not equal the actual results. This note provides an overview of the areas that involved a higher degree of judgment or complexity.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recognition—variable consideration for discounts and trade promotion</w:t>
      </w:r>
    </w:p>
    <w:p>
      <w:pPr>
        <w:spacing w:after="0" w:line="189" w:lineRule="exact"/>
        <w:rPr>
          <w:sz w:val="20"/>
          <w:szCs w:val="20"/>
          <w:color w:val="auto"/>
        </w:rPr>
      </w:pPr>
    </w:p>
    <w:p>
      <w:pPr>
        <w:ind w:right="160" w:firstLine="802"/>
        <w:spacing w:after="0" w:line="258" w:lineRule="auto"/>
        <w:rPr>
          <w:sz w:val="20"/>
          <w:szCs w:val="20"/>
          <w:color w:val="auto"/>
        </w:rPr>
      </w:pPr>
      <w:r>
        <w:rPr>
          <w:rFonts w:ascii="Times New Roman" w:cs="Times New Roman" w:eastAsia="Times New Roman" w:hAnsi="Times New Roman"/>
          <w:sz w:val="18"/>
          <w:szCs w:val="18"/>
          <w:color w:val="auto"/>
        </w:rPr>
        <w:t>If the consideration in a contract includes a variable amount, the Group estimates the consideration to which the Group will be entitled in exchange for transferring goods to the customer. The Group’s expected discounts and payments for trade promotion activities are analyzed on a per customer basis. The Group estimates the consideration using either the expected value method or the most likely amount method, depending on which method better predicts the amount of consideration to which the Group will be entitled. The most likely amount method is used for contracts with a single contract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sum, while the expected value method is used for contracts with more than one threshold due to the complexity and the activities agreed with the individual customer.</w:t>
      </w:r>
    </w:p>
    <w:p>
      <w:pPr>
        <w:spacing w:after="0" w:line="135" w:lineRule="exact"/>
        <w:rPr>
          <w:sz w:val="20"/>
          <w:szCs w:val="20"/>
          <w:color w:val="auto"/>
        </w:rPr>
      </w:pPr>
    </w:p>
    <w:p>
      <w:pPr>
        <w:ind w:right="60" w:firstLine="802"/>
        <w:spacing w:after="0" w:line="266" w:lineRule="auto"/>
        <w:rPr>
          <w:sz w:val="20"/>
          <w:szCs w:val="20"/>
          <w:color w:val="auto"/>
        </w:rPr>
      </w:pPr>
      <w:r>
        <w:rPr>
          <w:rFonts w:ascii="Times New Roman" w:cs="Times New Roman" w:eastAsia="Times New Roman" w:hAnsi="Times New Roman"/>
          <w:sz w:val="18"/>
          <w:szCs w:val="18"/>
          <w:color w:val="auto"/>
        </w:rPr>
        <w:t>Management makes judgments when deciding whether trade promotion activities with a customer should be classified as a reduction to revenue or as a marketing expense. Generally, activities with the individual customer are accounted for as a reduction to revenue whereas costs related to broader marketing activities are classified as marketing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loss carry-forwards</w:t>
      </w:r>
    </w:p>
    <w:p>
      <w:pPr>
        <w:spacing w:after="0" w:line="189" w:lineRule="exact"/>
        <w:rPr>
          <w:sz w:val="20"/>
          <w:szCs w:val="20"/>
          <w:color w:val="auto"/>
        </w:rPr>
      </w:pPr>
    </w:p>
    <w:p>
      <w:pPr>
        <w:jc w:val="both"/>
        <w:ind w:right="80" w:firstLine="802"/>
        <w:spacing w:after="0" w:line="266" w:lineRule="auto"/>
        <w:rPr>
          <w:sz w:val="20"/>
          <w:szCs w:val="20"/>
          <w:color w:val="auto"/>
        </w:rPr>
      </w:pPr>
      <w:r>
        <w:rPr>
          <w:rFonts w:ascii="Times New Roman" w:cs="Times New Roman" w:eastAsia="Times New Roman" w:hAnsi="Times New Roman"/>
          <w:sz w:val="18"/>
          <w:szCs w:val="18"/>
          <w:color w:val="auto"/>
        </w:rPr>
        <w:t>A deferred tax asset is only recognized for loss carry-forwards, for which it is probable that they can be utilized against future tax surpluses and against taxable temporary differences. The majority of the loss carry-forwards as at December 31, 2021 and 2020 are not recognized in the Group as these are not expected to be utilized in the foreseeable future. Refer to Note 11 for further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Leases—Determining the lease term of contracts with renewal and termination options—Group as lessee</w:t>
      </w:r>
    </w:p>
    <w:p>
      <w:pPr>
        <w:spacing w:after="0" w:line="189" w:lineRule="exact"/>
        <w:rPr>
          <w:sz w:val="20"/>
          <w:szCs w:val="20"/>
          <w:color w:val="auto"/>
        </w:rPr>
      </w:pPr>
    </w:p>
    <w:p>
      <w:pPr>
        <w:ind w:right="360" w:firstLine="802"/>
        <w:spacing w:after="0" w:line="266" w:lineRule="auto"/>
        <w:rPr>
          <w:sz w:val="20"/>
          <w:szCs w:val="20"/>
          <w:color w:val="auto"/>
        </w:rPr>
      </w:pPr>
      <w:r>
        <w:rPr>
          <w:rFonts w:ascii="Times New Roman" w:cs="Times New Roman" w:eastAsia="Times New Roman" w:hAnsi="Times New Roman"/>
          <w:sz w:val="18"/>
          <w:szCs w:val="18"/>
          <w:color w:val="auto"/>
        </w:rPr>
        <w:t>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 (or not terminated).</w:t>
      </w:r>
    </w:p>
    <w:p>
      <w:pPr>
        <w:spacing w:after="0" w:line="176" w:lineRule="exact"/>
        <w:rPr>
          <w:sz w:val="20"/>
          <w:szCs w:val="20"/>
          <w:color w:val="auto"/>
        </w:rPr>
      </w:pPr>
    </w:p>
    <w:p>
      <w:pPr>
        <w:ind w:right="80" w:firstLine="802"/>
        <w:spacing w:after="0" w:line="258" w:lineRule="auto"/>
        <w:rPr>
          <w:sz w:val="20"/>
          <w:szCs w:val="20"/>
          <w:color w:val="auto"/>
        </w:rPr>
      </w:pPr>
      <w:r>
        <w:rPr>
          <w:rFonts w:ascii="Times New Roman" w:cs="Times New Roman" w:eastAsia="Times New Roman" w:hAnsi="Times New Roman"/>
          <w:sz w:val="18"/>
          <w:szCs w:val="18"/>
          <w:color w:val="auto"/>
        </w:rPr>
        <w:t>The majority of the extension options in properties and production equipment have not been included in the lease liability, primarily due to the fact that the Group could replace the assets without significant cost or business disruption. However, for four new production plants, which commenced during 2021, extension options have been included in the lease term since the Group intends to make larger investments in the plants. The total lease terms for these production plants are 10, 20 and 40 years. For two existing production plants, the contracts were amended during the period and additional extension options were included for a total lease term of 40 years.</w:t>
      </w:r>
    </w:p>
    <w:p>
      <w:pPr>
        <w:spacing w:after="0" w:line="143" w:lineRule="exact"/>
        <w:rPr>
          <w:sz w:val="20"/>
          <w:szCs w:val="20"/>
          <w:color w:val="auto"/>
        </w:rPr>
      </w:pPr>
    </w:p>
    <w:p>
      <w:pPr>
        <w:jc w:val="both"/>
        <w:ind w:right="140" w:firstLine="802"/>
        <w:spacing w:after="0" w:line="266" w:lineRule="auto"/>
        <w:rPr>
          <w:sz w:val="20"/>
          <w:szCs w:val="20"/>
          <w:color w:val="auto"/>
        </w:rPr>
      </w:pPr>
      <w:r>
        <w:rPr>
          <w:rFonts w:ascii="Times New Roman" w:cs="Times New Roman" w:eastAsia="Times New Roman" w:hAnsi="Times New Roman"/>
          <w:sz w:val="18"/>
          <w:szCs w:val="18"/>
          <w:color w:val="auto"/>
        </w:rPr>
        <w:t>The lease term is reassessed when it is decided that an option will be exercised (or not exercised) or the Group becomes obliged to exercise (or not exercise) it. The assessment of reasonable certainty is only revised if a significant event or a significant change in circumstances occurs, which affects this assessment, and that is within the control of the lessee. Refer to Note 15 for further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Leases—Estimating the incremental borrowing rate</w:t>
      </w:r>
    </w:p>
    <w:p>
      <w:pPr>
        <w:spacing w:after="0" w:line="189" w:lineRule="exact"/>
        <w:rPr>
          <w:sz w:val="20"/>
          <w:szCs w:val="20"/>
          <w:color w:val="auto"/>
        </w:rPr>
      </w:pPr>
    </w:p>
    <w:p>
      <w:pPr>
        <w:ind w:right="220" w:firstLine="802"/>
        <w:spacing w:after="0" w:line="256" w:lineRule="auto"/>
        <w:rPr>
          <w:sz w:val="20"/>
          <w:szCs w:val="20"/>
          <w:color w:val="auto"/>
        </w:rPr>
      </w:pPr>
      <w:r>
        <w:rPr>
          <w:rFonts w:ascii="Times New Roman" w:cs="Times New Roman" w:eastAsia="Times New Roman" w:hAnsi="Times New Roman"/>
          <w:sz w:val="18"/>
          <w:szCs w:val="18"/>
          <w:color w:val="auto"/>
        </w:rPr>
        <w:t>The Group cannot readily determine the interest rate implicit in the lease, therefore, it uses its incremental borrowing rate (“IBR”) to measure lease liabilities. The IBR is the rate of interest that the Group would have to pay to borrow over a similar term and, with a similar security, the funds necessary to obtain an asset of a similar value to the right-of-use asset in a similar economic environment. The IBR therefore reflects what the Group “would have to pay,” which requires estimation when no observable rates are available (such as for subsidiaries that do not enter into financing transactions). The Group estimates the IBR using observable inputs (such as market interest rates) when available and is required to make certain entity-specific estimates (such as the subsidiary’s stand-alone credit rating).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leases</w:t>
      </w:r>
    </w:p>
    <w:p>
      <w:pPr>
        <w:spacing w:after="0" w:line="189" w:lineRule="exact"/>
        <w:rPr>
          <w:sz w:val="20"/>
          <w:szCs w:val="20"/>
          <w:color w:val="auto"/>
        </w:rPr>
      </w:pPr>
    </w:p>
    <w:p>
      <w:pPr>
        <w:ind w:right="40" w:firstLine="802"/>
        <w:spacing w:after="0" w:line="256" w:lineRule="auto"/>
        <w:rPr>
          <w:sz w:val="20"/>
          <w:szCs w:val="20"/>
          <w:color w:val="auto"/>
        </w:rPr>
      </w:pPr>
      <w:r>
        <w:rPr>
          <w:rFonts w:ascii="Times New Roman" w:cs="Times New Roman" w:eastAsia="Times New Roman" w:hAnsi="Times New Roman"/>
          <w:sz w:val="18"/>
          <w:szCs w:val="18"/>
          <w:color w:val="auto"/>
        </w:rPr>
        <w:t>The Group has supplier contracts that have been reviewed in order to assess if the agreements contain embedded leases. There is judgment involved in assessing if an arrangement contains an embedded lease. The general rule is that an arrangement contains a lease if (1) there is an explicit or implicit identified asset in the contract, and (2) the customer controls use of the identified asset. For two supplier contracts entered into during 2021, the Group has concluded that there are embedded lease contracts. The lease liability for these embedded leases at year-end was approximately $10 million. For all other contracts and amendments, the Group has concluded that these agreements do not contain any embedded leases since it does not have the right to direct how and for what purpose the assets are used throughout the period of use.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 of impairment of goodwill</w:t>
      </w:r>
    </w:p>
    <w:p>
      <w:pPr>
        <w:spacing w:after="0" w:line="189" w:lineRule="exact"/>
        <w:rPr>
          <w:sz w:val="20"/>
          <w:szCs w:val="20"/>
          <w:color w:val="auto"/>
        </w:rPr>
      </w:pPr>
    </w:p>
    <w:p>
      <w:pPr>
        <w:ind w:right="580" w:firstLine="802"/>
        <w:spacing w:after="0" w:line="282" w:lineRule="auto"/>
        <w:rPr>
          <w:sz w:val="20"/>
          <w:szCs w:val="20"/>
          <w:color w:val="auto"/>
        </w:rPr>
      </w:pPr>
      <w:r>
        <w:rPr>
          <w:rFonts w:ascii="Times New Roman" w:cs="Times New Roman" w:eastAsia="Times New Roman" w:hAnsi="Times New Roman"/>
          <w:sz w:val="18"/>
          <w:szCs w:val="18"/>
          <w:color w:val="auto"/>
        </w:rPr>
        <w:t>The Group performs tests annually and if there are any indications of impairment to determine whether there is a need for impairment of goodwill, in accordance with the accounting principle presented in Note 2. At present, the Group only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has goodwill allocated to the operating segment EMEA. Recoverable amount for cash generating units are established through the calculation of the value in use. The calculation of the value in use is based on estimated future cash flows. The Group has estimated that EBITDA, the discount rate and the long-term growth rate are the most significant assumptions in the impairment test. Refer to Note 13 Intangible assets for further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89" w:lineRule="exact"/>
        <w:rPr>
          <w:sz w:val="20"/>
          <w:szCs w:val="20"/>
          <w:color w:val="auto"/>
        </w:rPr>
      </w:pPr>
    </w:p>
    <w:p>
      <w:pPr>
        <w:ind w:right="180" w:firstLine="802"/>
        <w:spacing w:after="0" w:line="266" w:lineRule="auto"/>
        <w:rPr>
          <w:sz w:val="20"/>
          <w:szCs w:val="20"/>
          <w:color w:val="auto"/>
        </w:rPr>
      </w:pPr>
      <w:r>
        <w:rPr>
          <w:rFonts w:ascii="Times New Roman" w:cs="Times New Roman" w:eastAsia="Times New Roman" w:hAnsi="Times New Roman"/>
          <w:sz w:val="18"/>
          <w:szCs w:val="18"/>
          <w:color w:val="auto"/>
        </w:rPr>
        <w:t>The Group measures the cost of equity-settled transactions by reference to the fair value of the equity instruments at the date at which they are granted. The fair value is estimated using a model, which requires the determination of the appropriate inputs. The assumptions and models used for estimating the fair value of share-based payment transactions including sensitivity analysis are disclosed in Note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 Description of segments and principal activities</w:t>
      </w:r>
    </w:p>
    <w:p>
      <w:pPr>
        <w:spacing w:after="0" w:line="202" w:lineRule="exact"/>
        <w:rPr>
          <w:sz w:val="20"/>
          <w:szCs w:val="20"/>
          <w:color w:val="auto"/>
        </w:rPr>
      </w:pPr>
    </w:p>
    <w:p>
      <w:pPr>
        <w:ind w:right="80" w:firstLine="802"/>
        <w:spacing w:after="0" w:line="261" w:lineRule="auto"/>
        <w:rPr>
          <w:sz w:val="20"/>
          <w:szCs w:val="20"/>
          <w:color w:val="auto"/>
        </w:rPr>
      </w:pPr>
      <w:r>
        <w:rPr>
          <w:rFonts w:ascii="Times New Roman" w:cs="Times New Roman" w:eastAsia="Times New Roman" w:hAnsi="Times New Roman"/>
          <w:sz w:val="18"/>
          <w:szCs w:val="18"/>
          <w:color w:val="auto"/>
        </w:rPr>
        <w:t>The CEO is the chief operating decision maker of the Group. The CEO evaluates financial position and performance and makes strategic decisions. The CEO makes decisions on the allocation of resources and evaluates performance based on geographic perspective. Internal reporting is also based on the geographic perspective. Geographically, the CEO considers the performance in EMEA, Americas and Asia; thus, three geographical areas are considered to be the Group’s three segments.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Revenue and EBITDA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336,452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179,830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126,908</w:t>
            </w: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643,190</w:t>
            </w:r>
          </w:p>
        </w:tc>
        <w:tc>
          <w:tcPr>
            <w:tcW w:w="100" w:type="dxa"/>
            <w:vAlign w:val="bottom"/>
          </w:tcPr>
          <w:p>
            <w:pPr>
              <w:spacing w:after="0"/>
              <w:rPr>
                <w:sz w:val="19"/>
                <w:szCs w:val="19"/>
                <w:color w:val="auto"/>
              </w:rPr>
            </w:pPr>
          </w:p>
        </w:tc>
      </w:tr>
      <w:tr>
        <w:trPr>
          <w:trHeight w:val="229"/>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(90,368)</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425,912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180,738</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126,908</w:t>
            </w: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(90,368)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643,190</w:t>
            </w:r>
          </w:p>
        </w:tc>
        <w:tc>
          <w:tcPr>
            <w:tcW w:w="100" w:type="dxa"/>
            <w:vAlign w:val="bottom"/>
          </w:tcPr>
          <w:p>
            <w:pPr>
              <w:spacing w:after="0"/>
              <w:rPr>
                <w:sz w:val="19"/>
                <w:szCs w:val="19"/>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21,959</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(44,560)</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(16,480)</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(107,896)</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(146,977)</w:t>
            </w: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(12,697)</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(23,632)</w:t>
            </w: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recall expenses</w:t>
            </w:r>
            <w:r>
              <w:rPr>
                <w:rFonts w:ascii="Times New Roman" w:cs="Times New Roman" w:eastAsia="Times New Roman" w:hAnsi="Times New Roman"/>
                <w:sz w:val="15"/>
                <w:szCs w:val="15"/>
                <w:color w:val="auto"/>
              </w:rPr>
              <w:t>1</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(1,654)</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(1,654)</w:t>
            </w: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charge</w:t>
            </w:r>
            <w:r>
              <w:rPr>
                <w:rFonts w:ascii="Times New Roman" w:cs="Times New Roman" w:eastAsia="Times New Roman" w:hAnsi="Times New Roman"/>
                <w:sz w:val="15"/>
                <w:szCs w:val="15"/>
                <w:color w:val="auto"/>
              </w:rPr>
              <w:t>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(4,970)</w:t>
            </w: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preparation and transaction costs</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(9,288)</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(9,288)</w:t>
            </w: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11,555</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(47,523)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(20,672)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(129,881)</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(186,521)</w:t>
            </w: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(15,740)</w:t>
            </w: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(27,222)</w:t>
            </w: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(215,048)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040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consists of general overhead costs not allocated to the segments.</w:t>
      </w:r>
    </w:p>
    <w:p>
      <w:pPr>
        <w:spacing w:after="0" w:line="27" w:lineRule="exact"/>
        <w:rPr>
          <w:sz w:val="20"/>
          <w:szCs w:val="20"/>
          <w:color w:val="auto"/>
        </w:rPr>
      </w:pPr>
    </w:p>
    <w:p>
      <w:pPr>
        <w:ind w:left="540" w:hanging="532"/>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in 2021 refer to intersegment revenue for sales of products from EMEA and Americas to Asia.</w:t>
      </w:r>
    </w:p>
    <w:p>
      <w:pPr>
        <w:spacing w:after="0" w:line="31" w:lineRule="exact"/>
        <w:rPr>
          <w:sz w:val="20"/>
          <w:szCs w:val="20"/>
          <w:color w:val="auto"/>
        </w:rPr>
      </w:pPr>
    </w:p>
    <w:p>
      <w:pPr>
        <w:ind w:left="540" w:right="160" w:hanging="532"/>
        <w:spacing w:after="0" w:line="261"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recall of products in Sweden as previously communicated on November 17, 2021. See the Company’s Form 6-K filed on November 17, 2021.</w:t>
      </w:r>
    </w:p>
    <w:p>
      <w:pPr>
        <w:ind w:left="540" w:right="480" w:hanging="532"/>
        <w:spacing w:after="0" w:line="260"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 asset impairment charge of certain production equipment at our Landskrona production facility in Sweden for which we have no alternative use. Of the $5.0 million, $4.3 million relates to property, plant and equipment and $0.7 million relates to leases.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2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267,691</w:t>
            </w: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99,997</w:t>
            </w: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53,663</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421,351</w:t>
            </w:r>
          </w:p>
        </w:tc>
      </w:tr>
      <w:tr>
        <w:trPr>
          <w:trHeight w:val="229"/>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35,208</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(35,438)</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302,899</w:t>
            </w: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100,227</w:t>
            </w: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53,663</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(35,438)</w:t>
            </w:r>
          </w:p>
        </w:tc>
        <w:tc>
          <w:tcPr>
            <w:tcW w:w="1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421,351</w:t>
            </w:r>
          </w:p>
        </w:tc>
      </w:tr>
      <w:tr>
        <w:trPr>
          <w:trHeight w:val="229"/>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39,456</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(25,117)</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(2,141)</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(44,480)</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(32,282)</w:t>
            </w: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9"/>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preparation and transaction costs</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39,456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(25,117)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(46,173)</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(33,975)</w:t>
            </w:r>
          </w:p>
        </w:tc>
      </w:tr>
      <w:tr>
        <w:trPr>
          <w:trHeight w:val="230"/>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29"/>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040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consists of general overhead costs not allocated to the segments.</w:t>
      </w:r>
    </w:p>
    <w:p>
      <w:pPr>
        <w:spacing w:after="0" w:line="27" w:lineRule="exact"/>
        <w:rPr>
          <w:sz w:val="20"/>
          <w:szCs w:val="20"/>
          <w:color w:val="auto"/>
        </w:rPr>
      </w:pPr>
    </w:p>
    <w:p>
      <w:pPr>
        <w:ind w:left="540" w:hanging="532"/>
        <w:spacing w:after="0"/>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in 2020 primarily refer to intersegment revenue for sales of products from EMEA to Asia.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2019</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154,746</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39,120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10,182</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204,047</w:t>
            </w: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8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160,967</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39,120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10,182</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(6,222)</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204,047</w:t>
            </w: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16,594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(5,211)</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(18,463)</w:t>
            </w: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(20,743)</w:t>
            </w:r>
          </w:p>
        </w:tc>
      </w:tr>
      <w:tr>
        <w:trPr>
          <w:trHeight w:val="229"/>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IPO preparation and transaction costs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16,594</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(5,211)</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(20,386)</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(22,665)</w:t>
            </w: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040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51" w:lineRule="exact"/>
        <w:rPr>
          <w:sz w:val="20"/>
          <w:szCs w:val="20"/>
          <w:color w:val="auto"/>
        </w:rPr>
      </w:pPr>
    </w:p>
    <w:p>
      <w:pPr>
        <w:ind w:left="540" w:hanging="532"/>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consists of general overhead costs not allocated to the segments.</w:t>
      </w:r>
    </w:p>
    <w:p>
      <w:pPr>
        <w:spacing w:after="0" w:line="27" w:lineRule="exact"/>
        <w:rPr>
          <w:sz w:val="20"/>
          <w:szCs w:val="20"/>
          <w:color w:val="auto"/>
        </w:rPr>
      </w:pPr>
    </w:p>
    <w:p>
      <w:pPr>
        <w:ind w:left="540" w:hanging="532"/>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in 2019 refer to intersegment revenue for sales of products from EMEA to Asia.</w:t>
      </w:r>
    </w:p>
    <w:p>
      <w:pPr>
        <w:spacing w:after="0" w:line="180" w:lineRule="exact"/>
        <w:rPr>
          <w:sz w:val="20"/>
          <w:szCs w:val="20"/>
          <w:color w:val="auto"/>
        </w:rPr>
      </w:pPr>
    </w:p>
    <w:p>
      <w:pPr>
        <w:ind w:right="180" w:firstLine="802"/>
        <w:spacing w:after="0" w:line="266" w:lineRule="auto"/>
        <w:rPr>
          <w:sz w:val="20"/>
          <w:szCs w:val="20"/>
          <w:color w:val="auto"/>
        </w:rPr>
      </w:pPr>
      <w:r>
        <w:rPr>
          <w:rFonts w:ascii="Times New Roman" w:cs="Times New Roman" w:eastAsia="Times New Roman" w:hAnsi="Times New Roman"/>
          <w:sz w:val="18"/>
          <w:szCs w:val="18"/>
          <w:color w:val="auto"/>
        </w:rPr>
        <w:t>Revenues of approximately 14% in 2021 are derived from a single external customer in the foodservice channel. These revenues are attributed to the Americas and Asia segments. There were no revenues in 2020 of 10% or more that derived from a single external customer. In 2019, revenues of approximately 10% were derived from a single external customer. These revenues were attributed to the EMEA segment.</w:t>
      </w:r>
    </w:p>
    <w:p>
      <w:pPr>
        <w:spacing w:after="0" w:line="135" w:lineRule="exact"/>
        <w:rPr>
          <w:sz w:val="20"/>
          <w:szCs w:val="20"/>
          <w:color w:val="auto"/>
        </w:rPr>
      </w:pPr>
    </w:p>
    <w:p>
      <w:pPr>
        <w:ind w:right="820" w:firstLine="802"/>
        <w:spacing w:after="0" w:line="282" w:lineRule="auto"/>
        <w:rPr>
          <w:sz w:val="20"/>
          <w:szCs w:val="20"/>
          <w:color w:val="auto"/>
        </w:rPr>
      </w:pPr>
      <w:r>
        <w:rPr>
          <w:rFonts w:ascii="Times New Roman" w:cs="Times New Roman" w:eastAsia="Times New Roman" w:hAnsi="Times New Roman"/>
          <w:sz w:val="18"/>
          <w:szCs w:val="18"/>
          <w:color w:val="auto"/>
        </w:rPr>
        <w:t>Our oatmilk accounted for approximately 91%, 90%, and 86% of our revenue in the years ended December 31, 2021, 2020 and 2019,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Non-current assets by country</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Non-current assets for this purpose consists of property, plant and equipment and right-of-use assets: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0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262,538</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142,563</w:t>
            </w:r>
          </w:p>
        </w:tc>
      </w:tr>
      <w:tr>
        <w:trPr>
          <w:trHeight w:val="229"/>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122,488</w:t>
            </w:r>
          </w:p>
        </w:tc>
        <w:tc>
          <w:tcPr>
            <w:tcW w:w="160" w:type="dxa"/>
            <w:vAlign w:val="bottom"/>
          </w:tcPr>
          <w:p>
            <w:pPr>
              <w:spacing w:after="0"/>
              <w:rPr>
                <w:sz w:val="19"/>
                <w:szCs w:val="19"/>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98,285</w:t>
            </w:r>
          </w:p>
        </w:tc>
      </w:tr>
      <w:tr>
        <w:trPr>
          <w:trHeight w:val="229"/>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119,973</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101,082</w:t>
            </w:r>
          </w:p>
        </w:tc>
        <w:tc>
          <w:tcPr>
            <w:tcW w:w="160" w:type="dxa"/>
            <w:vAlign w:val="bottom"/>
          </w:tcPr>
          <w:p>
            <w:pPr>
              <w:spacing w:after="0"/>
              <w:rPr>
                <w:sz w:val="19"/>
                <w:szCs w:val="19"/>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Singapore</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36,182</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8,780</w:t>
            </w:r>
          </w:p>
        </w:tc>
      </w:tr>
      <w:tr>
        <w:trPr>
          <w:trHeight w:val="23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25,833</w:t>
            </w:r>
          </w:p>
        </w:tc>
        <w:tc>
          <w:tcPr>
            <w:tcW w:w="160" w:type="dxa"/>
            <w:vAlign w:val="bottom"/>
          </w:tcPr>
          <w:p>
            <w:pPr>
              <w:spacing w:after="0"/>
              <w:rPr>
                <w:sz w:val="19"/>
                <w:szCs w:val="19"/>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25,194</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668,096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275,728</w:t>
            </w: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5.4. Revenue from external customers, broken down by location of the customers</w:t>
      </w:r>
    </w:p>
    <w:p>
      <w:pPr>
        <w:spacing w:after="0" w:line="189" w:lineRule="exact"/>
        <w:rPr>
          <w:sz w:val="20"/>
          <w:szCs w:val="20"/>
          <w:color w:val="auto"/>
        </w:rPr>
      </w:pPr>
    </w:p>
    <w:p>
      <w:pPr>
        <w:jc w:val="both"/>
        <w:ind w:right="120" w:firstLine="802"/>
        <w:spacing w:after="0" w:line="282"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177,180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99,988</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39,123</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120,278</w:t>
            </w:r>
          </w:p>
        </w:tc>
        <w:tc>
          <w:tcPr>
            <w:tcW w:w="1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92,805</w:t>
            </w:r>
          </w:p>
        </w:tc>
        <w:tc>
          <w:tcPr>
            <w:tcW w:w="1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47,347</w:t>
            </w:r>
          </w:p>
        </w:tc>
      </w:tr>
      <w:tr>
        <w:trPr>
          <w:trHeight w:val="22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111,830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47,452</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9,274</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70,699</w:t>
            </w:r>
          </w:p>
        </w:tc>
        <w:tc>
          <w:tcPr>
            <w:tcW w:w="1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51,673</w:t>
            </w:r>
          </w:p>
        </w:tc>
        <w:tc>
          <w:tcPr>
            <w:tcW w:w="1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17,322</w:t>
            </w: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57,937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56,587</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47,290</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27,420</w:t>
            </w:r>
          </w:p>
        </w:tc>
        <w:tc>
          <w:tcPr>
            <w:tcW w:w="1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25,818</w:t>
            </w:r>
          </w:p>
        </w:tc>
        <w:tc>
          <w:tcPr>
            <w:tcW w:w="1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21,505</w:t>
            </w:r>
          </w:p>
        </w:tc>
      </w:tr>
      <w:tr>
        <w:trPr>
          <w:trHeight w:val="22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24,047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17,017</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9,125</w:t>
            </w:r>
          </w:p>
        </w:tc>
      </w:tr>
      <w:tr>
        <w:trPr>
          <w:trHeight w:val="230"/>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53,799</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30,011</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13,061</w:t>
            </w: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643,190</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421,351</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204,047</w:t>
            </w:r>
          </w:p>
        </w:tc>
      </w:tr>
      <w:tr>
        <w:trPr>
          <w:trHeight w:val="20"/>
        </w:trPr>
        <w:tc>
          <w:tcPr>
            <w:tcW w:w="6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 Revenue from external customers, broken down by channel</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is shown in the table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387,939</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297,973</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153,035</w:t>
            </w:r>
          </w:p>
        </w:tc>
        <w:tc>
          <w:tcPr>
            <w:tcW w:w="100" w:type="dxa"/>
            <w:vAlign w:val="bottom"/>
            <w:shd w:val="clear" w:color="auto" w:fill="CFF0FC"/>
          </w:tcPr>
          <w:p>
            <w:pPr>
              <w:spacing w:after="0"/>
              <w:rPr>
                <w:sz w:val="19"/>
                <w:szCs w:val="19"/>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223,125</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108,317</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10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32,126</w:t>
            </w:r>
          </w:p>
        </w:tc>
        <w:tc>
          <w:tcPr>
            <w:tcW w:w="2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shd w:val="clear" w:color="auto" w:fill="CFF0FC"/>
          </w:tcPr>
          <w:p>
            <w:pPr>
              <w:spacing w:after="0"/>
              <w:rPr>
                <w:sz w:val="19"/>
                <w:szCs w:val="19"/>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643,190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421,351</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204,047</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Depreciation, amortization and impairment by function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plant</w:t>
            </w:r>
          </w:p>
        </w:tc>
        <w:tc>
          <w:tcPr>
            <w:tcW w:w="15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50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5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15"/>
                <w:szCs w:val="15"/>
                <w:color w:val="auto"/>
              </w:rPr>
              <w:t>1</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15"/>
                <w:szCs w:val="15"/>
                <w:color w:val="auto"/>
              </w:rPr>
              <w:t>2</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depreciation/amortization/impairment by function</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(20,177)</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(32,192)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hanging="532"/>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property, plant and equipment, the cost of goods sold portion of the EMEA asset impairment amounted to $1.5 million.</w:t>
      </w:r>
    </w:p>
    <w:p>
      <w:pPr>
        <w:spacing w:after="0" w:line="49" w:lineRule="exact"/>
        <w:rPr>
          <w:rFonts w:ascii="Times New Roman" w:cs="Times New Roman" w:eastAsia="Times New Roman" w:hAnsi="Times New Roman"/>
          <w:sz w:val="18"/>
          <w:szCs w:val="18"/>
          <w:color w:val="auto"/>
        </w:rPr>
      </w:pPr>
    </w:p>
    <w:p>
      <w:pPr>
        <w:ind w:left="540" w:right="320" w:hanging="532"/>
        <w:spacing w:after="0" w:line="282"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property, plant and equipment, the selling, general and administrative expenses portion of the EMEA asset impairment amounted to $3.5 million.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plant</w:t>
            </w:r>
          </w:p>
        </w:tc>
        <w:tc>
          <w:tcPr>
            <w:tcW w:w="140" w:type="dxa"/>
            <w:vAlign w:val="bottom"/>
          </w:tcPr>
          <w:p>
            <w:pPr>
              <w:spacing w:after="0"/>
              <w:rPr>
                <w:sz w:val="12"/>
                <w:szCs w:val="12"/>
                <w:color w:val="auto"/>
              </w:rPr>
            </w:pPr>
          </w:p>
        </w:tc>
        <w:tc>
          <w:tcPr>
            <w:tcW w:w="146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300" w:type="dxa"/>
            <w:vAlign w:val="bottom"/>
            <w:gridSpan w:val="6"/>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300" w:type="dxa"/>
            <w:vAlign w:val="bottom"/>
            <w:gridSpan w:val="6"/>
            <w:vMerge w:val="continue"/>
          </w:tcPr>
          <w:p>
            <w:pPr>
              <w:spacing w:after="0"/>
              <w:rPr>
                <w:sz w:val="12"/>
                <w:szCs w:val="12"/>
                <w:color w:val="auto"/>
              </w:rPr>
            </w:pP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4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tcBorders>
              <w:top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(6,131)</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13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depreciation/amortization/impairment by function</w:t>
            </w:r>
          </w:p>
        </w:tc>
        <w:tc>
          <w:tcPr>
            <w:tcW w:w="12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(6,337)</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(5,821)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(960)</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60" w:type="dxa"/>
            <w:vAlign w:val="bottom"/>
          </w:tcPr>
          <w:p>
            <w:pPr>
              <w:spacing w:after="0"/>
              <w:rPr>
                <w:sz w:val="11"/>
                <w:szCs w:val="11"/>
                <w:color w:val="auto"/>
              </w:rPr>
            </w:pP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plant</w:t>
            </w:r>
          </w:p>
        </w:tc>
        <w:tc>
          <w:tcPr>
            <w:tcW w:w="140" w:type="dxa"/>
            <w:vAlign w:val="bottom"/>
          </w:tcPr>
          <w:p>
            <w:pPr>
              <w:spacing w:after="0"/>
              <w:rPr>
                <w:sz w:val="12"/>
                <w:szCs w:val="12"/>
                <w:color w:val="auto"/>
              </w:rPr>
            </w:pPr>
          </w:p>
        </w:tc>
        <w:tc>
          <w:tcPr>
            <w:tcW w:w="146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300" w:type="dxa"/>
            <w:vAlign w:val="bottom"/>
            <w:gridSpan w:val="6"/>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300" w:type="dxa"/>
            <w:vAlign w:val="bottom"/>
            <w:gridSpan w:val="6"/>
            <w:vMerge w:val="continue"/>
          </w:tcPr>
          <w:p>
            <w:pPr>
              <w:spacing w:after="0"/>
              <w:rPr>
                <w:sz w:val="12"/>
                <w:szCs w:val="12"/>
                <w:color w:val="auto"/>
              </w:rPr>
            </w:pP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4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30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tcBorders>
              <w:top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13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depreciation/amortization/impairment by function</w:t>
            </w:r>
          </w:p>
        </w:tc>
        <w:tc>
          <w:tcPr>
            <w:tcW w:w="12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(3,919)</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(8,094)</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Employee and personnel costs</w:t>
            </w: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700" w:type="dxa"/>
            <w:vAlign w:val="bottom"/>
            <w:gridSpan w:val="10"/>
          </w:tcPr>
          <w:p>
            <w:pPr>
              <w:ind w:left="800"/>
              <w:spacing w:after="0"/>
              <w:rPr>
                <w:sz w:val="20"/>
                <w:szCs w:val="20"/>
                <w:color w:val="auto"/>
              </w:rPr>
            </w:pPr>
            <w:r>
              <w:rPr>
                <w:rFonts w:ascii="Times New Roman" w:cs="Times New Roman" w:eastAsia="Times New Roman" w:hAnsi="Times New Roman"/>
                <w:sz w:val="18"/>
                <w:szCs w:val="18"/>
                <w:color w:val="auto"/>
              </w:rPr>
              <w:t>The disclosure amounts are based on the expense recognized in the consolidated statement of operations.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60" w:type="dxa"/>
            <w:vAlign w:val="bottom"/>
            <w:tcBorders>
              <w:bottom w:val="single" w:sz="8" w:color="CFF0FC"/>
            </w:tcBorders>
          </w:tcPr>
          <w:p>
            <w:pPr>
              <w:spacing w:after="0"/>
              <w:rPr>
                <w:sz w:val="24"/>
                <w:szCs w:val="24"/>
                <w:color w:val="auto"/>
              </w:rPr>
            </w:pPr>
          </w:p>
        </w:tc>
        <w:tc>
          <w:tcPr>
            <w:tcW w:w="7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other remuneration</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(109,847)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(30,365)</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Pension costs—defined contribution plans</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employee benefits</w:t>
            </w:r>
          </w:p>
        </w:tc>
        <w:tc>
          <w:tcPr>
            <w:tcW w:w="7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(161,027)</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(79,702)</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(40,546)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Key management compensation</w:t>
            </w: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Social security contributions</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(23,666)</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(7,657)</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5" w:name="page146"/>
    <w:bookmarkEnd w:id="1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Key management is comprised of 13 members of management, including our Executive Officers (CEO and CFO), and the Board of Directors.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 Employee benefits expenses by function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(35,959)</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00" w:type="dxa"/>
            <w:vAlign w:val="bottom"/>
            <w:shd w:val="clear" w:color="auto" w:fill="CFF0FC"/>
          </w:tcPr>
          <w:p>
            <w:pPr>
              <w:spacing w:after="0"/>
              <w:rPr>
                <w:sz w:val="19"/>
                <w:szCs w:val="19"/>
                <w:color w:val="auto"/>
              </w:rPr>
            </w:pPr>
          </w:p>
        </w:tc>
      </w:tr>
      <w:tr>
        <w:trPr>
          <w:trHeight w:val="22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(10,336)</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(4,145)</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(2,762)</w:t>
            </w:r>
          </w:p>
        </w:tc>
      </w:tr>
      <w:tr>
        <w:trPr>
          <w:trHeight w:val="230"/>
        </w:trPr>
        <w:tc>
          <w:tcPr>
            <w:tcW w:w="6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(114,732)</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(52,424)</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(26,402)</w:t>
            </w: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(161,027)</w:t>
            </w:r>
          </w:p>
        </w:tc>
        <w:tc>
          <w:tcPr>
            <w:tcW w:w="2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(79,702)</w:t>
            </w:r>
          </w:p>
        </w:tc>
        <w:tc>
          <w:tcPr>
            <w:tcW w:w="2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(40,546)</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payments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LTI 2021</w:t>
      </w:r>
    </w:p>
    <w:p>
      <w:pPr>
        <w:spacing w:after="0" w:line="229" w:lineRule="exact"/>
        <w:rPr>
          <w:sz w:val="20"/>
          <w:szCs w:val="20"/>
          <w:color w:val="auto"/>
        </w:rPr>
      </w:pPr>
    </w:p>
    <w:p>
      <w:pPr>
        <w:ind w:right="240" w:firstLine="802"/>
        <w:spacing w:after="0" w:line="256" w:lineRule="auto"/>
        <w:rPr>
          <w:sz w:val="20"/>
          <w:szCs w:val="20"/>
          <w:color w:val="auto"/>
        </w:rPr>
      </w:pPr>
      <w:r>
        <w:rPr>
          <w:rFonts w:ascii="Times New Roman" w:cs="Times New Roman" w:eastAsia="Times New Roman" w:hAnsi="Times New Roman"/>
          <w:sz w:val="18"/>
          <w:szCs w:val="18"/>
          <w:color w:val="auto"/>
        </w:rPr>
        <w:t>The extraordinary general meeting in the Company held on May 6, 2021 (the “EGM”) adopted a long-term incentive program for the Company’s board members, management and employees (including qualifying consultants who work full-time for the group and over a longer period) called (“LTI 2021”). The LTI 2021 contains an omnibus incentive plan, the Oatly 2021 Incentive Award Plan, that was adopted at the EGM (the “LTI Incentive Plan”), applicable to all LTI 2021 participants. The principal purpose of the LTI 2021 is to attract, retain and motivate selected employees, consultants and members of the Board of Directors through the granting of share-based compensation awards and cash-based performance bonus awards from 2021 and onwards.</w:t>
      </w:r>
    </w:p>
    <w:p>
      <w:pPr>
        <w:spacing w:after="0" w:line="187" w:lineRule="exact"/>
        <w:rPr>
          <w:sz w:val="20"/>
          <w:szCs w:val="20"/>
          <w:color w:val="auto"/>
        </w:rPr>
      </w:pPr>
    </w:p>
    <w:p>
      <w:pPr>
        <w:ind w:right="240" w:firstLine="802"/>
        <w:spacing w:after="0" w:line="266" w:lineRule="auto"/>
        <w:rPr>
          <w:sz w:val="20"/>
          <w:szCs w:val="20"/>
          <w:color w:val="auto"/>
        </w:rPr>
      </w:pPr>
      <w:r>
        <w:rPr>
          <w:rFonts w:ascii="Times New Roman" w:cs="Times New Roman" w:eastAsia="Times New Roman" w:hAnsi="Times New Roman"/>
          <w:sz w:val="18"/>
          <w:szCs w:val="18"/>
          <w:color w:val="auto"/>
        </w:rPr>
        <w:t>Pursuant to LTI 2021, the Company may grant restricted stock units (“RSUs”) and stock options (jointly, “Awards”) to eligible participants to acquire (i) common shares, with a quota value of SEK 0.0015 per share as of 20 May 2021 (“Common Shares”), or (ii) American Depositary Shares or American Depositary Receipts, each representing one Common Share (jointly, the “Shares”).</w:t>
      </w:r>
    </w:p>
    <w:p>
      <w:pPr>
        <w:spacing w:after="0" w:line="176" w:lineRule="exact"/>
        <w:rPr>
          <w:sz w:val="20"/>
          <w:szCs w:val="20"/>
          <w:color w:val="auto"/>
        </w:rPr>
      </w:pPr>
    </w:p>
    <w:p>
      <w:pPr>
        <w:ind w:right="20" w:firstLine="802"/>
        <w:spacing w:after="0" w:line="255" w:lineRule="auto"/>
        <w:rPr>
          <w:sz w:val="20"/>
          <w:szCs w:val="20"/>
          <w:color w:val="auto"/>
        </w:rPr>
      </w:pPr>
      <w:r>
        <w:rPr>
          <w:rFonts w:ascii="Times New Roman" w:cs="Times New Roman" w:eastAsia="Times New Roman" w:hAnsi="Times New Roman"/>
          <w:sz w:val="18"/>
          <w:szCs w:val="18"/>
          <w:color w:val="auto"/>
        </w:rPr>
        <w:t>Pursuant to LTI 2021, the Company may grant Awards entitling to a maximum of 69,496,515 Shares. The LTI 2021 is a multi-year long term incentive program and Awards may be awarded up until and including 2026. To ensure the delivery of Shares underlying the Awards in accordance with the LTI 2021, the EGM resolved to issue not more than 69,496,515 warrants (the “Warrants”), whereby the Company’s share capital could be increased by not more than SEK 102,957.80 (assuming a quota value of SEK 0.0015 per share) upon exercise of the Warrants for subscription and registration with the Swedish Companies Registration Office (the “SCRO”) of Common Shares. All 69,496,515 Warrants shall be subscribed for by the Company (which in accordance with the EGM’s resolution shall be entitled to transfer the Warrants to participants or a third party in order to fulfil the commitments arising from LTI 2021) and will be registered with the SCRO.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ind w:right="200" w:firstLine="802"/>
        <w:spacing w:after="0" w:line="258" w:lineRule="auto"/>
        <w:rPr>
          <w:sz w:val="20"/>
          <w:szCs w:val="20"/>
          <w:color w:val="auto"/>
        </w:rPr>
      </w:pPr>
      <w:r>
        <w:rPr>
          <w:rFonts w:ascii="Times New Roman" w:cs="Times New Roman" w:eastAsia="Times New Roman" w:hAnsi="Times New Roman"/>
          <w:sz w:val="18"/>
          <w:szCs w:val="18"/>
          <w:color w:val="auto"/>
        </w:rPr>
        <w:t>During the financial year 2021, the Company, under the LTI 2021, issued 1,791,602 RSUs to employees and 41,175 RSUs to members of the Board of Directors. The RSUs were granted free of charge and are accounted for as equity-settled share-based payment transactions. The RSUs are measured based on the fair market value of the underlying ordinary shares on the date of grant. The RSUs granted to employees vest gradually over three years from date of grant, subject to continued service. The RSUs granted to members of its Board of Directors vest over one year from date of grant, subject to continued service.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Grant date fair 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Granted May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1,257,127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November</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575,650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(131,770)</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1,701,007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options</w:t>
      </w:r>
    </w:p>
    <w:p>
      <w:pPr>
        <w:spacing w:after="0" w:line="227" w:lineRule="exact"/>
        <w:rPr>
          <w:sz w:val="20"/>
          <w:szCs w:val="20"/>
          <w:color w:val="auto"/>
        </w:rPr>
      </w:pPr>
    </w:p>
    <w:p>
      <w:pPr>
        <w:ind w:right="40" w:firstLine="802"/>
        <w:spacing w:after="0" w:line="255" w:lineRule="auto"/>
        <w:rPr>
          <w:sz w:val="20"/>
          <w:szCs w:val="20"/>
          <w:color w:val="auto"/>
        </w:rPr>
      </w:pPr>
      <w:r>
        <w:rPr>
          <w:rFonts w:ascii="Times New Roman" w:cs="Times New Roman" w:eastAsia="Times New Roman" w:hAnsi="Times New Roman"/>
          <w:sz w:val="18"/>
          <w:szCs w:val="18"/>
          <w:color w:val="auto"/>
        </w:rPr>
        <w:t>During the financial year 2021, the Company, under the LTI 2021, issued 7,002,430 employee stock options to employees, of which 5,750,002 were issued to members of key management (excl. the Board of Directors). The employee stock options were granted free of charge and are accounted for as equity-settled share-based payment transactions. For employee stock options granted under the LTI 2021, the exercise price is equal to the fair value of the ordinary shares on grant date. The exercise price is included in the grant date fair value of the award. The employee stock options granted to participants under the LTI 2021 vest in equal instalments on each of the first three anniversaries of the date of grant, subject to continued service. The stock options expire, in relation to each instalment under the vesting schedule, five years after vesting, corresponding to a total term of six, seven and eight years for the respective installment.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 employee</w:t>
            </w:r>
          </w:p>
        </w:tc>
      </w:tr>
      <w:tr>
        <w:trPr>
          <w:trHeight w:val="173"/>
        </w:trPr>
        <w:tc>
          <w:tcPr>
            <w:tcW w:w="772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Granted May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6,867,649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November</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134,781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(44,118)</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6,958,312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 options expired during the period covered by the above table.</w:t>
      </w:r>
    </w:p>
    <w:p>
      <w:pPr>
        <w:spacing w:after="0" w:line="185" w:lineRule="exact"/>
        <w:rPr>
          <w:sz w:val="20"/>
          <w:szCs w:val="20"/>
          <w:color w:val="auto"/>
        </w:rPr>
      </w:pPr>
    </w:p>
    <w:p>
      <w:pPr>
        <w:jc w:val="both"/>
        <w:ind w:right="100" w:firstLine="802"/>
        <w:spacing w:after="0" w:line="266" w:lineRule="auto"/>
        <w:rPr>
          <w:sz w:val="20"/>
          <w:szCs w:val="20"/>
          <w:color w:val="auto"/>
        </w:rPr>
      </w:pPr>
      <w:r>
        <w:rPr>
          <w:rFonts w:ascii="Times New Roman" w:cs="Times New Roman" w:eastAsia="Times New Roman" w:hAnsi="Times New Roman"/>
          <w:sz w:val="18"/>
          <w:szCs w:val="18"/>
          <w:color w:val="auto"/>
        </w:rPr>
        <w:t>Employee stock options outstanding as at December 31, 2021, amounted to 6,823,531 for the May 2021 grant with an exercise price of $17 per share, and 134,781 for the November 2021 grant with an exercise price of $9.92 per share. One-third of the employee stock options vests each anniversary after grant, and the expiration date is five years from the relevant vesting date.</w:t>
      </w:r>
    </w:p>
    <w:p>
      <w:pPr>
        <w:spacing w:after="0" w:line="176" w:lineRule="exact"/>
        <w:rPr>
          <w:sz w:val="20"/>
          <w:szCs w:val="20"/>
          <w:color w:val="auto"/>
        </w:rPr>
      </w:pPr>
    </w:p>
    <w:p>
      <w:pPr>
        <w:ind w:right="40" w:firstLine="802"/>
        <w:spacing w:after="0" w:line="255" w:lineRule="auto"/>
        <w:rPr>
          <w:sz w:val="20"/>
          <w:szCs w:val="20"/>
          <w:color w:val="auto"/>
        </w:rPr>
      </w:pPr>
      <w:r>
        <w:rPr>
          <w:rFonts w:ascii="Times New Roman" w:cs="Times New Roman" w:eastAsia="Times New Roman" w:hAnsi="Times New Roman"/>
          <w:sz w:val="18"/>
          <w:szCs w:val="18"/>
          <w:color w:val="auto"/>
        </w:rPr>
        <w:t>The fair value at grant date of employee stock options granted during the financial year 2021 was USD 6.24 for the May 2021 grant date and USD 3.67 for the November 2021 grant date. The fair value of the employee stock options at grant date has been determined using the Black-Scholes option-pricing model, which takes into account the exercise price, the expected term of the employee stock options, the share price at grant date, expected price volatility of the underlying share, the expected dividend yield, the risk-free interest rate for the term of the employee stock options and the correlations and volatilities of the peer Group companies. The Company does not anticipate paying any cash dividends in the near future and therefore uses an expected dividend yield of zero in the option valuation model. The following table lists the inputs to the Black-Scholes option-pricing model used for employee stock options granted during the financial year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May 2021</w:t>
            </w:r>
          </w:p>
        </w:tc>
        <w:tc>
          <w:tcPr>
            <w:tcW w:w="16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November 2021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Expected price volatility of the Company's shares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1.09-1.44</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1.34-1.48</w:t>
            </w:r>
          </w:p>
        </w:tc>
      </w:tr>
    </w:tbl>
    <w:p>
      <w:pPr>
        <w:spacing w:after="0" w:line="198" w:lineRule="exact"/>
        <w:rPr>
          <w:sz w:val="20"/>
          <w:szCs w:val="20"/>
          <w:color w:val="auto"/>
        </w:rPr>
      </w:pPr>
    </w:p>
    <w:p>
      <w:pPr>
        <w:ind w:right="100" w:firstLine="802"/>
        <w:spacing w:after="0" w:line="282" w:lineRule="auto"/>
        <w:rPr>
          <w:sz w:val="20"/>
          <w:szCs w:val="20"/>
          <w:color w:val="auto"/>
        </w:rPr>
      </w:pPr>
      <w:r>
        <w:rPr>
          <w:rFonts w:ascii="Times New Roman" w:cs="Times New Roman" w:eastAsia="Times New Roman" w:hAnsi="Times New Roman"/>
          <w:sz w:val="18"/>
          <w:szCs w:val="18"/>
          <w:color w:val="auto"/>
        </w:rPr>
        <w:t>Valuation assumptions are determined at each grant date and, as a result, are likely to change for share- based awards granted in future periods. Changes to the input assumptions could materially affect the estimated fair value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employee stock options. The sensitivity analysis below shows the impact of increasing and decreasing the share price by 10%, expected volatility by 2% as well as the impact of increasing and decreasing the expected term by 6 months. This analysis was performed on employee stock options granted in 2021.</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following table shows the impact of these changes on fair value per employee stock option granted 2021:</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May 2021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November 2021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price decrease 10%</w:t>
            </w:r>
          </w:p>
        </w:tc>
        <w:tc>
          <w:tcPr>
            <w:tcW w:w="1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(1.16)</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increase 10%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Pr>
          <w:p>
            <w:pPr>
              <w:spacing w:after="0"/>
              <w:rPr>
                <w:sz w:val="19"/>
                <w:szCs w:val="19"/>
                <w:color w:val="auto"/>
              </w:rPr>
            </w:pPr>
          </w:p>
        </w:tc>
      </w:tr>
      <w:tr>
        <w:trPr>
          <w:trHeight w:val="229"/>
        </w:trPr>
        <w:tc>
          <w:tcPr>
            <w:tcW w:w="8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decrease 2%</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r>
      <w:tr>
        <w:trPr>
          <w:trHeight w:val="22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 increase 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9"/>
                <w:szCs w:val="19"/>
                <w:color w:val="auto"/>
              </w:rPr>
            </w:pPr>
          </w:p>
        </w:tc>
      </w:tr>
      <w:tr>
        <w:trPr>
          <w:trHeight w:val="230"/>
        </w:trPr>
        <w:tc>
          <w:tcPr>
            <w:tcW w:w="8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decrease 6 months</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increase 6 months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2016-2020</w:t>
      </w:r>
    </w:p>
    <w:p>
      <w:pPr>
        <w:spacing w:after="0" w:line="202" w:lineRule="exact"/>
        <w:rPr>
          <w:sz w:val="20"/>
          <w:szCs w:val="20"/>
          <w:color w:val="auto"/>
        </w:rPr>
      </w:pPr>
    </w:p>
    <w:p>
      <w:pPr>
        <w:ind w:right="140" w:firstLine="802"/>
        <w:spacing w:after="0" w:line="282" w:lineRule="auto"/>
        <w:rPr>
          <w:sz w:val="20"/>
          <w:szCs w:val="20"/>
          <w:color w:val="auto"/>
        </w:rPr>
      </w:pPr>
      <w:r>
        <w:rPr>
          <w:rFonts w:ascii="Times New Roman" w:cs="Times New Roman" w:eastAsia="Times New Roman" w:hAnsi="Times New Roman"/>
          <w:sz w:val="18"/>
          <w:szCs w:val="18"/>
          <w:color w:val="auto"/>
        </w:rPr>
        <w:t>The Group has granted warrants to employees during 2016 to 2020. The warrants outstanding as at January 1, 2021, have been either exercised or forfeited during the year as follows: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Set out below are summaries of warrants granted under the plans: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16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720" w:type="dxa"/>
            <w:vAlign w:val="bottom"/>
          </w:tcPr>
          <w:p>
            <w:pPr>
              <w:spacing w:after="0"/>
              <w:rPr>
                <w:sz w:val="15"/>
                <w:szCs w:val="15"/>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January 1, 2020</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SEK 5.65</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1,492,864</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SEK 39.77</w:t>
            </w:r>
          </w:p>
        </w:tc>
        <w:tc>
          <w:tcPr>
            <w:tcW w:w="1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107,000</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Redeemed during the year</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SEK 5.27</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(123,667)</w:t>
            </w:r>
          </w:p>
        </w:tc>
      </w:t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 2020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SEK 8.16</w:t>
            </w:r>
          </w:p>
        </w:tc>
        <w:tc>
          <w:tcPr>
            <w:tcW w:w="16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1,476,197</w:t>
            </w:r>
          </w:p>
        </w:tc>
      </w:tr>
    </w:tbl>
    <w:p>
      <w:pPr>
        <w:spacing w:after="0" w:line="229" w:lineRule="exact"/>
        <w:rPr>
          <w:sz w:val="20"/>
          <w:szCs w:val="20"/>
          <w:color w:val="auto"/>
        </w:rPr>
      </w:pPr>
    </w:p>
    <w:p>
      <w:pPr>
        <w:ind w:left="540" w:hanging="532"/>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holders have the right to subscribe to 27 ordinary shares per warrant.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720" w:type="dxa"/>
            <w:vAlign w:val="bottom"/>
          </w:tcPr>
          <w:p>
            <w:pPr>
              <w:spacing w:after="0"/>
              <w:rPr>
                <w:sz w:val="15"/>
                <w:szCs w:val="15"/>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January 1, 2021</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SEK 8.16</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1,476,197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SEK 8.16</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(1,456,197)</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SEK 7.68</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r>
    </w:tbl>
    <w:p>
      <w:pPr>
        <w:spacing w:after="0" w:line="216" w:lineRule="exact"/>
        <w:rPr>
          <w:sz w:val="20"/>
          <w:szCs w:val="20"/>
          <w:color w:val="auto"/>
        </w:rPr>
      </w:pPr>
    </w:p>
    <w:p>
      <w:pPr>
        <w:ind w:left="540" w:hanging="532"/>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holders have the right to subscribe to 27 ordinary shares per warrant.</w:t>
      </w:r>
    </w:p>
    <w:p>
      <w:pPr>
        <w:spacing w:after="0" w:line="198" w:lineRule="exact"/>
        <w:rPr>
          <w:sz w:val="20"/>
          <w:szCs w:val="20"/>
          <w:color w:val="auto"/>
        </w:rPr>
      </w:pPr>
    </w:p>
    <w:p>
      <w:pPr>
        <w:ind w:right="120" w:firstLine="802"/>
        <w:spacing w:after="0" w:line="261" w:lineRule="auto"/>
        <w:rPr>
          <w:sz w:val="20"/>
          <w:szCs w:val="20"/>
          <w:color w:val="auto"/>
        </w:rPr>
      </w:pPr>
      <w:r>
        <w:rPr>
          <w:rFonts w:ascii="Times New Roman" w:cs="Times New Roman" w:eastAsia="Times New Roman" w:hAnsi="Times New Roman"/>
          <w:sz w:val="18"/>
          <w:szCs w:val="18"/>
          <w:color w:val="auto"/>
        </w:rPr>
        <w:t>The estimated weighted average fair value at grant date of warrants granted during 2020 was SEK 115.9. The fair value of the warrants at grant date has been determined using the Black-Scholes model, which takes into account the exercise price, the expected term of the warrant, the share price at grant date, expected price volatility of the underlying share, the expected dividend yield, the risk-free interest rate for the term of the warrant and the correlations and volatilities of the peer Group companies.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model inputs for warrants granted during the year ended December 31, 2020, included: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80" w:type="dxa"/>
            <w:vAlign w:val="bottom"/>
            <w:tcBorders>
              <w:bottom w:val="single" w:sz="8" w:color="CFF0FC"/>
            </w:tcBorders>
          </w:tcPr>
          <w:p>
            <w:pPr>
              <w:spacing w:after="0"/>
              <w:rPr>
                <w:sz w:val="15"/>
                <w:szCs w:val="15"/>
                <w:color w:val="auto"/>
              </w:rPr>
            </w:pPr>
          </w:p>
        </w:tc>
        <w:tc>
          <w:tcPr>
            <w:tcW w:w="206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 per share</w:t>
            </w:r>
          </w:p>
        </w:tc>
        <w:tc>
          <w:tcPr>
            <w:tcW w:w="2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SEK 39.77</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2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July 2020</w:t>
            </w: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term</w:t>
            </w:r>
          </w:p>
        </w:tc>
        <w:tc>
          <w:tcPr>
            <w:tcW w:w="2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2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 years</w:t>
            </w:r>
          </w:p>
        </w:tc>
      </w:tr>
      <w:tr>
        <w:trPr>
          <w:trHeight w:val="22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 price at grant date</w:t>
            </w:r>
          </w:p>
        </w:tc>
        <w:tc>
          <w:tcPr>
            <w:tcW w:w="20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SEK 39.77</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Expected price volatility of the Company’s shares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3" w:lineRule="exact"/>
        <w:rPr>
          <w:sz w:val="20"/>
          <w:szCs w:val="20"/>
          <w:color w:val="auto"/>
        </w:rPr>
      </w:pPr>
    </w:p>
    <w:p>
      <w:pPr>
        <w:ind w:right="200" w:firstLine="802"/>
        <w:spacing w:after="0" w:line="261" w:lineRule="auto"/>
        <w:rPr>
          <w:sz w:val="20"/>
          <w:szCs w:val="20"/>
          <w:color w:val="auto"/>
        </w:rPr>
      </w:pPr>
      <w:r>
        <w:rPr>
          <w:rFonts w:ascii="Times New Roman" w:cs="Times New Roman" w:eastAsia="Times New Roman" w:hAnsi="Times New Roman"/>
          <w:sz w:val="18"/>
          <w:szCs w:val="18"/>
          <w:color w:val="auto"/>
        </w:rPr>
        <w:t>Valuation assumptions are determined at each grant date and, as a result, are likely to change for share-based awards granted in future periods. Changes to the input assumptions could materially affect the estimated fair value of the warrants. The sensitivity analysis below shows the impact of increasing and decreasing the share price by 10%, expected volatility by 2% as well as the impact of increasing and decreasing the expected term by 6 months. This analysis was performed on warrants granted in 2020.</w:t>
      </w:r>
    </w:p>
    <w:p>
      <w:pPr>
        <w:spacing w:after="0" w:line="1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following table shows the impact of these changes on fair value per warrant granted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Borders>
              <w:bottom w:val="single" w:sz="8" w:color="CFF0FC"/>
            </w:tcBorders>
          </w:tcPr>
          <w:p>
            <w:pPr>
              <w:spacing w:after="0"/>
              <w:rPr>
                <w:sz w:val="15"/>
                <w:szCs w:val="15"/>
                <w:color w:val="auto"/>
              </w:rPr>
            </w:pPr>
          </w:p>
        </w:tc>
        <w:tc>
          <w:tcPr>
            <w:tcW w:w="1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price decrease 10%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SEK (51.40)</w:t>
            </w: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Share price increase 10%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SEK 66.90</w:t>
            </w: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decrease 2%</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SEK (7.70)</w:t>
            </w: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Volatility increase 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SEK 7.70</w:t>
            </w: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decrease 6 months</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SEK (43.60)</w:t>
            </w:r>
          </w:p>
        </w:tc>
      </w:t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increase 6 months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SEK 31.00</w:t>
            </w:r>
          </w:p>
        </w:tc>
      </w:tr>
    </w:tbl>
    <w:p>
      <w:pPr>
        <w:spacing w:after="0" w:line="1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 addition to the warrants, the Group has issued full recourse loans at a market rate to the participants for the purchase price of the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16 Other non-current receivables and Note 30 Related party disclosures.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 arising from the share-based payment transactions</w:t>
            </w:r>
          </w:p>
        </w:tc>
        <w:tc>
          <w:tcPr>
            <w:tcW w:w="338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5"/>
                <w:szCs w:val="15"/>
                <w:color w:val="auto"/>
              </w:rPr>
            </w:pP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5"/>
                <w:szCs w:val="15"/>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issued under LTI 2021</w:t>
            </w:r>
          </w:p>
        </w:tc>
        <w:tc>
          <w:tcPr>
            <w:tcW w:w="2300" w:type="dxa"/>
            <w:vAlign w:val="bottom"/>
            <w:tcBorders>
              <w:top w:val="single" w:sz="8" w:color="CFF0FC"/>
            </w:tcBorders>
            <w:gridSpan w:val="2"/>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3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options issued under LTI 2021</w:t>
            </w:r>
          </w:p>
        </w:tc>
        <w:tc>
          <w:tcPr>
            <w:tcW w:w="37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(16,143)</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2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(1,014)</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(1,921)</w:t>
            </w: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37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(1,581)</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r>
      <w:tr>
        <w:trPr>
          <w:trHeight w:val="223"/>
        </w:trPr>
        <w:tc>
          <w:tcPr>
            <w:tcW w:w="460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(25,213)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4600" w:type="dxa"/>
            <w:vAlign w:val="bottom"/>
          </w:tcPr>
          <w:p>
            <w:pPr>
              <w:spacing w:after="0"/>
              <w:rPr>
                <w:sz w:val="24"/>
                <w:szCs w:val="24"/>
                <w:color w:val="auto"/>
              </w:rPr>
            </w:pPr>
          </w:p>
        </w:tc>
        <w:tc>
          <w:tcPr>
            <w:tcW w:w="3760" w:type="dxa"/>
            <w:vAlign w:val="bottom"/>
            <w:gridSpan w:val="4"/>
          </w:tcPr>
          <w:p>
            <w:pPr>
              <w:jc w:val="right"/>
              <w:ind w:right="2560"/>
              <w:spacing w:after="0"/>
              <w:rPr>
                <w:sz w:val="20"/>
                <w:szCs w:val="20"/>
                <w:color w:val="auto"/>
              </w:rPr>
            </w:pPr>
            <w:r>
              <w:rPr>
                <w:rFonts w:ascii="Times New Roman" w:cs="Times New Roman" w:eastAsia="Times New Roman" w:hAnsi="Times New Roman"/>
                <w:sz w:val="18"/>
                <w:szCs w:val="18"/>
                <w:color w:val="auto"/>
              </w:rPr>
              <w:t>F-35</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Finance income and expenses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12,661</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14,435</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515</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expenses—loan from credit institutions</w:t>
            </w: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expenses—lease liabilities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expenses—shareholder loans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contingent consideration</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derivatives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short-term investments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 costs capitalized</w:t>
            </w: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3,921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finance expenses</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borrowing costs</w:t>
      </w:r>
    </w:p>
    <w:p>
      <w:pPr>
        <w:spacing w:after="0" w:line="189" w:lineRule="exact"/>
        <w:rPr>
          <w:sz w:val="20"/>
          <w:szCs w:val="20"/>
          <w:color w:val="auto"/>
        </w:rPr>
      </w:pPr>
    </w:p>
    <w:p>
      <w:pPr>
        <w:ind w:right="200" w:firstLine="802"/>
        <w:spacing w:after="0" w:line="266" w:lineRule="auto"/>
        <w:rPr>
          <w:sz w:val="20"/>
          <w:szCs w:val="20"/>
          <w:color w:val="auto"/>
        </w:rPr>
      </w:pPr>
      <w:r>
        <w:rPr>
          <w:rFonts w:ascii="Times New Roman" w:cs="Times New Roman" w:eastAsia="Times New Roman" w:hAnsi="Times New Roman"/>
          <w:sz w:val="18"/>
          <w:szCs w:val="18"/>
          <w:color w:val="auto"/>
        </w:rPr>
        <w:t>Borrowing costs have been capitalized for qualifying assets that consist of construction in progress for production facilities. The capitalization rate used to determine the amount of borrowing costs that have been capitalized, is the weighted average interest rate applicable to the Group’s general liabilities to credit institutions, shareholder loan and lease liabilities during the year, in this case 3.82% (6.78%).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exchange-rate differences</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exchange-rate differences recognized in the consolidated statement of operations are included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income and expense, net</w:t>
            </w:r>
          </w:p>
        </w:tc>
        <w:tc>
          <w:tcPr>
            <w:tcW w:w="8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 and expenses (Note 9)</w:t>
            </w: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2"/>
              </w:rPr>
              <w:t>12,661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Exchange-rate differences—net</w:t>
            </w: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w w:val="92"/>
              </w:rPr>
              <w:t>13,323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r>
      <w:tr>
        <w:trPr>
          <w:trHeight w:val="20"/>
        </w:trPr>
        <w:tc>
          <w:tcPr>
            <w:tcW w:w="6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major components of income tax expense for the year ended December 31 2021, 2020 and 2019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tax:</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benefit/(expense)</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in respect of income tax of previous years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67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1,767</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(1,583)</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11"/>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Relating to origination and reversal of temporary</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6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differences</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670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888</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(828)</w:t>
            </w:r>
          </w:p>
        </w:tc>
        <w:tc>
          <w:tcPr>
            <w:tcW w:w="12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r>
      <w:tr>
        <w:trPr>
          <w:trHeight w:val="201"/>
        </w:trPr>
        <w:tc>
          <w:tcPr>
            <w:tcW w:w="67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 tax benefit/(expense) reported in the consolidated</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8"/>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2,655</w:t>
            </w: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(2,411)</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(1,258)</w:t>
            </w:r>
          </w:p>
        </w:tc>
      </w:tr>
      <w:tr>
        <w:trPr>
          <w:trHeight w:val="20"/>
        </w:trPr>
        <w:tc>
          <w:tcPr>
            <w:tcW w:w="6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Reconciliation of tax expense and the accounting loss multiplied by Sweden’s corporate tax rate: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Accounting loss before tax</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(215,048)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(57,950)</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(34,367)</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At Sweden’s corporate income tax rate of 20.6% (21.4%)</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44,300</w:t>
            </w:r>
          </w:p>
        </w:tc>
        <w:tc>
          <w:tcPr>
            <w:tcW w:w="1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12,401</w:t>
            </w:r>
          </w:p>
        </w:tc>
        <w:tc>
          <w:tcPr>
            <w:tcW w:w="1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7,355</w:t>
            </w: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tax rates in foreign jurisdictions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costs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in respect of income tax of previous years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unrecognized deferred taxes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(38,915)</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r>
      <w:tr>
        <w:trPr>
          <w:trHeight w:val="22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effect of changes in tax rates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benefit/(expense)</w:t>
            </w: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2,655</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(2,411)</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(1,258)</w:t>
            </w:r>
          </w:p>
        </w:tc>
      </w:tr>
      <w:tr>
        <w:trPr>
          <w:trHeight w:val="20"/>
        </w:trPr>
        <w:tc>
          <w:tcPr>
            <w:tcW w:w="6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802"/>
        <w:spacing w:after="0" w:line="266" w:lineRule="auto"/>
        <w:rPr>
          <w:sz w:val="20"/>
          <w:szCs w:val="20"/>
          <w:color w:val="auto"/>
        </w:rPr>
      </w:pPr>
      <w:r>
        <w:rPr>
          <w:rFonts w:ascii="Times New Roman" w:cs="Times New Roman" w:eastAsia="Times New Roman" w:hAnsi="Times New Roman"/>
          <w:sz w:val="18"/>
          <w:szCs w:val="18"/>
          <w:color w:val="auto"/>
        </w:rPr>
        <w:t>In 2018, it was decided that the corporate tax rate in Sweden was going to be lowered in two steps. The corporate tax rate was lowered from 22.0% to 21.4% for financial years commencing after December 31, 2018. In the next step, the corporate tax rate was lowered to 20.6% for financial years commencing after December 31, 2020.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Deferred tax relates to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0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(36,642)</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w:t>
            </w:r>
          </w:p>
        </w:tc>
      </w:tr>
      <w:tr>
        <w:trPr>
          <w:trHeight w:val="23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27,792</w:t>
            </w:r>
          </w:p>
        </w:tc>
        <w:tc>
          <w:tcPr>
            <w:tcW w:w="16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1,303</w:t>
            </w:r>
          </w:p>
        </w:tc>
      </w:tr>
      <w:tr>
        <w:trPr>
          <w:trHeight w:val="230"/>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Leases</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1,280</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credits</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1,822</w:t>
            </w:r>
          </w:p>
        </w:tc>
        <w:tc>
          <w:tcPr>
            <w:tcW w:w="16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allowances for financial assets</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4,090</w:t>
            </w:r>
          </w:p>
        </w:tc>
        <w:tc>
          <w:tcPr>
            <w:tcW w:w="16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(1,281)</w:t>
            </w:r>
          </w:p>
        </w:tc>
      </w:tr>
      <w:tr>
        <w:trPr>
          <w:trHeight w:val="20"/>
        </w:trPr>
        <w:tc>
          <w:tcPr>
            <w:tcW w:w="87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2"/>
        </w:trPr>
        <w:tc>
          <w:tcPr>
            <w:tcW w:w="77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Reflected in the consolidated statement of financial</w:t>
            </w:r>
          </w:p>
        </w:tc>
        <w:tc>
          <w:tcPr>
            <w:tcW w:w="9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234"/>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position as follows: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0"/>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2,293</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(1,281)</w:t>
            </w: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firstLine="802"/>
        <w:spacing w:after="0" w:line="261"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a legally enforceable right exists to set off current tax assets against current tax liabilities and the deferred taxes relate to the same taxable entity and the same taxation authority. Deferred income tax assets are recognized for tax loss carry-forwards, temporary differences or other tax credits to the extent that the realization of the related tax benefit through future taxable profits is probable.</w:t>
      </w:r>
    </w:p>
    <w:p>
      <w:pPr>
        <w:spacing w:after="0" w:line="1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 reconciliation of net deferred tax is shown in the table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(1,281)</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r>
      <w:tr>
        <w:trPr>
          <w:trHeight w:val="205"/>
        </w:trPr>
        <w:tc>
          <w:tcPr>
            <w:tcW w:w="7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Movement recognized in the consolidated statement of</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4"/>
        </w:trPr>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0"/>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16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w:t>
            </w:r>
          </w:p>
        </w:tc>
      </w:tr>
      <w:tr>
        <w:trPr>
          <w:trHeight w:val="20"/>
        </w:trPr>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580" w:firstLine="802"/>
        <w:spacing w:after="0" w:line="282" w:lineRule="auto"/>
        <w:rPr>
          <w:sz w:val="20"/>
          <w:szCs w:val="20"/>
          <w:color w:val="auto"/>
        </w:rPr>
      </w:pPr>
      <w:r>
        <w:rPr>
          <w:rFonts w:ascii="Times New Roman" w:cs="Times New Roman" w:eastAsia="Times New Roman" w:hAnsi="Times New Roman"/>
          <w:sz w:val="18"/>
          <w:szCs w:val="18"/>
          <w:color w:val="auto"/>
        </w:rPr>
        <w:t>In some subsidiaries, a deferred income tax asset has been recognized to the extent that there are sufficient taxable temporary differences relating to the same taxation authority and the same taxable entity. For the Swedish subsidiaries, no</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1" w:name="page152"/>
    <w:bookmarkEnd w:id="1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asset was recognized since, according to the Group, the criteria for reporting deferred tax assets in IAS 12 were not met.</w:t>
      </w:r>
    </w:p>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Deferred tax assets have not been recognized in respect of the following items: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allowance for trade receivables</w:t>
            </w:r>
          </w:p>
        </w:tc>
        <w:tc>
          <w:tcPr>
            <w:tcW w:w="9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1,754</w:t>
            </w:r>
          </w:p>
        </w:tc>
      </w:tr>
      <w:tr>
        <w:trPr>
          <w:trHeight w:val="229"/>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71,124</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29,877</w:t>
            </w:r>
          </w:p>
        </w:tc>
      </w:tr>
      <w:tr>
        <w:trPr>
          <w:trHeight w:val="229"/>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expense carried forward</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unrecognized deferred tax assets</w:t>
            </w:r>
          </w:p>
        </w:tc>
        <w:tc>
          <w:tcPr>
            <w:tcW w:w="9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74,217</w:t>
            </w:r>
          </w:p>
        </w:tc>
        <w:tc>
          <w:tcPr>
            <w:tcW w:w="16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33,565</w:t>
            </w:r>
          </w:p>
        </w:tc>
      </w:tr>
      <w:tr>
        <w:trPr>
          <w:trHeight w:val="20"/>
        </w:trPr>
        <w:tc>
          <w:tcPr>
            <w:tcW w:w="7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firstLine="802"/>
        <w:spacing w:after="0" w:line="282" w:lineRule="auto"/>
        <w:rPr>
          <w:sz w:val="20"/>
          <w:szCs w:val="20"/>
          <w:color w:val="auto"/>
        </w:rPr>
      </w:pPr>
      <w:r>
        <w:rPr>
          <w:rFonts w:ascii="Times New Roman" w:cs="Times New Roman" w:eastAsia="Times New Roman" w:hAnsi="Times New Roman"/>
          <w:sz w:val="18"/>
          <w:szCs w:val="18"/>
          <w:color w:val="auto"/>
        </w:rPr>
        <w:t>The Group’s accumulated loss carry-forwards amounted to $484.2 ($152.5) million. Tax loss carry-forwards as at December 31, 2021 were expected to expire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Expected expiry</w:t>
            </w: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Unlimited</w:t>
            </w:r>
          </w:p>
        </w:tc>
        <w:tc>
          <w:tcPr>
            <w:tcW w:w="144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60" w:type="dxa"/>
            <w:vAlign w:val="bottom"/>
            <w:gridSpan w:val="2"/>
            <w:vMerge w:val="continue"/>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158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 carry-forwards</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484,225</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484,225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802"/>
        <w:spacing w:after="0" w:line="258" w:lineRule="auto"/>
        <w:rPr>
          <w:sz w:val="20"/>
          <w:szCs w:val="20"/>
          <w:color w:val="auto"/>
        </w:rPr>
      </w:pPr>
      <w:r>
        <w:rPr>
          <w:rFonts w:ascii="Times New Roman" w:cs="Times New Roman" w:eastAsia="Times New Roman" w:hAnsi="Times New Roman"/>
          <w:sz w:val="18"/>
          <w:szCs w:val="18"/>
          <w:color w:val="auto"/>
        </w:rPr>
        <w:t>The Group has unrecognized tax losses that arose in Sweden of $345.3 ($136.8) million that are available indefinitely for offsetting against future taxable profits of the companies in Sweden. Deferred tax assets have not been recognized in respect of these losses as they may not be used to offset taxable profits elsewhere in the Group, they have arisen in companies that have been loss-making for some time, and there is no other evidence of recoverability in the foreseeable future. If the Group were able to recognize all unrecognized deferred tax assets on tax losses in Sweden, the result would increase by $71.1, $28.2, and $10.4 million for the years ended December 31, 2021, 2020 and 2019, respectively.</w:t>
      </w:r>
    </w:p>
    <w:p>
      <w:pPr>
        <w:spacing w:after="0" w:line="156" w:lineRule="exact"/>
        <w:rPr>
          <w:sz w:val="20"/>
          <w:szCs w:val="20"/>
          <w:color w:val="auto"/>
        </w:rPr>
      </w:pPr>
    </w:p>
    <w:p>
      <w:pPr>
        <w:jc w:val="both"/>
        <w:ind w:right="260" w:firstLine="802"/>
        <w:spacing w:after="0" w:line="261" w:lineRule="auto"/>
        <w:rPr>
          <w:sz w:val="20"/>
          <w:szCs w:val="20"/>
          <w:color w:val="auto"/>
        </w:rPr>
      </w:pPr>
      <w:r>
        <w:rPr>
          <w:rFonts w:ascii="Times New Roman" w:cs="Times New Roman" w:eastAsia="Times New Roman" w:hAnsi="Times New Roman"/>
          <w:sz w:val="18"/>
          <w:szCs w:val="18"/>
          <w:color w:val="auto"/>
        </w:rPr>
        <w:t>Furthermore, the Group has tax losses in foreign jurisdictions amounting to $12.4 ($8.7) million. A deferred tax asset has been recognized in respect of these losses as at December 31, 2021 as it is likely that these will be able to be utilized in the foreseeable future. The measurement of deferred tax assets is subject to uncertainty and the actual result may diverge from judgements due to future changes in business climate, altered tax laws etc. An assessment is made at each closing date of the likelihood that the deferred tax asset will be utilized.</w:t>
      </w:r>
    </w:p>
    <w:p>
      <w:pPr>
        <w:spacing w:after="0" w:line="139" w:lineRule="exact"/>
        <w:rPr>
          <w:sz w:val="20"/>
          <w:szCs w:val="20"/>
          <w:color w:val="auto"/>
        </w:rPr>
      </w:pPr>
    </w:p>
    <w:p>
      <w:pPr>
        <w:jc w:val="both"/>
        <w:ind w:right="340" w:firstLine="802"/>
        <w:spacing w:after="0" w:line="266" w:lineRule="auto"/>
        <w:rPr>
          <w:sz w:val="20"/>
          <w:szCs w:val="20"/>
          <w:color w:val="auto"/>
        </w:rPr>
      </w:pPr>
      <w:r>
        <w:rPr>
          <w:rFonts w:ascii="Times New Roman" w:cs="Times New Roman" w:eastAsia="Times New Roman" w:hAnsi="Times New Roman"/>
          <w:sz w:val="18"/>
          <w:szCs w:val="18"/>
          <w:color w:val="auto"/>
        </w:rPr>
        <w:t>The Group also has tax losses that arose in the United States of $126.5 ($6.1) million. A deferred tax asset has been recognized in respect of these losses as there are sufficient taxable temporary differences to offset against. Utilization of loss carry-forwards in jurisdictions in which the Group operates may be subject to limitations if there is a change in control.</w:t>
      </w:r>
    </w:p>
    <w:p>
      <w:pPr>
        <w:spacing w:after="0" w:line="135" w:lineRule="exact"/>
        <w:rPr>
          <w:sz w:val="20"/>
          <w:szCs w:val="20"/>
          <w:color w:val="auto"/>
        </w:rPr>
      </w:pPr>
    </w:p>
    <w:p>
      <w:pPr>
        <w:ind w:right="20" w:firstLine="802"/>
        <w:spacing w:after="0" w:line="261" w:lineRule="auto"/>
        <w:rPr>
          <w:sz w:val="20"/>
          <w:szCs w:val="20"/>
          <w:color w:val="auto"/>
        </w:rPr>
      </w:pPr>
      <w:r>
        <w:rPr>
          <w:rFonts w:ascii="Times New Roman" w:cs="Times New Roman" w:eastAsia="Times New Roman" w:hAnsi="Times New Roman"/>
          <w:sz w:val="18"/>
          <w:szCs w:val="18"/>
          <w:color w:val="auto"/>
        </w:rPr>
        <w:t>As at December 31, 2021, no deferred tax liability had been recognized on investments in subsidiaries. The Company has concluded it has the ability and intention to control the timing of any distribution from its subsidiaries and determined that the undistributed profits of its subsidiaries will not be distributed in the foreseeable future. It is not practicable to calculate the aggregate amount of temporary differences associated with investments in subsidiaries, for which deferred tax liabilities have not been recognized.</w:t>
      </w:r>
    </w:p>
    <w:p>
      <w:pPr>
        <w:spacing w:after="0" w:line="180" w:lineRule="exact"/>
        <w:rPr>
          <w:sz w:val="20"/>
          <w:szCs w:val="20"/>
          <w:color w:val="auto"/>
        </w:rPr>
      </w:pPr>
    </w:p>
    <w:p>
      <w:pPr>
        <w:ind w:right="140" w:firstLine="802"/>
        <w:spacing w:after="0" w:line="258" w:lineRule="auto"/>
        <w:rPr>
          <w:sz w:val="20"/>
          <w:szCs w:val="20"/>
          <w:color w:val="auto"/>
        </w:rPr>
      </w:pPr>
      <w:r>
        <w:rPr>
          <w:rFonts w:ascii="Times New Roman" w:cs="Times New Roman" w:eastAsia="Times New Roman" w:hAnsi="Times New Roman"/>
          <w:sz w:val="18"/>
          <w:szCs w:val="18"/>
          <w:color w:val="auto"/>
        </w:rPr>
        <w:t>The Company applies significant judgement in identifying uncertainties over income tax treatments. Since the Company operates in a complex multinational environment, it periodically evaluates positions taken in the tax returns to validate whether it has any uncertain tax positions, particularly those relating to transfer pricing. The tax filings of the Company and the subsidiaries in different jurisdictions include adjustments related to transfer pricing and the taxation authorities may challenge those tax treatments. The Company determined, based on its tax compliance and transfer pricing study, that it is probable that its tax treatments (including those for the subsidiaries) will be accepted by the taxation authorities.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 in subsidiaries</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Group had the following principal subsidiaries as at December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Country/place of</w:t>
            </w: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voting rights</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3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78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and shares held</w:t>
            </w:r>
          </w:p>
        </w:tc>
        <w:tc>
          <w:tcPr>
            <w:tcW w:w="0" w:type="dxa"/>
            <w:vAlign w:val="bottom"/>
          </w:tcPr>
          <w:p>
            <w:pPr>
              <w:spacing w:after="0"/>
              <w:rPr>
                <w:sz w:val="1"/>
                <w:szCs w:val="1"/>
                <w:color w:val="auto"/>
              </w:rPr>
            </w:pPr>
          </w:p>
        </w:tc>
      </w:tr>
      <w:tr>
        <w:trPr>
          <w:trHeight w:val="148"/>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 and</w:t>
            </w:r>
          </w:p>
        </w:tc>
        <w:tc>
          <w:tcPr>
            <w:tcW w:w="2360" w:type="dxa"/>
            <w:vAlign w:val="bottom"/>
            <w:gridSpan w:val="2"/>
            <w:vMerge w:val="continue"/>
          </w:tcPr>
          <w:p>
            <w:pPr>
              <w:spacing w:after="0"/>
              <w:rPr>
                <w:sz w:val="12"/>
                <w:szCs w:val="12"/>
                <w:color w:val="auto"/>
              </w:rPr>
            </w:pPr>
          </w:p>
        </w:tc>
        <w:tc>
          <w:tcPr>
            <w:tcW w:w="178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(directly or</w:t>
            </w:r>
          </w:p>
        </w:tc>
        <w:tc>
          <w:tcPr>
            <w:tcW w:w="0" w:type="dxa"/>
            <w:vAlign w:val="bottom"/>
          </w:tcPr>
          <w:p>
            <w:pPr>
              <w:spacing w:after="0"/>
              <w:rPr>
                <w:sz w:val="1"/>
                <w:szCs w:val="1"/>
                <w:color w:val="auto"/>
              </w:rPr>
            </w:pPr>
          </w:p>
        </w:tc>
      </w:tr>
      <w:tr>
        <w:trPr>
          <w:trHeight w:val="173"/>
        </w:trPr>
        <w:tc>
          <w:tcPr>
            <w:tcW w:w="5120" w:type="dxa"/>
            <w:vAlign w:val="bottom"/>
            <w:gridSpan w:val="2"/>
            <w:vMerge w:val="continue"/>
          </w:tcPr>
          <w:p>
            <w:pPr>
              <w:spacing w:after="0"/>
              <w:rPr>
                <w:sz w:val="15"/>
                <w:szCs w:val="15"/>
                <w:color w:val="auto"/>
              </w:rPr>
            </w:pPr>
          </w:p>
        </w:tc>
        <w:tc>
          <w:tcPr>
            <w:tcW w:w="1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3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7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indirectly) (%)</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Direct ownership</w:t>
            </w:r>
          </w:p>
        </w:tc>
        <w:tc>
          <w:tcPr>
            <w:tcW w:w="14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Cereal Base CEBA AB</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Holding</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Indirect ownership</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AB</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 and production</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Sweden Operations &amp; Supply AB</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UK Ltd.</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United Kingdom</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UK Operations &amp; Supply Ltd.</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United Kingdom</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Germany GmbH</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Germany</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Norway AS</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Norway</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Oy Oatly AB</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Finland</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Netherlands BV</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Netherlands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Netherlands Operation &amp; Supply BV</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Netherlands</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EMEA AB</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Inc.</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US Inc.</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US Operations &amp; Supply Inc.</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Havrekärnan AB</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Singapore Operations &amp; Supply Pte Ltd.</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Singapore</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Hong Kong Holding Ltd.</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Hong Kong, China</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Shanghai Co. Ltd.</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China</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Selling</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Oatly Food Co. Ltd.</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China</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Thousands of Island Co Ltd.</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China</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Production</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864"/>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F-39</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Intangible assets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Borders>
              <w:bottom w:val="single" w:sz="8" w:color="auto"/>
            </w:tcBorders>
            <w:gridSpan w:val="4"/>
          </w:tcPr>
          <w:p>
            <w:pPr>
              <w:jc w:val="center"/>
              <w:ind w:left="892"/>
              <w:spacing w:after="0"/>
              <w:rPr>
                <w:sz w:val="20"/>
                <w:szCs w:val="20"/>
                <w:color w:val="auto"/>
              </w:rPr>
            </w:pPr>
            <w:r>
              <w:rPr>
                <w:rFonts w:ascii="Times New Roman" w:cs="Times New Roman" w:eastAsia="Times New Roman" w:hAnsi="Times New Roman"/>
                <w:sz w:val="14"/>
                <w:szCs w:val="14"/>
                <w:b w:val="1"/>
                <w:bCs w:val="1"/>
                <w:color w:val="auto"/>
              </w:rPr>
              <w:t>Other Intangible assets</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Ongoing</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14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2020</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126,624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1,108</w:t>
            </w: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2,900</w:t>
            </w:r>
          </w:p>
        </w:tc>
        <w:tc>
          <w:tcPr>
            <w:tcW w:w="1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130,632</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8,469</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17,202</w:t>
            </w:r>
          </w:p>
        </w:tc>
        <w:tc>
          <w:tcPr>
            <w:tcW w:w="1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18,579</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143,826</w:t>
            </w:r>
          </w:p>
        </w:tc>
        <w:tc>
          <w:tcPr>
            <w:tcW w:w="1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2,786</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3,225</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7,843</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157,680</w:t>
            </w: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7,124</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Scrapped</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6,553</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130,364</w:t>
            </w: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11,167</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4,520</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3,075</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149,126</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2020</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charge</w:t>
            </w: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0"/>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0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2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charge</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(1,806)</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(3,201)</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143,826</w:t>
            </w: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2,291</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2,503</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7,843</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156,463</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130,364</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9,361</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3,125</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3,075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145,925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802"/>
        <w:spacing w:after="0" w:line="266" w:lineRule="auto"/>
        <w:rPr>
          <w:sz w:val="20"/>
          <w:szCs w:val="20"/>
          <w:color w:val="auto"/>
        </w:rPr>
      </w:pPr>
      <w:r>
        <w:rPr>
          <w:rFonts w:ascii="Times New Roman" w:cs="Times New Roman" w:eastAsia="Times New Roman" w:hAnsi="Times New Roman"/>
          <w:sz w:val="18"/>
          <w:szCs w:val="18"/>
          <w:color w:val="auto"/>
        </w:rPr>
        <w:t>Adjustments made related to the agenda decision for new SaaS arrangements were not material for the Group for the year ended December 31, 2021. There were no adjustments for the year ended December 31, 2020. Refer to Note 2 for a summary of the change in accounting policy for SaaS arrangements.</w:t>
      </w:r>
    </w:p>
    <w:p>
      <w:pPr>
        <w:spacing w:after="0" w:line="176" w:lineRule="exact"/>
        <w:rPr>
          <w:sz w:val="20"/>
          <w:szCs w:val="20"/>
          <w:color w:val="auto"/>
        </w:rPr>
      </w:pPr>
    </w:p>
    <w:p>
      <w:pPr>
        <w:ind w:right="440" w:firstLine="802"/>
        <w:spacing w:after="0" w:line="282" w:lineRule="auto"/>
        <w:rPr>
          <w:sz w:val="20"/>
          <w:szCs w:val="20"/>
          <w:color w:val="auto"/>
        </w:rPr>
      </w:pPr>
      <w:r>
        <w:rPr>
          <w:rFonts w:ascii="Times New Roman" w:cs="Times New Roman" w:eastAsia="Times New Roman" w:hAnsi="Times New Roman"/>
          <w:sz w:val="18"/>
          <w:szCs w:val="18"/>
          <w:color w:val="auto"/>
        </w:rPr>
        <w:t>Goodwill is in its entirely related to the acquisition of Cereal Base CEBA AB in 2016. A contingent consideration existed in relation to the acquisition. The contingent consideration was paid in full during 2019 at the amount of $7.6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13.1. Test of goodwill impairment</w:t>
      </w:r>
    </w:p>
    <w:p>
      <w:pPr>
        <w:spacing w:after="0" w:line="189" w:lineRule="exact"/>
        <w:rPr>
          <w:sz w:val="20"/>
          <w:szCs w:val="20"/>
          <w:color w:val="auto"/>
        </w:rPr>
      </w:pPr>
    </w:p>
    <w:p>
      <w:pPr>
        <w:ind w:right="440" w:firstLine="802"/>
        <w:spacing w:after="0" w:line="266" w:lineRule="auto"/>
        <w:rPr>
          <w:sz w:val="20"/>
          <w:szCs w:val="20"/>
          <w:color w:val="auto"/>
        </w:rPr>
      </w:pPr>
      <w:r>
        <w:rPr>
          <w:rFonts w:ascii="Times New Roman" w:cs="Times New Roman" w:eastAsia="Times New Roman" w:hAnsi="Times New Roman"/>
          <w:sz w:val="18"/>
          <w:szCs w:val="18"/>
          <w:color w:val="auto"/>
        </w:rPr>
        <w:t>The CEO assesses the operating performance based on the Group’s three operating segments: EMEA, Americas and Asia. Goodwill is monitored by the CEO at the level of the three operating segments. The goodwill existing as at December 31, 2021 and 2020 is entirely attributable to EMEA.</w:t>
      </w:r>
    </w:p>
    <w:p>
      <w:pPr>
        <w:spacing w:after="0" w:line="149" w:lineRule="exact"/>
        <w:rPr>
          <w:sz w:val="20"/>
          <w:szCs w:val="20"/>
          <w:color w:val="auto"/>
        </w:rPr>
      </w:pPr>
    </w:p>
    <w:p>
      <w:pPr>
        <w:ind w:firstLine="802"/>
        <w:spacing w:after="0" w:line="266" w:lineRule="auto"/>
        <w:rPr>
          <w:sz w:val="20"/>
          <w:szCs w:val="20"/>
          <w:color w:val="auto"/>
        </w:rPr>
      </w:pPr>
      <w:r>
        <w:rPr>
          <w:rFonts w:ascii="Times New Roman" w:cs="Times New Roman" w:eastAsia="Times New Roman" w:hAnsi="Times New Roman"/>
          <w:sz w:val="18"/>
          <w:szCs w:val="18"/>
          <w:color w:val="auto"/>
        </w:rPr>
        <w:t>The Group tests whether goodwill has suffered any impairment on an annual basis. For the 2021 and 2020 reporting period, the recoverable amount of the cash-generating unit (“CGU”) was determined based on value-in-use calculations, which require the use of assumptions. The calculations use cash flow projections based on financial budgets approved by management covering a five-year period.</w:t>
      </w:r>
    </w:p>
    <w:p>
      <w:pPr>
        <w:spacing w:after="0" w:line="135" w:lineRule="exact"/>
        <w:rPr>
          <w:sz w:val="20"/>
          <w:szCs w:val="20"/>
          <w:color w:val="auto"/>
        </w:rPr>
      </w:pPr>
    </w:p>
    <w:p>
      <w:pPr>
        <w:ind w:right="620" w:firstLine="802"/>
        <w:spacing w:after="0" w:line="282" w:lineRule="auto"/>
        <w:rPr>
          <w:sz w:val="20"/>
          <w:szCs w:val="20"/>
          <w:color w:val="auto"/>
        </w:rPr>
      </w:pPr>
      <w:r>
        <w:rPr>
          <w:rFonts w:ascii="Times New Roman" w:cs="Times New Roman" w:eastAsia="Times New Roman" w:hAnsi="Times New Roman"/>
          <w:sz w:val="18"/>
          <w:szCs w:val="18"/>
          <w:color w:val="auto"/>
        </w:rPr>
        <w:t>Cash flows beyond the five-year period are extrapolated using the estimated growth rate stated below. The growth rate is consistent with forecasts included in industry reports specific to the industry in which the CGU operates.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following table sets out the key assumptions: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growth rate (%)</w:t>
            </w:r>
          </w:p>
        </w:tc>
        <w:tc>
          <w:tcPr>
            <w:tcW w:w="10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discount rate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Management has determined the values assigned to each of the above key assumptions as follows:</w:t>
      </w:r>
    </w:p>
    <w:p>
      <w:pPr>
        <w:spacing w:after="0" w:line="198" w:lineRule="exact"/>
        <w:rPr>
          <w:sz w:val="20"/>
          <w:szCs w:val="20"/>
          <w:color w:val="auto"/>
        </w:rPr>
      </w:pPr>
    </w:p>
    <w:p>
      <w:pPr>
        <w:ind w:left="1200" w:right="280" w:hanging="396"/>
        <w:spacing w:after="0" w:line="282" w:lineRule="auto"/>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growth rate: This is the weighted average growth rate used to extrapolate cash flows beyond the budget period. The rates are consistent with forecasts included in industry reports.</w:t>
      </w:r>
    </w:p>
    <w:p>
      <w:pPr>
        <w:spacing w:after="0" w:line="12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discount rates: Reflect specific risks relating to the relevant segments and the countries in which they operate.</w:t>
      </w:r>
    </w:p>
    <w:p>
      <w:pPr>
        <w:spacing w:after="0" w:line="2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residual value exceeds the carrying amount of goodwill.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Property, plant and equipment</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 summary of property, plant and equipment as at December 31, 2021 and December 31, 2020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Plant and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2020</w:t>
            </w:r>
          </w:p>
        </w:tc>
        <w:tc>
          <w:tcPr>
            <w:tcW w:w="2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32,685</w:t>
            </w: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49,911</w:t>
            </w:r>
          </w:p>
        </w:tc>
        <w:tc>
          <w:tcPr>
            <w:tcW w:w="12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22,749</w:t>
            </w:r>
          </w:p>
        </w:tc>
        <w:tc>
          <w:tcPr>
            <w:tcW w:w="1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105,345</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238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142,203</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144,412</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38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3,395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2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2,620</w:t>
            </w: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4,195</w:t>
            </w:r>
          </w:p>
        </w:tc>
        <w:tc>
          <w:tcPr>
            <w:tcW w:w="12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5,699</w:t>
            </w:r>
          </w:p>
        </w:tc>
        <w:tc>
          <w:tcPr>
            <w:tcW w:w="140" w:type="dxa"/>
            <w:vAlign w:val="bottom"/>
          </w:tcPr>
          <w:p>
            <w:pPr>
              <w:spacing w:after="0"/>
              <w:rPr>
                <w:sz w:val="19"/>
                <w:szCs w:val="19"/>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12,514</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38,994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57,762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163,987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260,743</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Additions</w:t>
            </w:r>
          </w:p>
        </w:tc>
        <w:tc>
          <w:tcPr>
            <w:tcW w:w="2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23,590</w:t>
            </w:r>
          </w:p>
        </w:tc>
        <w:tc>
          <w:tcPr>
            <w:tcW w:w="140" w:type="dxa"/>
            <w:vAlign w:val="bottom"/>
          </w:tcPr>
          <w:p>
            <w:pPr>
              <w:spacing w:after="0"/>
              <w:rPr>
                <w:sz w:val="18"/>
                <w:szCs w:val="18"/>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69,341</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211,949</w:t>
            </w:r>
          </w:p>
        </w:tc>
        <w:tc>
          <w:tcPr>
            <w:tcW w:w="140" w:type="dxa"/>
            <w:vAlign w:val="bottom"/>
          </w:tcPr>
          <w:p>
            <w:pPr>
              <w:spacing w:after="0"/>
              <w:rPr>
                <w:sz w:val="18"/>
                <w:szCs w:val="18"/>
                <w:color w:val="auto"/>
              </w:rPr>
            </w:pPr>
          </w:p>
        </w:tc>
        <w:tc>
          <w:tcPr>
            <w:tcW w:w="12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304,880</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57,744</w:t>
            </w: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76,591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0" w:type="dxa"/>
            <w:vAlign w:val="bottom"/>
          </w:tcPr>
          <w:p>
            <w:pPr>
              <w:spacing w:after="0"/>
              <w:rPr>
                <w:sz w:val="1"/>
                <w:szCs w:val="1"/>
                <w:color w:val="auto"/>
              </w:rPr>
            </w:pPr>
          </w:p>
        </w:tc>
      </w:tr>
      <w:tr>
        <w:trPr>
          <w:trHeight w:val="263"/>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140" w:type="dxa"/>
            <w:vAlign w:val="bottom"/>
            <w:tcBorders>
              <w:bottom w:val="single" w:sz="8" w:color="CFF0FC"/>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117,423</w:t>
            </w:r>
          </w:p>
        </w:tc>
        <w:tc>
          <w:tcPr>
            <w:tcW w:w="140" w:type="dxa"/>
            <w:vAlign w:val="bottom"/>
            <w:tcBorders>
              <w:bottom w:val="single" w:sz="8" w:color="CFF0FC"/>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199,005</w:t>
            </w:r>
          </w:p>
        </w:tc>
        <w:tc>
          <w:tcPr>
            <w:tcW w:w="120" w:type="dxa"/>
            <w:vAlign w:val="bottom"/>
            <w:tcBorders>
              <w:bottom w:val="single" w:sz="8" w:color="CFF0FC"/>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234,385</w:t>
            </w:r>
          </w:p>
        </w:tc>
        <w:tc>
          <w:tcPr>
            <w:tcW w:w="140" w:type="dxa"/>
            <w:vAlign w:val="bottom"/>
            <w:tcBorders>
              <w:bottom w:val="single" w:sz="8" w:color="CFF0FC"/>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550,813</w:t>
            </w: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2020</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(3,862)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(10,983)</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(14,845)</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38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(23,118)</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2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23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(41,165)</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33,224</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40,414</w:t>
            </w: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163,987</w:t>
            </w: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237,625</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2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109,533</w:t>
            </w:r>
          </w:p>
        </w:tc>
        <w:tc>
          <w:tcPr>
            <w:tcW w:w="1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169,224</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230,891</w:t>
            </w:r>
          </w:p>
        </w:tc>
        <w:tc>
          <w:tcPr>
            <w:tcW w:w="1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509,648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20" w:type="dxa"/>
            <w:vAlign w:val="bottom"/>
          </w:tcPr>
          <w:p>
            <w:pPr>
              <w:spacing w:after="0"/>
              <w:rPr>
                <w:sz w:val="24"/>
                <w:szCs w:val="24"/>
                <w:color w:val="auto"/>
              </w:rPr>
            </w:pPr>
          </w:p>
        </w:tc>
        <w:tc>
          <w:tcPr>
            <w:tcW w:w="25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F-41</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23" w:lineRule="exact"/>
        <w:rPr>
          <w:sz w:val="20"/>
          <w:szCs w:val="20"/>
          <w:color w:val="auto"/>
        </w:rPr>
      </w:pPr>
    </w:p>
    <w:p>
      <w:pPr>
        <w:ind w:right="620" w:firstLine="802"/>
        <w:spacing w:after="0" w:line="282" w:lineRule="auto"/>
        <w:rPr>
          <w:sz w:val="20"/>
          <w:szCs w:val="20"/>
          <w:color w:val="auto"/>
        </w:rPr>
      </w:pPr>
      <w:r>
        <w:rPr>
          <w:rFonts w:ascii="Times New Roman" w:cs="Times New Roman" w:eastAsia="Times New Roman" w:hAnsi="Times New Roman"/>
          <w:sz w:val="18"/>
          <w:szCs w:val="18"/>
          <w:color w:val="auto"/>
        </w:rPr>
        <w:t>The additions in Construction in progress during the year ended December 31, 2021 is mainly related to investment in new and existing production facilities.</w:t>
      </w:r>
    </w:p>
    <w:p>
      <w:pPr>
        <w:spacing w:after="0" w:line="121" w:lineRule="exact"/>
        <w:rPr>
          <w:sz w:val="20"/>
          <w:szCs w:val="20"/>
          <w:color w:val="auto"/>
        </w:rPr>
      </w:pPr>
    </w:p>
    <w:p>
      <w:pPr>
        <w:ind w:firstLine="802"/>
        <w:spacing w:after="0" w:line="282" w:lineRule="auto"/>
        <w:rPr>
          <w:sz w:val="20"/>
          <w:szCs w:val="20"/>
          <w:color w:val="auto"/>
        </w:rPr>
      </w:pPr>
      <w:r>
        <w:rPr>
          <w:rFonts w:ascii="Times New Roman" w:cs="Times New Roman" w:eastAsia="Times New Roman" w:hAnsi="Times New Roman"/>
          <w:sz w:val="18"/>
          <w:szCs w:val="18"/>
          <w:color w:val="auto"/>
        </w:rPr>
        <w:t>The reclassifications between Construction in progress and Land and buildings and Plant and machinery are mainly related to part of the Ogden, Utah production facility, and the Singapore production facility, which were completed during the year ended December 31, 2021.</w:t>
      </w:r>
    </w:p>
    <w:p>
      <w:pPr>
        <w:spacing w:after="0" w:line="1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depreciation expense for years ended December 31, 2021, 2020 and 2019 was $15.9 million, $6.3 million and $3.9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note provides information for leases where the Group is a lessee.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15.1. The Group’s leasing activities and how these are accounted for</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Lease terms for properties are generally between 1 and 10 years, except for the production facilities described below.</w:t>
      </w:r>
    </w:p>
    <w:p>
      <w:pPr>
        <w:spacing w:after="0" w:line="185" w:lineRule="exact"/>
        <w:rPr>
          <w:sz w:val="20"/>
          <w:szCs w:val="20"/>
          <w:color w:val="auto"/>
        </w:rPr>
      </w:pPr>
    </w:p>
    <w:p>
      <w:pPr>
        <w:ind w:right="140" w:firstLine="802"/>
        <w:spacing w:after="0" w:line="261" w:lineRule="auto"/>
        <w:rPr>
          <w:sz w:val="20"/>
          <w:szCs w:val="20"/>
          <w:color w:val="auto"/>
        </w:rPr>
      </w:pPr>
      <w:r>
        <w:rPr>
          <w:rFonts w:ascii="Times New Roman" w:cs="Times New Roman" w:eastAsia="Times New Roman" w:hAnsi="Times New Roman"/>
          <w:sz w:val="18"/>
          <w:szCs w:val="18"/>
          <w:color w:val="auto"/>
        </w:rPr>
        <w:t>The lease agreement for the production facility in Ogden, Utah, originally had a lease term of total 20 years (including extension options). The lease was modified during the year ended December 31, 2021, in regards of the lease term adding options to extend the lease further from December 31, 2038, to December 31, 2061. The Group has assessed it as reasonably certain that all extension periods will be utilized up until 2061. The addition to the right-of-use asset as a result of the modification amounts to $4.7 million.</w:t>
      </w:r>
    </w:p>
    <w:p>
      <w:pPr>
        <w:spacing w:after="0" w:line="153" w:lineRule="exact"/>
        <w:rPr>
          <w:sz w:val="20"/>
          <w:szCs w:val="20"/>
          <w:color w:val="auto"/>
        </w:rPr>
      </w:pPr>
    </w:p>
    <w:p>
      <w:pPr>
        <w:ind w:right="140" w:firstLine="802"/>
        <w:spacing w:after="0" w:line="282" w:lineRule="auto"/>
        <w:rPr>
          <w:sz w:val="20"/>
          <w:szCs w:val="20"/>
          <w:color w:val="auto"/>
        </w:rPr>
      </w:pPr>
      <w:r>
        <w:rPr>
          <w:rFonts w:ascii="Times New Roman" w:cs="Times New Roman" w:eastAsia="Times New Roman" w:hAnsi="Times New Roman"/>
          <w:sz w:val="18"/>
          <w:szCs w:val="18"/>
          <w:color w:val="auto"/>
        </w:rPr>
        <w:t>In addition to the modification above, the lease was also amended with two additional buildings at the Ogden production facility. One addition commenced in June 2021, and the commencement date for the second addition is December 31, 2022.</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Furthermore, five lease agreements regarding production facilities were entered into during the year ended December 31, 2021:</w:t>
      </w:r>
    </w:p>
    <w:p>
      <w:pPr>
        <w:spacing w:after="0" w:line="185" w:lineRule="exact"/>
        <w:rPr>
          <w:sz w:val="20"/>
          <w:szCs w:val="20"/>
          <w:color w:val="auto"/>
        </w:rPr>
      </w:pPr>
    </w:p>
    <w:p>
      <w:pPr>
        <w:ind w:left="1200" w:right="180" w:hanging="396"/>
        <w:spacing w:after="0" w:line="280" w:lineRule="auto"/>
        <w:tabs>
          <w:tab w:leader="none" w:pos="12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in Fort Worth, Texas, which commenced in March 2021 with a lease term of 20 years having included two extension options of five years each</w:t>
      </w:r>
      <w:r>
        <w:rPr>
          <w:rFonts w:ascii="Times New Roman" w:cs="Times New Roman" w:eastAsia="Times New Roman" w:hAnsi="Times New Roman"/>
          <w:sz w:val="21"/>
          <w:szCs w:val="21"/>
          <w:color w:val="auto"/>
        </w:rPr>
        <w:t>,</w:t>
      </w:r>
    </w:p>
    <w:p>
      <w:pPr>
        <w:spacing w:after="0" w:line="111" w:lineRule="exact"/>
        <w:rPr>
          <w:rFonts w:ascii="Times New Roman" w:cs="Times New Roman" w:eastAsia="Times New Roman" w:hAnsi="Times New Roman"/>
          <w:sz w:val="18"/>
          <w:szCs w:val="18"/>
          <w:color w:val="auto"/>
        </w:rPr>
      </w:pPr>
    </w:p>
    <w:p>
      <w:pPr>
        <w:ind w:left="1200" w:right="280" w:hanging="396"/>
        <w:spacing w:after="0" w:line="282" w:lineRule="auto"/>
        <w:tabs>
          <w:tab w:leader="none" w:pos="12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in Ma’anshan, China which commenced in January 2021 with a lease term of 10 years having included an extension option of five years,</w:t>
      </w:r>
    </w:p>
    <w:p>
      <w:pPr>
        <w:spacing w:after="0" w:line="12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in Singapore which commenced in May 2021 with a lease term of 10 years,</w:t>
      </w:r>
    </w:p>
    <w:p>
      <w:pPr>
        <w:spacing w:after="0" w:line="211" w:lineRule="exact"/>
        <w:rPr>
          <w:rFonts w:ascii="Times New Roman" w:cs="Times New Roman" w:eastAsia="Times New Roman" w:hAnsi="Times New Roman"/>
          <w:sz w:val="18"/>
          <w:szCs w:val="18"/>
          <w:color w:val="auto"/>
        </w:rPr>
      </w:pPr>
    </w:p>
    <w:p>
      <w:pPr>
        <w:ind w:left="1200" w:hanging="396"/>
        <w:spacing w:after="0" w:line="282" w:lineRule="auto"/>
        <w:tabs>
          <w:tab w:leader="none" w:pos="12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in Peterborough, United Kingdom, which commenced in September 2021 with a lease term of 40 years having included two extension options of 10 years each, and</w:t>
      </w:r>
    </w:p>
    <w:p>
      <w:pPr>
        <w:spacing w:after="0" w:line="1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in China (Asia III) which commenced in October 2021 with a lease term of 50 years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right="80" w:firstLine="802"/>
        <w:spacing w:after="0" w:line="266" w:lineRule="auto"/>
        <w:rPr>
          <w:sz w:val="20"/>
          <w:szCs w:val="20"/>
          <w:color w:val="auto"/>
        </w:rPr>
      </w:pPr>
      <w:r>
        <w:rPr>
          <w:rFonts w:ascii="Times New Roman" w:cs="Times New Roman" w:eastAsia="Times New Roman" w:hAnsi="Times New Roman"/>
          <w:sz w:val="18"/>
          <w:szCs w:val="18"/>
          <w:color w:val="auto"/>
        </w:rPr>
        <w:t>Lease terms for production equipment are generally between 1 and 5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and termination options</w:t>
      </w:r>
    </w:p>
    <w:p>
      <w:pPr>
        <w:spacing w:after="0" w:line="189" w:lineRule="exact"/>
        <w:rPr>
          <w:sz w:val="20"/>
          <w:szCs w:val="20"/>
          <w:color w:val="auto"/>
        </w:rPr>
      </w:pPr>
    </w:p>
    <w:p>
      <w:pPr>
        <w:jc w:val="both"/>
        <w:ind w:right="60" w:firstLine="802"/>
        <w:spacing w:after="0" w:line="266" w:lineRule="auto"/>
        <w:rPr>
          <w:sz w:val="20"/>
          <w:szCs w:val="20"/>
          <w:color w:val="auto"/>
        </w:rPr>
      </w:pPr>
      <w:r>
        <w:rPr>
          <w:rFonts w:ascii="Times New Roman" w:cs="Times New Roman" w:eastAsia="Times New Roman" w:hAnsi="Times New Roman"/>
          <w:sz w:val="18"/>
          <w:szCs w:val="18"/>
          <w:color w:val="auto"/>
        </w:rPr>
        <w:t>Extension and termination options are used to maximize operational flexibility in terms of managing the assets used in the Group’s operations. The majority of extension and termination options held are exercisable only by the Group and not by the respective lessor. For more information regarding the Group’s extension options, please refer to Note 4.</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6" w:name="page157"/>
    <w:bookmarkEnd w:id="1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15.2. Amounts recognized in the consolidated statement of financial position</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consolidated statement of financial position discloses the following amounts relating to leases: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Borders>
              <w:bottom w:val="single" w:sz="8" w:color="CFF0FC"/>
            </w:tcBorders>
          </w:tcPr>
          <w:p>
            <w:pPr>
              <w:spacing w:after="0"/>
              <w:rPr>
                <w:sz w:val="15"/>
                <w:szCs w:val="15"/>
                <w:color w:val="auto"/>
              </w:rPr>
            </w:pPr>
          </w:p>
        </w:tc>
        <w:tc>
          <w:tcPr>
            <w:tcW w:w="1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127,773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23,153</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Plant and machinery</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30,675</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14,950</w:t>
            </w: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158,448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38,103</w:t>
            </w: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126,516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23,883</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16,703</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143,219</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30,144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680" w:type="dxa"/>
            <w:vAlign w:val="bottom"/>
          </w:tcPr>
          <w:p>
            <w:pPr>
              <w:spacing w:after="0"/>
              <w:rPr>
                <w:sz w:val="24"/>
                <w:szCs w:val="24"/>
                <w:color w:val="auto"/>
              </w:rPr>
            </w:pPr>
          </w:p>
        </w:tc>
        <w:tc>
          <w:tcPr>
            <w:tcW w:w="15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5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4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5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5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At January 1, 2020</w:t>
            </w: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16,553</w:t>
            </w:r>
          </w:p>
        </w:tc>
        <w:tc>
          <w:tcPr>
            <w:tcW w:w="120" w:type="dxa"/>
            <w:vAlign w:val="bottom"/>
            <w:tcBorders>
              <w:bottom w:val="single" w:sz="8" w:color="CFF0FC"/>
            </w:tcBorders>
          </w:tcPr>
          <w:p>
            <w:pPr>
              <w:spacing w:after="0"/>
              <w:rPr>
                <w:sz w:val="23"/>
                <w:szCs w:val="23"/>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19,174</w:t>
            </w: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35,727</w:t>
            </w: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10,588</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12,764</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(1,298)</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27,826</w:t>
            </w:r>
          </w:p>
        </w:tc>
        <w:tc>
          <w:tcPr>
            <w:tcW w:w="120" w:type="dxa"/>
            <w:vAlign w:val="bottom"/>
            <w:tcBorders>
              <w:bottom w:val="single" w:sz="8" w:color="CFF0FC"/>
            </w:tcBorders>
          </w:tcPr>
          <w:p>
            <w:pPr>
              <w:spacing w:after="0"/>
              <w:rPr>
                <w:sz w:val="22"/>
                <w:szCs w:val="22"/>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22,543</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50,369</w:t>
            </w: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113,597</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21,526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135,123</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Decreases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4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138,803</w:t>
            </w: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39,277</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178,080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2020</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(1,732)</w:t>
            </w:r>
          </w:p>
        </w:tc>
        <w:tc>
          <w:tcPr>
            <w:tcW w:w="120" w:type="dxa"/>
            <w:vAlign w:val="bottom"/>
            <w:shd w:val="clear" w:color="auto" w:fill="CFF0FC"/>
          </w:tcPr>
          <w:p>
            <w:pPr>
              <w:spacing w:after="0"/>
              <w:rPr>
                <w:sz w:val="19"/>
                <w:szCs w:val="19"/>
                <w:color w:val="auto"/>
              </w:rPr>
            </w:pPr>
          </w:p>
        </w:tc>
        <w:tc>
          <w:tcPr>
            <w:tcW w:w="144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(4,472)</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(6,204)</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(2,981)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(4,673)</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(7,593)</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(12,266)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15"/>
                <w:szCs w:val="15"/>
                <w:color w:val="auto"/>
              </w:rPr>
              <w:t>1</w:t>
            </w: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(4,982)</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(11,030)</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(8,602)</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(19,632)</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 net accumulated depreciation</w:t>
            </w: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4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23,153</w:t>
            </w: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14,950</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38,103</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127,773</w:t>
            </w:r>
          </w:p>
        </w:tc>
        <w:tc>
          <w:tcPr>
            <w:tcW w:w="120" w:type="dxa"/>
            <w:vAlign w:val="bottom"/>
          </w:tcPr>
          <w:p>
            <w:pPr>
              <w:spacing w:after="0"/>
              <w:rPr>
                <w:sz w:val="18"/>
                <w:szCs w:val="18"/>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30,675</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158,448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right="340" w:hanging="532"/>
        <w:spacing w:after="0" w:line="266"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asset impairment charge of certain production equipment at our Landskrona production facility in Sweden for which we have no alternative use, amounting to $5.0 million, of which $4.3 million relates to property, plant and equipment and $0.7 million relates to right of use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15.3 Amounts recognized in the statement of operations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gridSpan w:val="2"/>
          </w:tcPr>
          <w:p>
            <w:pPr>
              <w:ind w:left="6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and impairment charge of right-of-use assets</w:t>
            </w:r>
          </w:p>
        </w:tc>
        <w:tc>
          <w:tcPr>
            <w:tcW w:w="10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Plant and machinery</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63"/>
        </w:trPr>
        <w:tc>
          <w:tcPr>
            <w:tcW w:w="5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(12,489)</w:t>
            </w:r>
          </w:p>
        </w:tc>
        <w:tc>
          <w:tcPr>
            <w:tcW w:w="160" w:type="dxa"/>
            <w:vAlign w:val="bottom"/>
            <w:tcBorders>
              <w:bottom w:val="single" w:sz="8" w:color="CFF0FC"/>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(6,130)</w:t>
            </w:r>
          </w:p>
        </w:tc>
        <w:tc>
          <w:tcPr>
            <w:tcW w:w="160" w:type="dxa"/>
            <w:vAlign w:val="bottom"/>
            <w:tcBorders>
              <w:bottom w:val="single" w:sz="8" w:color="CFF0FC"/>
            </w:tcBorders>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(4,378)</w:t>
            </w: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(included in finance cost)</w:t>
            </w: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1"/>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relating to leases of low-value assets that are</w:t>
            </w: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34"/>
        </w:trPr>
        <w:tc>
          <w:tcPr>
            <w:tcW w:w="6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 shown above as short-term leases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r>
    </w:tbl>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total cash outflow for leases in 2021 was $16.5 ($9.8) million.</w:t>
      </w:r>
    </w:p>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Group has the following lease agreements, which had not commenced as of December 31, 2021, but the Group is committed to:</w:t>
      </w:r>
    </w:p>
    <w:p>
      <w:pPr>
        <w:spacing w:after="0" w:line="198" w:lineRule="exact"/>
        <w:rPr>
          <w:sz w:val="20"/>
          <w:szCs w:val="20"/>
          <w:color w:val="auto"/>
        </w:rPr>
      </w:pPr>
    </w:p>
    <w:p>
      <w:pPr>
        <w:ind w:left="1200" w:right="460" w:hanging="396"/>
        <w:spacing w:after="0" w:line="282" w:lineRule="auto"/>
        <w:tabs>
          <w:tab w:leader="none" w:pos="12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previously mentioned Ogden, Utah, agreement, one additional building under which the Group’s obligations amount to $27.9 million for a term of 40 years. The additional building has a commencement date of December 31, 2022.</w:t>
      </w:r>
    </w:p>
    <w:p>
      <w:pPr>
        <w:spacing w:after="0" w:line="121" w:lineRule="exact"/>
        <w:rPr>
          <w:rFonts w:ascii="Times New Roman" w:cs="Times New Roman" w:eastAsia="Times New Roman" w:hAnsi="Times New Roman"/>
          <w:sz w:val="18"/>
          <w:szCs w:val="18"/>
          <w:color w:val="auto"/>
        </w:rPr>
      </w:pPr>
    </w:p>
    <w:p>
      <w:pPr>
        <w:ind w:left="1200" w:right="260" w:hanging="396"/>
        <w:spacing w:after="0" w:line="313" w:lineRule="auto"/>
        <w:tabs>
          <w:tab w:leader="none" w:pos="12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production equipment in Ma’anshan, China, under which the Group’s obligations collectively amount to $8.0 million for a term of six years. The commencement date is expected to be in the first half of 2022.</w:t>
      </w:r>
    </w:p>
    <w:p>
      <w:pPr>
        <w:spacing w:after="0" w:line="94" w:lineRule="exact"/>
        <w:rPr>
          <w:rFonts w:ascii="Times New Roman" w:cs="Times New Roman" w:eastAsia="Times New Roman" w:hAnsi="Times New Roman"/>
          <w:sz w:val="18"/>
          <w:szCs w:val="18"/>
          <w:color w:val="auto"/>
        </w:rPr>
      </w:pPr>
    </w:p>
    <w:p>
      <w:pPr>
        <w:ind w:left="1200" w:right="160" w:hanging="396"/>
        <w:spacing w:after="0" w:line="282" w:lineRule="auto"/>
        <w:tabs>
          <w:tab w:leader="none" w:pos="12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R&amp;D premises in Lund, Sweden, under which the Group’s obligations amount to $13.8 million for a term of 15 years. The lease has a commencement date of September 1, 2023.</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non-current receivables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10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to employees</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5,064</w:t>
            </w:r>
          </w:p>
        </w:tc>
      </w:tr>
      <w:tr>
        <w:trPr>
          <w:trHeight w:val="23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prepaid expenses</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3,411</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1,486</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6,550</w:t>
            </w:r>
          </w:p>
        </w:tc>
      </w:tr>
      <w:tr>
        <w:trPr>
          <w:trHeight w:val="20"/>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802"/>
        <w:spacing w:after="0" w:line="261" w:lineRule="auto"/>
        <w:rPr>
          <w:sz w:val="20"/>
          <w:szCs w:val="20"/>
          <w:color w:val="auto"/>
        </w:rPr>
      </w:pPr>
      <w:r>
        <w:rPr>
          <w:rFonts w:ascii="Times New Roman" w:cs="Times New Roman" w:eastAsia="Times New Roman" w:hAnsi="Times New Roman"/>
          <w:sz w:val="18"/>
          <w:szCs w:val="18"/>
          <w:color w:val="auto"/>
        </w:rPr>
        <w:t>As at December 31, 2021, other non-current receivables primarily included deposits and long term prepaid expenses. As at December 31, 2020, other non-current receivables primarily included full recourse loans to certain members of key management and other employees. Refer to section 3.1.2 Credit risk for further description of the loans. For more information of the warrants and related outstanding balances, see Note 7 Employee and personnel costs and Note 30 Related party disclosures.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Financial instruments per category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31"/>
        </w:trPr>
        <w:tc>
          <w:tcPr>
            <w:tcW w:w="5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Borders>
              <w:top w:val="single" w:sz="8" w:color="auto"/>
            </w:tcBorders>
            <w:gridSpan w:val="4"/>
          </w:tcPr>
          <w:p>
            <w:pPr>
              <w:jc w:val="center"/>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Fair value through</w:t>
            </w:r>
          </w:p>
        </w:tc>
        <w:tc>
          <w:tcPr>
            <w:tcW w:w="120" w:type="dxa"/>
            <w:vAlign w:val="bottom"/>
          </w:tcPr>
          <w:p>
            <w:pPr>
              <w:spacing w:after="0"/>
              <w:rPr>
                <w:sz w:val="11"/>
                <w:szCs w:val="11"/>
                <w:color w:val="auto"/>
              </w:rPr>
            </w:pPr>
          </w:p>
        </w:tc>
        <w:tc>
          <w:tcPr>
            <w:tcW w:w="1800" w:type="dxa"/>
            <w:vAlign w:val="bottom"/>
            <w:tcBorders>
              <w:top w:val="single" w:sz="8" w:color="auto"/>
            </w:tcBorders>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7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72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Assets in the consolidated statement of financial</w:t>
            </w: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72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105,519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71,297</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72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6,982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249,937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295,572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105,364</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249,937</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827</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413,607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185,180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12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31"/>
        </w:trPr>
        <w:tc>
          <w:tcPr>
            <w:tcW w:w="5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Borders>
              <w:top w:val="single" w:sz="8" w:color="auto"/>
            </w:tcBorders>
            <w:gridSpan w:val="4"/>
          </w:tcPr>
          <w:p>
            <w:pPr>
              <w:jc w:val="center"/>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Fair value through</w:t>
            </w:r>
          </w:p>
        </w:tc>
        <w:tc>
          <w:tcPr>
            <w:tcW w:w="120" w:type="dxa"/>
            <w:vAlign w:val="bottom"/>
          </w:tcPr>
          <w:p>
            <w:pPr>
              <w:spacing w:after="0"/>
              <w:rPr>
                <w:sz w:val="11"/>
                <w:szCs w:val="11"/>
                <w:color w:val="auto"/>
              </w:rPr>
            </w:pPr>
          </w:p>
        </w:tc>
        <w:tc>
          <w:tcPr>
            <w:tcW w:w="1800" w:type="dxa"/>
            <w:vAlign w:val="bottom"/>
            <w:tcBorders>
              <w:top w:val="single" w:sz="8" w:color="auto"/>
            </w:tcBorders>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7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72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Liabilities in the consolidated statement of financial</w:t>
            </w: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95,990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 loans</w:t>
            </w:r>
          </w:p>
        </w:tc>
        <w:tc>
          <w:tcPr>
            <w:tcW w:w="172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106,118</w:t>
            </w: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(part of other non-current liabilities)</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18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overdraft facilities</w:t>
            </w:r>
          </w:p>
        </w:tc>
        <w:tc>
          <w:tcPr>
            <w:tcW w:w="172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93,043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45,295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72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85,987</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36,147</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189</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185,017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284,747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89" w:lineRule="exact"/>
        <w:rPr>
          <w:sz w:val="20"/>
          <w:szCs w:val="20"/>
          <w:color w:val="auto"/>
        </w:rPr>
      </w:pPr>
    </w:p>
    <w:p>
      <w:pPr>
        <w:ind w:right="60" w:firstLine="802"/>
        <w:spacing w:after="0" w:line="266" w:lineRule="auto"/>
        <w:rPr>
          <w:sz w:val="20"/>
          <w:szCs w:val="20"/>
          <w:color w:val="auto"/>
        </w:rPr>
      </w:pPr>
      <w:r>
        <w:rPr>
          <w:rFonts w:ascii="Times New Roman" w:cs="Times New Roman" w:eastAsia="Times New Roman" w:hAnsi="Times New Roman"/>
          <w:sz w:val="18"/>
          <w:szCs w:val="18"/>
          <w:color w:val="auto"/>
        </w:rPr>
        <w:t>Some of the cash received in the IPO has been invested in different short-term investments, namely funds, bonds and certificates, for the purpose of securing and increasing the value until the cash is needed for investments in the business, including, for example, new production facilities. The short-term investments are made in SEK and USD.</w:t>
      </w:r>
    </w:p>
    <w:p>
      <w:pPr>
        <w:spacing w:after="0" w:line="149" w:lineRule="exact"/>
        <w:rPr>
          <w:sz w:val="20"/>
          <w:szCs w:val="20"/>
          <w:color w:val="auto"/>
        </w:rPr>
      </w:pPr>
    </w:p>
    <w:p>
      <w:pPr>
        <w:ind w:right="60" w:firstLine="802"/>
        <w:spacing w:after="0" w:line="282" w:lineRule="auto"/>
        <w:rPr>
          <w:sz w:val="20"/>
          <w:szCs w:val="20"/>
          <w:color w:val="auto"/>
        </w:rPr>
      </w:pPr>
      <w:r>
        <w:rPr>
          <w:rFonts w:ascii="Times New Roman" w:cs="Times New Roman" w:eastAsia="Times New Roman" w:hAnsi="Times New Roman"/>
          <w:sz w:val="18"/>
          <w:szCs w:val="18"/>
          <w:color w:val="auto"/>
        </w:rPr>
        <w:t>Funds consist of primarily “money market funds”, i.e. a kind of mutual fund that invests in highly liquid, near-term instruments and high-credit-rating, debt-based securities with a short-term maturity.</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Bonds and certificates consist of corporate bonds and commercial papers.</w:t>
      </w:r>
    </w:p>
    <w:p>
      <w:pPr>
        <w:spacing w:after="0" w:line="185" w:lineRule="exact"/>
        <w:rPr>
          <w:sz w:val="20"/>
          <w:szCs w:val="20"/>
          <w:color w:val="auto"/>
        </w:rPr>
      </w:pPr>
    </w:p>
    <w:p>
      <w:pPr>
        <w:ind w:right="300" w:firstLine="802"/>
        <w:spacing w:after="0" w:line="282" w:lineRule="auto"/>
        <w:rPr>
          <w:sz w:val="20"/>
          <w:szCs w:val="20"/>
          <w:color w:val="auto"/>
        </w:rPr>
      </w:pPr>
      <w:r>
        <w:rPr>
          <w:rFonts w:ascii="Times New Roman" w:cs="Times New Roman" w:eastAsia="Times New Roman" w:hAnsi="Times New Roman"/>
          <w:sz w:val="18"/>
          <w:szCs w:val="18"/>
          <w:color w:val="auto"/>
        </w:rPr>
        <w:t>The changes in fair value recorded in the profit and loss for the year ended December 31, 2021 were $0.2 million. The fair value changes are included in Finance income and expenses, net.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89" w:lineRule="exact"/>
        <w:rPr>
          <w:sz w:val="20"/>
          <w:szCs w:val="20"/>
          <w:color w:val="auto"/>
        </w:rPr>
      </w:pPr>
    </w:p>
    <w:p>
      <w:pPr>
        <w:ind w:right="160" w:firstLine="802"/>
        <w:spacing w:after="0" w:line="266"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31" w:lineRule="exact"/>
        <w:rPr>
          <w:sz w:val="20"/>
          <w:szCs w:val="20"/>
          <w:color w:val="auto"/>
        </w:rPr>
      </w:pPr>
    </w:p>
    <w:p>
      <w:pPr>
        <w:jc w:val="both"/>
        <w:ind w:right="160" w:firstLine="80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The fair value of financial instruments traded in active markets (such as publicly traded derivatives and equity securities) is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quoted market prices at the end of the reporting period. The quoted market price used for financial assets held by the Group is the current bid price. These instruments are included in level 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78" w:lineRule="exact"/>
        <w:rPr>
          <w:sz w:val="20"/>
          <w:szCs w:val="20"/>
          <w:color w:val="auto"/>
        </w:rPr>
      </w:pPr>
    </w:p>
    <w:p>
      <w:pPr>
        <w:ind w:right="80" w:firstLine="80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The fair value of financial instruments that are not traded in an active market (for example, over-the-counter derivatives) is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98" w:lineRule="exact"/>
        <w:rPr>
          <w:sz w:val="20"/>
          <w:szCs w:val="20"/>
          <w:color w:val="auto"/>
        </w:rPr>
      </w:pPr>
    </w:p>
    <w:p>
      <w:pPr>
        <w:ind w:left="1200" w:hanging="396"/>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short-term investments, quoted market prices or dealer quotes for similar instruments,</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swaps, the present value of the estimated future cash flows based on observable yield curves, and</w:t>
      </w:r>
    </w:p>
    <w:p>
      <w:pPr>
        <w:spacing w:after="0" w:line="2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w:t>
      </w:r>
    </w:p>
    <w:p>
      <w:pPr>
        <w:spacing w:after="0" w:line="208" w:lineRule="exact"/>
        <w:rPr>
          <w:sz w:val="20"/>
          <w:szCs w:val="20"/>
          <w:color w:val="auto"/>
        </w:rPr>
      </w:pPr>
    </w:p>
    <w:p>
      <w:pPr>
        <w:ind w:right="40" w:firstLine="80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 This is the case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unlisted equity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2021</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249,937</w:t>
            </w:r>
          </w:p>
        </w:tc>
        <w:tc>
          <w:tcPr>
            <w:tcW w:w="240" w:type="dxa"/>
            <w:vAlign w:val="bottom"/>
          </w:tcPr>
          <w:p>
            <w:pPr>
              <w:spacing w:after="0"/>
              <w:rPr>
                <w:sz w:val="19"/>
                <w:szCs w:val="19"/>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300" w:type="dxa"/>
            <w:vAlign w:val="bottom"/>
            <w:tcBorders>
              <w:top w:val="single" w:sz="8" w:color="auto"/>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249,937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2020</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tcPr>
          <w:p>
            <w:pPr>
              <w:spacing w:after="0"/>
              <w:rPr>
                <w:sz w:val="19"/>
                <w:szCs w:val="19"/>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300" w:type="dxa"/>
            <w:vAlign w:val="bottom"/>
            <w:tcBorders>
              <w:top w:val="single" w:sz="8" w:color="auto"/>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54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3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4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There were no transfers between the levels during 2021 and 2020.</w:t>
      </w:r>
    </w:p>
    <w:p>
      <w:pPr>
        <w:spacing w:after="0" w:line="185" w:lineRule="exact"/>
        <w:rPr>
          <w:sz w:val="20"/>
          <w:szCs w:val="20"/>
          <w:color w:val="auto"/>
        </w:rPr>
      </w:pPr>
    </w:p>
    <w:p>
      <w:pPr>
        <w:ind w:right="340" w:firstLine="802"/>
        <w:spacing w:after="0" w:line="282" w:lineRule="auto"/>
        <w:rPr>
          <w:sz w:val="20"/>
          <w:szCs w:val="20"/>
          <w:color w:val="auto"/>
        </w:rPr>
      </w:pPr>
      <w:r>
        <w:rPr>
          <w:rFonts w:ascii="Times New Roman" w:cs="Times New Roman" w:eastAsia="Times New Roman" w:hAnsi="Times New Roman"/>
          <w:sz w:val="18"/>
          <w:szCs w:val="18"/>
          <w:color w:val="auto"/>
        </w:rPr>
        <w:t>The fair value of liabilities to credit institutions is estimated to correspond to the carrying amount since all borrowing is at a floating interest rate, and the credit risk in the Group has not changed significantly.</w:t>
      </w:r>
    </w:p>
    <w:p>
      <w:pPr>
        <w:spacing w:after="0" w:line="121" w:lineRule="exact"/>
        <w:rPr>
          <w:sz w:val="20"/>
          <w:szCs w:val="20"/>
          <w:color w:val="auto"/>
        </w:rPr>
      </w:pPr>
    </w:p>
    <w:p>
      <w:pPr>
        <w:ind w:right="340" w:firstLine="802"/>
        <w:spacing w:after="0" w:line="282" w:lineRule="auto"/>
        <w:rPr>
          <w:sz w:val="20"/>
          <w:szCs w:val="20"/>
          <w:color w:val="auto"/>
        </w:rPr>
      </w:pPr>
      <w:r>
        <w:rPr>
          <w:rFonts w:ascii="Times New Roman" w:cs="Times New Roman" w:eastAsia="Times New Roman" w:hAnsi="Times New Roman"/>
          <w:sz w:val="18"/>
          <w:szCs w:val="18"/>
          <w:color w:val="auto"/>
        </w:rPr>
        <w:t>The fair value of the shareholder loan in 2020 was estimated to correspond to the carrying amount since the due date was 3 months from the reporting date, hence the discount effect is not significant.</w:t>
      </w:r>
    </w:p>
    <w:p>
      <w:pPr>
        <w:spacing w:after="0" w:line="135" w:lineRule="exact"/>
        <w:rPr>
          <w:sz w:val="20"/>
          <w:szCs w:val="20"/>
          <w:color w:val="auto"/>
        </w:rPr>
      </w:pPr>
    </w:p>
    <w:p>
      <w:pPr>
        <w:ind w:right="240" w:firstLine="802"/>
        <w:spacing w:after="0" w:line="282" w:lineRule="auto"/>
        <w:rPr>
          <w:sz w:val="20"/>
          <w:szCs w:val="20"/>
          <w:color w:val="auto"/>
        </w:rPr>
      </w:pPr>
      <w:r>
        <w:rPr>
          <w:rFonts w:ascii="Times New Roman" w:cs="Times New Roman" w:eastAsia="Times New Roman" w:hAnsi="Times New Roman"/>
          <w:sz w:val="18"/>
          <w:szCs w:val="18"/>
          <w:color w:val="auto"/>
        </w:rPr>
        <w:t>The carrying amount of other financial instruments in the Group is a reasonable approximation of fair value since they are short-term, and the discount effect is not significant.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Inventories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9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17,296</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7,056</w:t>
            </w:r>
          </w:p>
        </w:tc>
      </w:tr>
      <w:tr>
        <w:trPr>
          <w:trHeight w:val="230"/>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78,365</w:t>
            </w:r>
          </w:p>
        </w:tc>
        <w:tc>
          <w:tcPr>
            <w:tcW w:w="160" w:type="dxa"/>
            <w:vAlign w:val="bottom"/>
          </w:tcPr>
          <w:p>
            <w:pPr>
              <w:spacing w:after="0"/>
              <w:rPr>
                <w:sz w:val="19"/>
                <w:szCs w:val="19"/>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30,875</w:t>
            </w:r>
          </w:p>
        </w:tc>
      </w:tr>
      <w:tr>
        <w:trPr>
          <w:trHeight w:val="230"/>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8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1,184</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95,661</w:t>
            </w:r>
          </w:p>
        </w:tc>
        <w:tc>
          <w:tcPr>
            <w:tcW w:w="16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39,115</w:t>
            </w:r>
          </w:p>
        </w:tc>
      </w:tr>
      <w:tr>
        <w:trPr>
          <w:trHeight w:val="20"/>
        </w:trPr>
        <w:tc>
          <w:tcPr>
            <w:tcW w:w="7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802"/>
        <w:spacing w:after="0" w:line="282" w:lineRule="auto"/>
        <w:rPr>
          <w:sz w:val="20"/>
          <w:szCs w:val="20"/>
          <w:color w:val="auto"/>
        </w:rPr>
      </w:pPr>
      <w:r>
        <w:rPr>
          <w:rFonts w:ascii="Times New Roman" w:cs="Times New Roman" w:eastAsia="Times New Roman" w:hAnsi="Times New Roman"/>
          <w:sz w:val="18"/>
          <w:szCs w:val="18"/>
          <w:color w:val="auto"/>
        </w:rPr>
        <w:t>Inventories recognized as an expense during the year ended December 31, 2021 amounted to $459.7 ($251.2) million and were included in cost of goods sold.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right="120" w:firstLine="802"/>
        <w:spacing w:after="0" w:line="282" w:lineRule="auto"/>
        <w:rPr>
          <w:sz w:val="20"/>
          <w:szCs w:val="20"/>
          <w:color w:val="auto"/>
        </w:rPr>
      </w:pPr>
      <w:r>
        <w:rPr>
          <w:rFonts w:ascii="Times New Roman" w:cs="Times New Roman" w:eastAsia="Times New Roman" w:hAnsi="Times New Roman"/>
          <w:sz w:val="18"/>
          <w:szCs w:val="18"/>
          <w:color w:val="auto"/>
        </w:rPr>
        <w:t>Write-downs of inventories to net realizable value amounted to $5.1 ($2.0) million. The write-downs were recognized as an expense during the years ended December 31, 2021 and 2020 and included in cost of goods sold in the statement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Trade receivables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0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9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106,402</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72,009</w:t>
            </w:r>
          </w:p>
        </w:tc>
      </w:tr>
      <w:tr>
        <w:trPr>
          <w:trHeight w:val="23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105,519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71,297</w:t>
            </w: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13"/>
        </w:trPr>
        <w:tc>
          <w:tcPr>
            <w:tcW w:w="8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9"/>
        </w:trPr>
        <w:tc>
          <w:tcPr>
            <w:tcW w:w="870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9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20,941</w:t>
            </w:r>
          </w:p>
        </w:tc>
      </w:tr>
      <w:tr>
        <w:trPr>
          <w:trHeight w:val="229"/>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GBP</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18,541</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15,421</w:t>
            </w:r>
          </w:p>
        </w:tc>
      </w:tr>
      <w:tr>
        <w:trPr>
          <w:trHeight w:val="229"/>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24,877</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13,830</w:t>
            </w:r>
          </w:p>
        </w:tc>
      </w:tr>
      <w:tr>
        <w:trPr>
          <w:trHeight w:val="23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20,871</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14,048</w:t>
            </w:r>
          </w:p>
        </w:tc>
      </w:tr>
      <w:tr>
        <w:trPr>
          <w:trHeight w:val="229"/>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SEK</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3,979</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5,184</w:t>
            </w:r>
          </w:p>
        </w:tc>
      </w:tr>
      <w:tr>
        <w:trPr>
          <w:trHeight w:val="229"/>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4,857</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1,873</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105,519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71,297</w:t>
            </w: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For more information on aging schedule and the allowance for expected credit losses, please see Note 3.1.2.</w:t>
      </w:r>
    </w:p>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Other current receivables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9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827</w:t>
            </w:r>
          </w:p>
        </w:tc>
      </w:tr>
      <w:tr>
        <w:trPr>
          <w:trHeight w:val="230"/>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20,801</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7,767</w:t>
            </w:r>
          </w:p>
        </w:tc>
      </w:tr>
      <w:tr>
        <w:trPr>
          <w:trHeight w:val="229"/>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3,915</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7,513</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2,585</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32,229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12,363</w:t>
            </w:r>
          </w:p>
        </w:tc>
      </w:tr>
      <w:tr>
        <w:trPr>
          <w:trHeight w:val="20"/>
        </w:trPr>
        <w:tc>
          <w:tcPr>
            <w:tcW w:w="7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669"/>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21. Prepaid expenses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9"/>
        </w:trPr>
        <w:tc>
          <w:tcPr>
            <w:tcW w:w="874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production and warehouse expenses</w:t>
            </w:r>
          </w:p>
        </w:tc>
        <w:tc>
          <w:tcPr>
            <w:tcW w:w="9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6,066</w:t>
            </w:r>
          </w:p>
        </w:tc>
      </w:tr>
      <w:tr>
        <w:trPr>
          <w:trHeight w:val="230"/>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selling and marketing expenses</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5,215</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preparation costs</w:t>
            </w:r>
          </w:p>
        </w:tc>
        <w:tc>
          <w:tcPr>
            <w:tcW w:w="8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1,474</w:t>
            </w:r>
          </w:p>
        </w:tc>
      </w:tr>
      <w:tr>
        <w:trPr>
          <w:trHeight w:val="230"/>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 expenses</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8,894</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458</w:t>
            </w:r>
          </w:p>
        </w:tc>
      </w:tr>
      <w:tr>
        <w:trPr>
          <w:trHeight w:val="229"/>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financing expenses</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3,537</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777</w:t>
            </w:r>
          </w:p>
        </w:tc>
      </w:tr>
      <w:tr>
        <w:trPr>
          <w:trHeight w:val="230"/>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9,756</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2,435</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11,509</w:t>
            </w:r>
          </w:p>
        </w:tc>
      </w:tr>
      <w:tr>
        <w:trPr>
          <w:trHeight w:val="20"/>
        </w:trPr>
        <w:tc>
          <w:tcPr>
            <w:tcW w:w="7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845"/>
        </w:trPr>
        <w:tc>
          <w:tcPr>
            <w:tcW w:w="87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F-47</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77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Cash and cash equivalents</w:t>
      </w:r>
    </w:p>
    <w:p>
      <w:pPr>
        <w:spacing w:after="0" w:line="189" w:lineRule="exact"/>
        <w:rPr>
          <w:sz w:val="20"/>
          <w:szCs w:val="20"/>
          <w:color w:val="auto"/>
        </w:rPr>
      </w:pPr>
    </w:p>
    <w:p>
      <w:pPr>
        <w:ind w:right="380" w:firstLine="802"/>
        <w:spacing w:after="0" w:line="282" w:lineRule="auto"/>
        <w:rPr>
          <w:sz w:val="20"/>
          <w:szCs w:val="20"/>
          <w:color w:val="auto"/>
        </w:rPr>
      </w:pPr>
      <w:r>
        <w:rPr>
          <w:rFonts w:ascii="Times New Roman" w:cs="Times New Roman" w:eastAsia="Times New Roman" w:hAnsi="Times New Roman"/>
          <w:sz w:val="18"/>
          <w:szCs w:val="18"/>
          <w:color w:val="auto"/>
        </w:rPr>
        <w:t>The consolidated statement of financial position and the consolidated statement of cash flows include the following items in “cash and cash equivalents”: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9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180,458</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bank and on hand</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115,114</w:t>
            </w:r>
          </w:p>
        </w:tc>
        <w:tc>
          <w:tcPr>
            <w:tcW w:w="160" w:type="dxa"/>
            <w:vAlign w:val="bottom"/>
          </w:tcPr>
          <w:p>
            <w:pPr>
              <w:spacing w:after="0"/>
              <w:rPr>
                <w:sz w:val="19"/>
                <w:szCs w:val="19"/>
                <w:color w:val="auto"/>
              </w:rPr>
            </w:pP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105,364</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295,572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105,364</w:t>
            </w: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480" w:firstLine="802"/>
        <w:spacing w:after="0" w:line="312" w:lineRule="auto"/>
        <w:rPr>
          <w:sz w:val="20"/>
          <w:szCs w:val="20"/>
          <w:color w:val="auto"/>
        </w:rPr>
      </w:pPr>
      <w:r>
        <w:rPr>
          <w:rFonts w:ascii="Times New Roman" w:cs="Times New Roman" w:eastAsia="Times New Roman" w:hAnsi="Times New Roman"/>
          <w:sz w:val="17"/>
          <w:szCs w:val="17"/>
          <w:color w:val="auto"/>
        </w:rPr>
        <w:t>Short-term deposits are time deposits and structured deposits, with maturities of 1 to 3 months. The deposits can be withdrawn at any time before maturity date. The expected change in value is assessed as insignificant since the amount received cannot be less than the amount deposited.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Share capital and other contributed capital</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As at December 31, 2021, 591,777 thousand ordinary shares were outstanding and the par value per share was $0.00018 (SEK 0.0015).</w:t>
      </w:r>
    </w:p>
    <w:p>
      <w:pPr>
        <w:spacing w:after="0" w:line="225" w:lineRule="exact"/>
        <w:rPr>
          <w:sz w:val="20"/>
          <w:szCs w:val="20"/>
          <w:color w:val="auto"/>
        </w:rPr>
      </w:pPr>
    </w:p>
    <w:p>
      <w:pPr>
        <w:ind w:right="60" w:firstLine="802"/>
        <w:spacing w:after="0" w:line="282" w:lineRule="auto"/>
        <w:rPr>
          <w:sz w:val="20"/>
          <w:szCs w:val="20"/>
          <w:color w:val="auto"/>
        </w:rPr>
      </w:pPr>
      <w:r>
        <w:rPr>
          <w:rFonts w:ascii="Times New Roman" w:cs="Times New Roman" w:eastAsia="Times New Roman" w:hAnsi="Times New Roman"/>
          <w:sz w:val="18"/>
          <w:szCs w:val="18"/>
          <w:color w:val="auto"/>
        </w:rPr>
        <w:t>As at December 31, 2020, the Company’s share capital consisted of 433,502,145 A-shares with a par value of $0 (SEK 0.00037), 46,797,804 B-shares with a par value of $0 (SEK 0.00037) and 1,405,944 G-shares with a par value of $0 (SEK 0.00037).</w:t>
      </w:r>
    </w:p>
    <w:p>
      <w:pPr>
        <w:spacing w:after="0" w:line="162" w:lineRule="exact"/>
        <w:rPr>
          <w:sz w:val="20"/>
          <w:szCs w:val="20"/>
          <w:color w:val="auto"/>
        </w:rPr>
      </w:pPr>
    </w:p>
    <w:p>
      <w:pPr>
        <w:jc w:val="both"/>
        <w:ind w:right="180" w:firstLine="802"/>
        <w:spacing w:after="0" w:line="266" w:lineRule="auto"/>
        <w:rPr>
          <w:sz w:val="20"/>
          <w:szCs w:val="20"/>
          <w:color w:val="auto"/>
        </w:rPr>
      </w:pPr>
      <w:r>
        <w:rPr>
          <w:rFonts w:ascii="Times New Roman" w:cs="Times New Roman" w:eastAsia="Times New Roman" w:hAnsi="Times New Roman"/>
          <w:sz w:val="18"/>
          <w:szCs w:val="18"/>
          <w:color w:val="auto"/>
        </w:rPr>
        <w:t>At an extraordinary general meeting held on March 15, 2021, a bonus issue with a registration date of March 22, 2021, was made. The bonus issue resulted in an increase in the share capital of $62.8 thousand (SEK 535.2 thousand). The number of shares were unchanged. The par value per share changed to $0.00017 (SEK 0.00148).</w:t>
      </w:r>
    </w:p>
    <w:p>
      <w:pPr>
        <w:spacing w:after="0" w:line="149" w:lineRule="exact"/>
        <w:rPr>
          <w:sz w:val="20"/>
          <w:szCs w:val="20"/>
          <w:color w:val="auto"/>
        </w:rPr>
      </w:pPr>
    </w:p>
    <w:p>
      <w:pPr>
        <w:jc w:val="both"/>
        <w:ind w:right="100" w:firstLine="802"/>
        <w:spacing w:after="0" w:line="266" w:lineRule="auto"/>
        <w:rPr>
          <w:sz w:val="20"/>
          <w:szCs w:val="20"/>
          <w:color w:val="auto"/>
        </w:rPr>
      </w:pPr>
      <w:r>
        <w:rPr>
          <w:rFonts w:ascii="Times New Roman" w:cs="Times New Roman" w:eastAsia="Times New Roman" w:hAnsi="Times New Roman"/>
          <w:sz w:val="18"/>
          <w:szCs w:val="18"/>
          <w:color w:val="auto"/>
        </w:rPr>
        <w:t>At an extraordinary general meeting on May 4, 2021, the shareholders of the Company approved to adopt new articles of association according to the Board’s proposal. As a consequence of the adoption of the new articles of association, the share classes were removed so that the Company only has ordinary shares.</w:t>
      </w:r>
    </w:p>
    <w:p>
      <w:pPr>
        <w:spacing w:after="0" w:line="1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On the date of the IPO, on May 20, 2021, the following transactions were carried out:</w:t>
      </w:r>
    </w:p>
    <w:p>
      <w:pPr>
        <w:spacing w:after="0" w:line="185" w:lineRule="exact"/>
        <w:rPr>
          <w:sz w:val="20"/>
          <w:szCs w:val="20"/>
          <w:color w:val="auto"/>
        </w:rPr>
      </w:pPr>
    </w:p>
    <w:p>
      <w:pPr>
        <w:ind w:left="1200" w:right="60" w:hanging="396"/>
        <w:spacing w:after="0" w:line="312" w:lineRule="auto"/>
        <w:tabs>
          <w:tab w:leader="none" w:pos="12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redemption of 58 thousand shares was made in order to maintain the economic values among the shareholders after the removal of share classes. The reduction took place through retirement of shares and the share capital was reduced by the amount of $10.35 (SEK 86.24).</w:t>
      </w:r>
    </w:p>
    <w:p>
      <w:pPr>
        <w:spacing w:after="0" w:line="99" w:lineRule="exact"/>
        <w:rPr>
          <w:rFonts w:ascii="Times New Roman" w:cs="Times New Roman" w:eastAsia="Times New Roman" w:hAnsi="Times New Roman"/>
          <w:sz w:val="17"/>
          <w:szCs w:val="17"/>
          <w:color w:val="auto"/>
        </w:rPr>
      </w:pPr>
    </w:p>
    <w:p>
      <w:pPr>
        <w:ind w:left="1200" w:right="140" w:hanging="396"/>
        <w:spacing w:after="0" w:line="282" w:lineRule="auto"/>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warrants were exercised into 39,317 thousand ordinary shares and the share capital was increased by $7.1 thousand (SEK 59.0 thousand).</w:t>
      </w:r>
    </w:p>
    <w:p>
      <w:pPr>
        <w:spacing w:after="0" w:line="111" w:lineRule="exact"/>
        <w:rPr>
          <w:rFonts w:ascii="Times New Roman" w:cs="Times New Roman" w:eastAsia="Times New Roman" w:hAnsi="Times New Roman"/>
          <w:sz w:val="18"/>
          <w:szCs w:val="18"/>
          <w:color w:val="auto"/>
        </w:rPr>
      </w:pPr>
    </w:p>
    <w:p>
      <w:pPr>
        <w:ind w:left="1200" w:hanging="396"/>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6,124 </w:t>
      </w:r>
      <w:r>
        <w:rPr>
          <w:rFonts w:ascii="Times New Roman" w:cs="Times New Roman" w:eastAsia="Times New Roman" w:hAnsi="Times New Roman"/>
          <w:sz w:val="21"/>
          <w:szCs w:val="21"/>
          <w:color w:val="auto"/>
        </w:rPr>
        <w:t>thousand ordinary shares were issued to convert a portion of the shareholder’s loan and the share capital was</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increased by $1.1 thousand (SEK 9.2 thousand).</w:t>
      </w:r>
    </w:p>
    <w:p>
      <w:pPr>
        <w:spacing w:after="0" w:line="151" w:lineRule="exact"/>
        <w:rPr>
          <w:sz w:val="20"/>
          <w:szCs w:val="20"/>
          <w:color w:val="auto"/>
        </w:rPr>
      </w:pPr>
    </w:p>
    <w:p>
      <w:pPr>
        <w:ind w:left="1200" w:hanging="396"/>
        <w:spacing w:after="0" w:line="282" w:lineRule="auto"/>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 issue was made. The bonus issue resulted in that the par value per share changed to $0.00018 (SEK 0.0015) through an increase in the share capital of $1.1 thousand (SEK 8.9 thousand). The number of shares remained unchanged.</w:t>
      </w:r>
    </w:p>
    <w:p>
      <w:pPr>
        <w:spacing w:after="0" w:line="121" w:lineRule="exact"/>
        <w:rPr>
          <w:rFonts w:ascii="Times New Roman" w:cs="Times New Roman" w:eastAsia="Times New Roman" w:hAnsi="Times New Roman"/>
          <w:sz w:val="18"/>
          <w:szCs w:val="18"/>
          <w:color w:val="auto"/>
        </w:rPr>
      </w:pPr>
    </w:p>
    <w:p>
      <w:pPr>
        <w:ind w:left="1200" w:right="100" w:hanging="396"/>
        <w:spacing w:after="0" w:line="282" w:lineRule="auto"/>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share issue was carried out consisting of 64,688 thousand shares which have been subscribed and allotted and the share capital was increased by $11.7 thousand (SEK 97.0 thousand).</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shares carry a voting power of one vote/share. All shares issued by the parent are fully paid.</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Other contributed capital of $1,628.1 ($448.3) million consists of share premium, shareholders contribution and proceeds from warrant issues.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right="420" w:firstLine="802"/>
        <w:spacing w:after="0" w:line="282" w:lineRule="auto"/>
        <w:rPr>
          <w:sz w:val="20"/>
          <w:szCs w:val="20"/>
          <w:color w:val="auto"/>
        </w:rPr>
      </w:pPr>
      <w:r>
        <w:rPr>
          <w:rFonts w:ascii="Times New Roman" w:cs="Times New Roman" w:eastAsia="Times New Roman" w:hAnsi="Times New Roman"/>
          <w:sz w:val="18"/>
          <w:szCs w:val="18"/>
          <w:color w:val="auto"/>
        </w:rPr>
        <w:t>Foreign currency translation reserve of $(74.5) ($(2.5)) million primarily consists of exchange differences occurring from the translation of foreign operations in another currency than the reporting currency of the Group (USD).</w:t>
      </w:r>
    </w:p>
    <w:p>
      <w:pPr>
        <w:spacing w:after="0" w:line="1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Accumulated deficit of $(308.4) ($(119.7)) million consists of accumulated losses and share-based 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Liabilities to credit institutions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 to credit institutions</w:t>
            </w:r>
          </w:p>
        </w:tc>
        <w:tc>
          <w:tcPr>
            <w:tcW w:w="10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91,655</w:t>
            </w:r>
          </w:p>
        </w:tc>
      </w:tr>
      <w:tr>
        <w:trPr>
          <w:trHeight w:val="211"/>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 to credit institutions, consisting of the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following:</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8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5,987</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4,335</w:t>
            </w:r>
          </w:p>
        </w:tc>
      </w:tr>
      <w:tr>
        <w:trPr>
          <w:trHeight w:val="229"/>
        </w:trPr>
        <w:tc>
          <w:tcPr>
            <w:tcW w:w="8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—Overdraft facilities</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1,197</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97,187</w:t>
            </w:r>
          </w:p>
        </w:tc>
      </w:tr>
      <w:tr>
        <w:trPr>
          <w:trHeight w:val="20"/>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60" w:firstLine="802"/>
        <w:spacing w:after="0" w:line="266" w:lineRule="auto"/>
        <w:rPr>
          <w:sz w:val="20"/>
          <w:szCs w:val="20"/>
          <w:color w:val="auto"/>
        </w:rPr>
      </w:pPr>
      <w:r>
        <w:rPr>
          <w:rFonts w:ascii="Times New Roman" w:cs="Times New Roman" w:eastAsia="Times New Roman" w:hAnsi="Times New Roman"/>
          <w:sz w:val="18"/>
          <w:szCs w:val="18"/>
          <w:color w:val="auto"/>
        </w:rPr>
        <w:t>During April 2021 the Group entered into a new Sustainable Revolving Credit Facility Agreement (the “SRCF Agreement”) including a multicurrency revolving credit facility of SEK 3.6 billion (equivalent of USD 397.8 million) with an accordion option of another SEK 850 million (equivalent of USD 93.9 million), subject to the fulfilment of certain conditions and at the lenders’ discretion. For more information, see Note 3.1.3.</w:t>
      </w:r>
    </w:p>
    <w:p>
      <w:pPr>
        <w:spacing w:after="0" w:line="176" w:lineRule="exact"/>
        <w:rPr>
          <w:sz w:val="20"/>
          <w:szCs w:val="20"/>
          <w:color w:val="auto"/>
        </w:rPr>
      </w:pPr>
    </w:p>
    <w:p>
      <w:pPr>
        <w:ind w:right="340" w:firstLine="802"/>
        <w:spacing w:after="0" w:line="266" w:lineRule="auto"/>
        <w:rPr>
          <w:sz w:val="20"/>
          <w:szCs w:val="20"/>
          <w:color w:val="auto"/>
        </w:rPr>
      </w:pPr>
      <w:r>
        <w:rPr>
          <w:rFonts w:ascii="Times New Roman" w:cs="Times New Roman" w:eastAsia="Times New Roman" w:hAnsi="Times New Roman"/>
          <w:sz w:val="18"/>
          <w:szCs w:val="18"/>
          <w:color w:val="auto"/>
        </w:rPr>
        <w:t>At December 31, 2021 the Group has not utilized any loan amounts under the new SRCF agreement. The Liabilities to credit institutions balance at December 31, 2021 is related to outstanding amounts on the EIF Facility which was entered into in October 2019. For more information, see Note 3.1.3.</w:t>
      </w:r>
    </w:p>
    <w:p>
      <w:pPr>
        <w:spacing w:after="0" w:line="1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Collateral</w:t>
      </w:r>
    </w:p>
    <w:p>
      <w:pPr>
        <w:spacing w:after="0" w:line="200" w:lineRule="exact"/>
        <w:rPr>
          <w:sz w:val="20"/>
          <w:szCs w:val="20"/>
          <w:color w:val="auto"/>
        </w:rPr>
      </w:pPr>
    </w:p>
    <w:p>
      <w:pPr>
        <w:ind w:right="80" w:firstLine="802"/>
        <w:spacing w:after="0" w:line="261" w:lineRule="auto"/>
        <w:rPr>
          <w:sz w:val="20"/>
          <w:szCs w:val="20"/>
          <w:color w:val="auto"/>
        </w:rPr>
      </w:pPr>
      <w:r>
        <w:rPr>
          <w:rFonts w:ascii="Times New Roman" w:cs="Times New Roman" w:eastAsia="Times New Roman" w:hAnsi="Times New Roman"/>
          <w:sz w:val="18"/>
          <w:szCs w:val="18"/>
          <w:color w:val="auto"/>
        </w:rPr>
        <w:t>As at December 31, 2020, the Group pledged part of the trade receivables and inventories to fulfil collateral requirements for liabilities to credit institutions of $1.9 million, real estate mortgages of $11.2 million and chattel mortgages of $24.4 million in order to fulfil the collateral requirements for liabilities to credit institutions. The above collateral requirements were terminated during 2021 when the previous credit facility was replaced by the SRCF Agreement described above.</w:t>
      </w:r>
    </w:p>
    <w:p>
      <w:pPr>
        <w:spacing w:after="0" w:line="139" w:lineRule="exact"/>
        <w:rPr>
          <w:sz w:val="20"/>
          <w:szCs w:val="20"/>
          <w:color w:val="auto"/>
        </w:rPr>
      </w:pPr>
    </w:p>
    <w:p>
      <w:pPr>
        <w:ind w:right="620" w:firstLine="802"/>
        <w:spacing w:after="0" w:line="282" w:lineRule="auto"/>
        <w:rPr>
          <w:sz w:val="20"/>
          <w:szCs w:val="20"/>
          <w:color w:val="auto"/>
        </w:rPr>
      </w:pPr>
      <w:r>
        <w:rPr>
          <w:rFonts w:ascii="Times New Roman" w:cs="Times New Roman" w:eastAsia="Times New Roman" w:hAnsi="Times New Roman"/>
          <w:sz w:val="18"/>
          <w:szCs w:val="18"/>
          <w:color w:val="auto"/>
        </w:rPr>
        <w:t>As at December 31, 2021, the Company has pledged shares in its subsidiaries Oatly AB and Cereal Base CEBA AB in order to fulfil the collateral requirements for liabilities to credit institutions.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There are no other significant terms and conditions associated with the use of collateral.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Other non-current liabilities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233</w:t>
            </w:r>
          </w:p>
        </w:tc>
      </w:tr>
      <w:tr>
        <w:trPr>
          <w:trHeight w:val="20"/>
        </w:trPr>
        <w:tc>
          <w:tcPr>
            <w:tcW w:w="7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845"/>
        </w:trPr>
        <w:tc>
          <w:tcPr>
            <w:tcW w:w="886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F-49</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7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Provisions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gridSpan w:val="2"/>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9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7,121</w:t>
            </w: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Additions: </w:t>
            </w:r>
            <w:r>
              <w:rPr>
                <w:rFonts w:ascii="Times New Roman" w:cs="Times New Roman" w:eastAsia="Times New Roman" w:hAnsi="Times New Roman"/>
                <w:sz w:val="18"/>
                <w:szCs w:val="18"/>
                <w:i w:val="1"/>
                <w:iCs w:val="1"/>
                <w:color w:val="auto"/>
              </w:rPr>
              <w:t>included in the acquisition value of right-of-use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6"/>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3,714</w:t>
            </w:r>
          </w:p>
        </w:tc>
        <w:tc>
          <w:tcPr>
            <w:tcW w:w="160" w:type="dxa"/>
            <w:vAlign w:val="bottom"/>
          </w:tcPr>
          <w:p>
            <w:pPr>
              <w:spacing w:after="0"/>
              <w:rPr>
                <w:sz w:val="20"/>
                <w:szCs w:val="20"/>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7,040</w:t>
            </w:r>
          </w:p>
        </w:tc>
      </w:tr>
      <w:tr>
        <w:trPr>
          <w:trHeight w:val="230"/>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r>
      <w:tr>
        <w:trPr>
          <w:trHeight w:val="229"/>
        </w:trPr>
        <w:tc>
          <w:tcPr>
            <w:tcW w:w="8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Unwinding of discount effect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Charged to other comprehensive income/(loss):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r>
      <w:tr>
        <w:trPr>
          <w:trHeight w:val="229"/>
        </w:trPr>
        <w:tc>
          <w:tcPr>
            <w:tcW w:w="8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Exchange differences</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7,121</w:t>
            </w:r>
          </w:p>
        </w:tc>
      </w:tr>
      <w:tr>
        <w:trPr>
          <w:trHeight w:val="20"/>
        </w:trPr>
        <w:tc>
          <w:tcPr>
            <w:tcW w:w="7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provision relates to restoration costs for leased production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Shareholder loans</w:t>
      </w:r>
    </w:p>
    <w:p>
      <w:pPr>
        <w:spacing w:after="0" w:line="202" w:lineRule="exact"/>
        <w:rPr>
          <w:sz w:val="20"/>
          <w:szCs w:val="20"/>
          <w:color w:val="auto"/>
        </w:rPr>
      </w:pPr>
    </w:p>
    <w:p>
      <w:pPr>
        <w:ind w:right="100" w:firstLine="802"/>
        <w:spacing w:after="0" w:line="256" w:lineRule="auto"/>
        <w:rPr>
          <w:sz w:val="20"/>
          <w:szCs w:val="20"/>
          <w:color w:val="auto"/>
        </w:rPr>
      </w:pPr>
      <w:r>
        <w:rPr>
          <w:rFonts w:ascii="Times New Roman" w:cs="Times New Roman" w:eastAsia="Times New Roman" w:hAnsi="Times New Roman"/>
          <w:sz w:val="18"/>
          <w:szCs w:val="18"/>
          <w:color w:val="auto"/>
        </w:rPr>
        <w:t>During 2020, the Group received a shareholder loan of $87.8 million. The loan was received between January to April 2020. The loan had a nominal interest rate of 15%. The effective interest rate at the dates of receiving the loan was 10% and the difference between the nominal interest rate and the effective interest rate was recognized in equity as a transaction with shareholders at a value of $3.7 million. The loan was originally issued partly in SEK and partly in EUR. At the end of May 2020, the loan was renegotiated, which resulted in half of the EUR amount being converted to USD. The effective interest rate for the USD amount at the time of renegotiation was 8% and the renegotiation resulted in a loss of $0.3 million when derecognizing the EUR part converted to USD. The cost was recognized as a finance cost.</w:t>
      </w:r>
    </w:p>
    <w:p>
      <w:pPr>
        <w:spacing w:after="0" w:line="147" w:lineRule="exact"/>
        <w:rPr>
          <w:sz w:val="20"/>
          <w:szCs w:val="20"/>
          <w:color w:val="auto"/>
        </w:rPr>
      </w:pPr>
    </w:p>
    <w:p>
      <w:pPr>
        <w:ind w:right="40" w:firstLine="802"/>
        <w:spacing w:after="0" w:line="276" w:lineRule="auto"/>
        <w:rPr>
          <w:sz w:val="20"/>
          <w:szCs w:val="20"/>
          <w:color w:val="auto"/>
        </w:rPr>
      </w:pPr>
      <w:r>
        <w:rPr>
          <w:rFonts w:ascii="Times New Roman" w:cs="Times New Roman" w:eastAsia="Times New Roman" w:hAnsi="Times New Roman"/>
          <w:sz w:val="17"/>
          <w:szCs w:val="17"/>
          <w:color w:val="auto"/>
        </w:rPr>
        <w:t>In April 2021, the Company and the majority shareholders extended the final repayment date of the Subordinated Bridge Facilities from April 1, 2021 to the earlier of (a) the date of settlement in respect of the initial public offering of shares (or related instruments) in Oatly Group AB in the U.S. and</w:t>
      </w:r>
    </w:p>
    <w:p>
      <w:pPr>
        <w:spacing w:after="0" w:line="1" w:lineRule="exact"/>
        <w:rPr>
          <w:sz w:val="20"/>
          <w:szCs w:val="20"/>
          <w:color w:val="auto"/>
        </w:rPr>
      </w:pPr>
    </w:p>
    <w:p>
      <w:pPr>
        <w:ind w:right="40" w:firstLine="8"/>
        <w:spacing w:after="0" w:line="260" w:lineRule="auto"/>
        <w:tabs>
          <w:tab w:leader="none" w:pos="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17, 2021. In May 2021, $10.9 million was repaid in cash, and the remainder was converted into 6,124,004 ordinary shares at a price equal to the public price in the initial public offering.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Other current liabilities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00" w:type="dxa"/>
            <w:vAlign w:val="bottom"/>
            <w:gridSpan w:val="3"/>
          </w:tcPr>
          <w:p>
            <w:pPr>
              <w:ind w:left="8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withholding taxes</w:t>
            </w:r>
          </w:p>
        </w:tc>
        <w:tc>
          <w:tcPr>
            <w:tcW w:w="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1,694</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7,267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2,949</w:t>
            </w:r>
          </w:p>
        </w:tc>
      </w:tr>
      <w:tr>
        <w:trPr>
          <w:trHeight w:val="230"/>
        </w:trPr>
        <w:tc>
          <w:tcPr>
            <w:tcW w:w="8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4,632</w:t>
            </w:r>
          </w:p>
        </w:tc>
      </w:tr>
      <w:tr>
        <w:trPr>
          <w:trHeight w:val="20"/>
        </w:trPr>
        <w:tc>
          <w:tcPr>
            <w:tcW w:w="7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13"/>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29. Accrued expenses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9"/>
        </w:trPr>
        <w:tc>
          <w:tcPr>
            <w:tcW w:w="8700" w:type="dxa"/>
            <w:vAlign w:val="bottom"/>
            <w:gridSpan w:val="3"/>
          </w:tcPr>
          <w:p>
            <w:pPr>
              <w:ind w:left="8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9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19,992</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9,545</w:t>
            </w:r>
          </w:p>
        </w:tc>
      </w:tr>
      <w:tr>
        <w:trPr>
          <w:trHeight w:val="230"/>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24,157</w:t>
            </w:r>
          </w:p>
        </w:tc>
      </w:tr>
      <w:tr>
        <w:trPr>
          <w:trHeight w:val="230"/>
        </w:trPr>
        <w:tc>
          <w:tcPr>
            <w:tcW w:w="8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30,904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4,576</w:t>
            </w:r>
          </w:p>
        </w:tc>
      </w:tr>
      <w:tr>
        <w:trPr>
          <w:trHeight w:val="230"/>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6,258</w:t>
            </w:r>
          </w:p>
        </w:tc>
      </w:tr>
      <w:tr>
        <w:trPr>
          <w:trHeight w:val="229"/>
        </w:trPr>
        <w:tc>
          <w:tcPr>
            <w:tcW w:w="8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22,776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15,418</w:t>
            </w:r>
          </w:p>
        </w:tc>
      </w:tr>
      <w:tr>
        <w:trPr>
          <w:trHeight w:val="22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117,473</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59,954</w:t>
            </w:r>
          </w:p>
        </w:tc>
      </w:tr>
      <w:tr>
        <w:trPr>
          <w:trHeight w:val="20"/>
        </w:trPr>
        <w:tc>
          <w:tcPr>
            <w:tcW w:w="7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Related party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with significant influence over the Group</w:t>
      </w:r>
    </w:p>
    <w:p>
      <w:pPr>
        <w:spacing w:after="0" w:line="189" w:lineRule="exact"/>
        <w:rPr>
          <w:sz w:val="20"/>
          <w:szCs w:val="20"/>
          <w:color w:val="auto"/>
        </w:rPr>
      </w:pPr>
    </w:p>
    <w:p>
      <w:pPr>
        <w:ind w:right="100" w:firstLine="802"/>
        <w:spacing w:after="0" w:line="282" w:lineRule="auto"/>
        <w:rPr>
          <w:sz w:val="20"/>
          <w:szCs w:val="20"/>
          <w:color w:val="auto"/>
        </w:rPr>
      </w:pPr>
      <w:r>
        <w:rPr>
          <w:rFonts w:ascii="Times New Roman" w:cs="Times New Roman" w:eastAsia="Times New Roman" w:hAnsi="Times New Roman"/>
          <w:sz w:val="18"/>
          <w:szCs w:val="18"/>
          <w:color w:val="auto"/>
        </w:rPr>
        <w:t>China Resources Verlinvest Health Investment Limited (Org No 2380741), headquartered in Hong Kong, the People’s Republic of China, owns 45.9% of the ordinary shares in the Group (60.5% in 2020 before the IPO). Related parties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4" w:name="page165"/>
    <w:bookmarkEnd w:id="1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8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are China Resources Verlinvest Health Investment Limited and its subsidiaries, as well as the Board of Directors and key management (senior executives and their associates) in the Group. Information about key management compensation is found in Note 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Interests in subsidiaries are set out in Note 12.</w:t>
      </w:r>
    </w:p>
    <w:p>
      <w:pPr>
        <w:spacing w:after="0" w:line="1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For 2021, $0.6 ($0.1) million has been recognized in the consolidated statement of operations for compensation to the Board of Directors.</w:t>
      </w:r>
    </w:p>
    <w:p>
      <w:pPr>
        <w:spacing w:after="0" w:line="185" w:lineRule="exact"/>
        <w:rPr>
          <w:sz w:val="20"/>
          <w:szCs w:val="20"/>
          <w:color w:val="auto"/>
        </w:rPr>
      </w:pPr>
    </w:p>
    <w:p>
      <w:pPr>
        <w:jc w:val="both"/>
        <w:ind w:right="340" w:firstLine="802"/>
        <w:spacing w:after="0" w:line="266" w:lineRule="auto"/>
        <w:rPr>
          <w:sz w:val="20"/>
          <w:szCs w:val="20"/>
          <w:color w:val="auto"/>
        </w:rPr>
      </w:pPr>
      <w:r>
        <w:rPr>
          <w:rFonts w:ascii="Times New Roman" w:cs="Times New Roman" w:eastAsia="Times New Roman" w:hAnsi="Times New Roman"/>
          <w:sz w:val="18"/>
          <w:szCs w:val="18"/>
          <w:color w:val="auto"/>
        </w:rPr>
        <w:t>In December 2021, Oatly entered into a consulting agreement (the “Consulting Agreement”) with Bernard Hours, a non-executive director, pursuant to which Oatly agreed to pay a fixed rate of $0.1 million for services performed through June 2022 pursuant to the Consulting Agreement. No amounts were paid to Mr. Hours in 2021.</w:t>
      </w:r>
    </w:p>
    <w:p>
      <w:pPr>
        <w:spacing w:after="0" w:line="135" w:lineRule="exact"/>
        <w:rPr>
          <w:sz w:val="20"/>
          <w:szCs w:val="20"/>
          <w:color w:val="auto"/>
        </w:rPr>
      </w:pPr>
    </w:p>
    <w:p>
      <w:pPr>
        <w:ind w:right="120" w:firstLine="80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Oatly paid $0.3 million pursuant to a Distribution Agreement with the distribution company Chef Sam, of which Bernard Hours, a member of our Board of Directors, is a 57% owner.</w:t>
      </w:r>
    </w:p>
    <w:p>
      <w:pPr>
        <w:spacing w:after="0" w:line="1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Loans to related parties</w:t>
      </w:r>
    </w:p>
    <w:p>
      <w:pPr>
        <w:spacing w:after="0" w:line="189" w:lineRule="exact"/>
        <w:rPr>
          <w:sz w:val="20"/>
          <w:szCs w:val="20"/>
          <w:color w:val="auto"/>
        </w:rPr>
      </w:pPr>
    </w:p>
    <w:p>
      <w:pPr>
        <w:ind w:firstLine="802"/>
        <w:spacing w:after="0" w:line="261" w:lineRule="auto"/>
        <w:rPr>
          <w:sz w:val="20"/>
          <w:szCs w:val="20"/>
          <w:color w:val="auto"/>
        </w:rPr>
      </w:pPr>
      <w:r>
        <w:rPr>
          <w:rFonts w:ascii="Times New Roman" w:cs="Times New Roman" w:eastAsia="Times New Roman" w:hAnsi="Times New Roman"/>
          <w:sz w:val="18"/>
          <w:szCs w:val="18"/>
          <w:color w:val="auto"/>
        </w:rPr>
        <w:t>During 2016 to 2020, the Group granted warrants to certain members of key management, other employees and to an entity controlled by related parties. In addition to the warrants, the Group issued full recourse loans at a market rate to the participants for the purchase price of the warrants. The balances outstanding relating to certain members of key management was $3.3 million at December 31, 2020. In connection with the Company’s IPO in May 2021, the warrants were exercised, and the loans were repaid by the warrant holders.</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Shareholder loans from related parties</w:t>
      </w:r>
    </w:p>
    <w:p>
      <w:pPr>
        <w:spacing w:after="0" w:line="189" w:lineRule="exact"/>
        <w:rPr>
          <w:sz w:val="20"/>
          <w:szCs w:val="20"/>
          <w:color w:val="auto"/>
        </w:rPr>
      </w:pPr>
    </w:p>
    <w:p>
      <w:pPr>
        <w:ind w:right="80" w:firstLine="802"/>
        <w:spacing w:after="0" w:line="282" w:lineRule="auto"/>
        <w:rPr>
          <w:sz w:val="20"/>
          <w:szCs w:val="20"/>
          <w:color w:val="auto"/>
        </w:rPr>
      </w:pPr>
      <w:r>
        <w:rPr>
          <w:rFonts w:ascii="Times New Roman" w:cs="Times New Roman" w:eastAsia="Times New Roman" w:hAnsi="Times New Roman"/>
          <w:sz w:val="18"/>
          <w:szCs w:val="18"/>
          <w:color w:val="auto"/>
        </w:rPr>
        <w:t>The shareholder loans received during 2020 have been completely settled in connection with the Company’s IPO in May 2021. The shareholder loan is described in more detail in Note 27 Shareholder loans.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Changes in liabilities attributable to financing activities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3"/>
                <w:szCs w:val="13"/>
                <w:color w:val="auto"/>
              </w:rPr>
            </w:pPr>
          </w:p>
        </w:tc>
        <w:tc>
          <w:tcPr>
            <w:tcW w:w="136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 credit</w:t>
            </w:r>
          </w:p>
        </w:tc>
        <w:tc>
          <w:tcPr>
            <w:tcW w:w="1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38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institutions</w:t>
            </w:r>
          </w:p>
        </w:tc>
        <w:tc>
          <w:tcPr>
            <w:tcW w:w="120" w:type="dxa"/>
            <w:vAlign w:val="bottom"/>
          </w:tcPr>
          <w:p>
            <w:pPr>
              <w:spacing w:after="0"/>
              <w:rPr>
                <w:sz w:val="15"/>
                <w:szCs w:val="15"/>
                <w:color w:val="auto"/>
              </w:rPr>
            </w:pPr>
          </w:p>
        </w:tc>
        <w:tc>
          <w:tcPr>
            <w:tcW w:w="136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380" w:type="dxa"/>
            <w:vAlign w:val="bottom"/>
            <w:gridSpan w:val="4"/>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25,278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19,468</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Cash flows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(3,991)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flows: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Addition – leases</w:t>
            </w:r>
          </w:p>
        </w:tc>
        <w:tc>
          <w:tcPr>
            <w:tcW w:w="8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73,727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28,866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102,593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w:t>
            </w: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87,828</w:t>
            </w:r>
          </w:p>
        </w:tc>
        <w:tc>
          <w:tcPr>
            <w:tcW w:w="220" w:type="dxa"/>
            <w:vAlign w:val="bottom"/>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flows: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Addition – leases</w:t>
            </w:r>
          </w:p>
        </w:tc>
        <w:tc>
          <w:tcPr>
            <w:tcW w:w="8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2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6,957</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11,333</w:t>
            </w:r>
          </w:p>
        </w:tc>
        <w:tc>
          <w:tcPr>
            <w:tcW w:w="220" w:type="dxa"/>
            <w:vAlign w:val="bottom"/>
          </w:tcPr>
          <w:p>
            <w:pPr>
              <w:spacing w:after="0"/>
              <w:rPr>
                <w:sz w:val="19"/>
                <w:szCs w:val="19"/>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(1,051)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97,187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106,118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30,144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233,449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w:t>
            </w: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220" w:type="dxa"/>
            <w:vAlign w:val="bottom"/>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flows: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Addition – leases</w:t>
            </w:r>
          </w:p>
        </w:tc>
        <w:tc>
          <w:tcPr>
            <w:tcW w:w="8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117,793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3,675</w:t>
            </w:r>
          </w:p>
        </w:tc>
        <w:tc>
          <w:tcPr>
            <w:tcW w:w="220" w:type="dxa"/>
            <w:vAlign w:val="bottom"/>
            <w:shd w:val="clear" w:color="auto" w:fill="CFF0FC"/>
          </w:tcPr>
          <w:p>
            <w:pPr>
              <w:spacing w:after="0"/>
              <w:rPr>
                <w:sz w:val="19"/>
                <w:szCs w:val="19"/>
                <w:color w:val="auto"/>
              </w:rPr>
            </w:pPr>
          </w:p>
        </w:tc>
        <w:tc>
          <w:tcPr>
            <w:tcW w:w="13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Converted to shares</w:t>
            </w:r>
          </w:p>
        </w:tc>
        <w:tc>
          <w:tcPr>
            <w:tcW w:w="8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(104,108)</w:t>
            </w:r>
          </w:p>
        </w:tc>
        <w:tc>
          <w:tcPr>
            <w:tcW w:w="13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(104,108)</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5,256</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6,977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143,219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The Group classifies interest paid as cash flows from operating activities.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 Loss per share</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6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(thousands)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549,080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454,267</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Loss per share was calculated as follows:</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6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for the year, attributable to the shareholders of</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parent</w:t>
            </w: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(212,393)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(60,361)</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(35,625)</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(thousands)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549,080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454,267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loss per share, US $</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1,701,007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6,958,312</w:t>
            </w: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39,857,319</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40,307,328</w:t>
            </w:r>
          </w:p>
        </w:tc>
      </w:tr>
    </w:tbl>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Refer to Note 8 for a description of restricted stock units, stock options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Commitments and contingencies</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Minimum purchase commitments</w:t>
      </w:r>
    </w:p>
    <w:p>
      <w:pPr>
        <w:spacing w:after="0" w:line="187" w:lineRule="exact"/>
        <w:rPr>
          <w:sz w:val="20"/>
          <w:szCs w:val="20"/>
          <w:color w:val="auto"/>
        </w:rPr>
      </w:pPr>
    </w:p>
    <w:p>
      <w:pPr>
        <w:ind w:right="140" w:firstLine="802"/>
        <w:spacing w:after="0" w:line="258"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all significant terms, including fixed or minimum services to be used and fixed, minimum or variable price provisions. Historically, the Group’s annual purchase volumes have exceeded the minimum purchase commitments. For the year ended December 31, 2021, the Group had volume shortfalls during the transition to, and ramp-up of, new production facilities. The financial impact of the volume shortfalls was not material.</w:t>
      </w:r>
    </w:p>
    <w:p>
      <w:pPr>
        <w:spacing w:after="0" w:line="1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Leases and property, plant and equipment</w:t>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future cash outflows relating to leases that have not yet commenced are disclosed in Note 15.</w:t>
      </w:r>
    </w:p>
    <w:p>
      <w:pPr>
        <w:spacing w:after="0" w:line="185" w:lineRule="exact"/>
        <w:rPr>
          <w:sz w:val="20"/>
          <w:szCs w:val="20"/>
          <w:color w:val="auto"/>
        </w:rPr>
      </w:pPr>
    </w:p>
    <w:p>
      <w:pPr>
        <w:ind w:right="800" w:firstLine="802"/>
        <w:spacing w:after="0" w:line="282" w:lineRule="auto"/>
        <w:rPr>
          <w:sz w:val="20"/>
          <w:szCs w:val="20"/>
          <w:color w:val="auto"/>
        </w:rPr>
      </w:pPr>
      <w:r>
        <w:rPr>
          <w:rFonts w:ascii="Times New Roman" w:cs="Times New Roman" w:eastAsia="Times New Roman" w:hAnsi="Times New Roman"/>
          <w:sz w:val="18"/>
          <w:szCs w:val="18"/>
          <w:color w:val="auto"/>
        </w:rPr>
        <w:t>The Group is committed to two purchase agreements regarding production equipment in Peterborough, UK, under which the Group’s obligations amount to $68.5 million. The production equipment is expected to be delivered in 2022.</w:t>
      </w:r>
    </w:p>
    <w:p>
      <w:pPr>
        <w:spacing w:after="0" w:line="1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89" w:lineRule="exact"/>
        <w:rPr>
          <w:sz w:val="20"/>
          <w:szCs w:val="20"/>
          <w:color w:val="auto"/>
        </w:rPr>
      </w:pPr>
    </w:p>
    <w:p>
      <w:pPr>
        <w:ind w:right="140" w:firstLine="802"/>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the Group may be involved in various claims and legal proceedings related to claims arising out of the operations. In July and September 2021, three securities class action complaints were filed under the captions </w:t>
      </w:r>
      <w:r>
        <w:rPr>
          <w:rFonts w:ascii="Times New Roman" w:cs="Times New Roman" w:eastAsia="Times New Roman" w:hAnsi="Times New Roman"/>
          <w:sz w:val="18"/>
          <w:szCs w:val="18"/>
          <w:i w:val="1"/>
          <w:iCs w:val="1"/>
          <w:color w:val="auto"/>
        </w:rPr>
        <w:t>Jochims v. Oatly Group AB et al.</w:t>
      </w:r>
      <w:r>
        <w:rPr>
          <w:rFonts w:ascii="Times New Roman" w:cs="Times New Roman" w:eastAsia="Times New Roman" w:hAnsi="Times New Roman"/>
          <w:sz w:val="18"/>
          <w:szCs w:val="18"/>
          <w:color w:val="auto"/>
        </w:rPr>
        <w:t xml:space="preserve">, Case No. 1:21-cv-06360-AKH, </w:t>
      </w:r>
      <w:r>
        <w:rPr>
          <w:rFonts w:ascii="Times New Roman" w:cs="Times New Roman" w:eastAsia="Times New Roman" w:hAnsi="Times New Roman"/>
          <w:sz w:val="18"/>
          <w:szCs w:val="18"/>
          <w:i w:val="1"/>
          <w:iCs w:val="1"/>
          <w:color w:val="auto"/>
        </w:rPr>
        <w:t>Bentley v. Oatly Group AB et al.</w:t>
      </w:r>
      <w:r>
        <w:rPr>
          <w:rFonts w:ascii="Times New Roman" w:cs="Times New Roman" w:eastAsia="Times New Roman" w:hAnsi="Times New Roman"/>
          <w:sz w:val="18"/>
          <w:szCs w:val="18"/>
          <w:color w:val="auto"/>
        </w:rPr>
        <w:t xml:space="preserve">, Case No. 1:21-cv-06485-AKH, and </w:t>
      </w:r>
      <w:r>
        <w:rPr>
          <w:rFonts w:ascii="Times New Roman" w:cs="Times New Roman" w:eastAsia="Times New Roman" w:hAnsi="Times New Roman"/>
          <w:sz w:val="18"/>
          <w:szCs w:val="18"/>
          <w:i w:val="1"/>
          <w:iCs w:val="1"/>
          <w:color w:val="auto"/>
        </w:rPr>
        <w:t>Kostendt v. Oatly Group AB et al.</w:t>
      </w:r>
      <w:r>
        <w:rPr>
          <w:rFonts w:ascii="Times New Roman" w:cs="Times New Roman" w:eastAsia="Times New Roman" w:hAnsi="Times New Roman"/>
          <w:sz w:val="18"/>
          <w:szCs w:val="18"/>
          <w:color w:val="auto"/>
        </w:rPr>
        <w:t xml:space="preserve">, Case No. 1:21-cv-07904-AKH, in the United States District Court for the Southern District of New York against the Company and certain of its officers and directors, alleging violations of the Securities Exchange Act and SEC Rule 10b-5. These actions have been consolidated under the caption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Consolidated Civil Action No. 1:21-cv-06360-AKH. The Company disputes each and every claim and intends to defend this matter vigorously.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Events after the end of the reporting period</w:t>
      </w:r>
    </w:p>
    <w:p>
      <w:pPr>
        <w:spacing w:after="0" w:line="200" w:lineRule="exact"/>
        <w:rPr>
          <w:sz w:val="20"/>
          <w:szCs w:val="20"/>
          <w:color w:val="auto"/>
        </w:rPr>
      </w:pPr>
    </w:p>
    <w:p>
      <w:pPr>
        <w:jc w:val="both"/>
        <w:ind w:firstLine="802"/>
        <w:spacing w:after="0" w:line="267" w:lineRule="auto"/>
        <w:rPr>
          <w:sz w:val="20"/>
          <w:szCs w:val="20"/>
          <w:color w:val="auto"/>
        </w:rPr>
      </w:pPr>
      <w:r>
        <w:rPr>
          <w:rFonts w:ascii="Times New Roman" w:cs="Times New Roman" w:eastAsia="Times New Roman" w:hAnsi="Times New Roman"/>
          <w:sz w:val="18"/>
          <w:szCs w:val="18"/>
          <w:color w:val="auto"/>
        </w:rPr>
        <w:t xml:space="preserve">In February 2022, a securities class action complaint was filed under the caption </w:t>
      </w:r>
      <w:r>
        <w:rPr>
          <w:rFonts w:ascii="Times New Roman" w:cs="Times New Roman" w:eastAsia="Times New Roman" w:hAnsi="Times New Roman"/>
          <w:sz w:val="18"/>
          <w:szCs w:val="18"/>
          <w:i w:val="1"/>
          <w:iCs w:val="1"/>
          <w:color w:val="auto"/>
        </w:rPr>
        <w:t>Hipple v. Oatly Group AB et al.</w:t>
      </w:r>
      <w:r>
        <w:rPr>
          <w:rFonts w:ascii="Times New Roman" w:cs="Times New Roman" w:eastAsia="Times New Roman" w:hAnsi="Times New Roman"/>
          <w:sz w:val="18"/>
          <w:szCs w:val="18"/>
          <w:color w:val="auto"/>
        </w:rPr>
        <w:t>, Index No. 151432/2022, in the New York County Supreme Court against the Company, certain of its officers and directors (including a former director), among others, alleging violations of the Securities Act of 1933. The Company disputes each and every claim and intends to defend this matter vigorously.</w:t>
      </w:r>
    </w:p>
    <w:p>
      <w:pPr>
        <w:spacing w:after="0" w:line="133" w:lineRule="exact"/>
        <w:rPr>
          <w:sz w:val="20"/>
          <w:szCs w:val="20"/>
          <w:color w:val="auto"/>
        </w:rPr>
      </w:pPr>
    </w:p>
    <w:p>
      <w:pPr>
        <w:jc w:val="both"/>
        <w:ind w:firstLine="802"/>
        <w:spacing w:after="0" w:line="281" w:lineRule="auto"/>
        <w:rPr>
          <w:sz w:val="20"/>
          <w:szCs w:val="20"/>
          <w:color w:val="auto"/>
        </w:rPr>
      </w:pPr>
      <w:r>
        <w:rPr>
          <w:rFonts w:ascii="Times New Roman" w:cs="Times New Roman" w:eastAsia="Times New Roman" w:hAnsi="Times New Roman"/>
          <w:sz w:val="17"/>
          <w:szCs w:val="17"/>
          <w:color w:val="auto"/>
        </w:rPr>
        <w:t xml:space="preserve">In March 2022, Plaintiffs in </w:t>
      </w:r>
      <w:r>
        <w:rPr>
          <w:rFonts w:ascii="Times New Roman" w:cs="Times New Roman" w:eastAsia="Times New Roman" w:hAnsi="Times New Roman"/>
          <w:sz w:val="17"/>
          <w:szCs w:val="17"/>
          <w:i w:val="1"/>
          <w:iCs w:val="1"/>
          <w:color w:val="auto"/>
        </w:rPr>
        <w:t>In re Oatly Group AB Securities Litigation</w:t>
      </w:r>
      <w:r>
        <w:rPr>
          <w:rFonts w:ascii="Times New Roman" w:cs="Times New Roman" w:eastAsia="Times New Roman" w:hAnsi="Times New Roman"/>
          <w:sz w:val="17"/>
          <w:szCs w:val="17"/>
          <w:color w:val="auto"/>
        </w:rPr>
        <w:t>, Consolidated Civil Action No. 1:21-cv-06360-AKH, the securities class action pending in the United States District Court for the Southern District of New York, filed a consolidated amended complaint against the Company and certain of its officers and directors (including a former director), among others, alleging violations of the Securities Act of 1933, in addition to violations of the Securities Exchange Act of 1934 and SEC Rule 10b-5. The Company disputes each and every claim and intends to defend this matter vigorously.</w:t>
      </w:r>
    </w:p>
    <w:p>
      <w:pPr>
        <w:spacing w:after="0" w:line="126" w:lineRule="exact"/>
        <w:rPr>
          <w:sz w:val="20"/>
          <w:szCs w:val="20"/>
          <w:color w:val="auto"/>
        </w:rPr>
      </w:pPr>
    </w:p>
    <w:p>
      <w:pPr>
        <w:ind w:right="60" w:firstLine="802"/>
        <w:spacing w:after="0" w:line="255" w:lineRule="auto"/>
        <w:rPr>
          <w:sz w:val="20"/>
          <w:szCs w:val="20"/>
          <w:color w:val="auto"/>
        </w:rPr>
      </w:pPr>
      <w:r>
        <w:rPr>
          <w:rFonts w:ascii="Times New Roman" w:cs="Times New Roman" w:eastAsia="Times New Roman" w:hAnsi="Times New Roman"/>
          <w:sz w:val="18"/>
          <w:szCs w:val="18"/>
          <w:color w:val="auto"/>
        </w:rPr>
        <w:t>On March 28, 2022, the SRCF Agreement was amended for the purpose of, among other things, (i) postponing the application of the minimum EBITDA financial covenant from the third quarter of 2022 to (A) the second quarter of 2023 or (B) provided that the Group has successfully raised capital of at least $400 million by December 31, 2022, the second quarter of 2024, (ii) lowering the applicable tangible solvency ratio financial covenant levels, and (iii) introducing further restrictions on dividends from the Company stipulating that, following the exercise of the covenant conversion right, in addition to the requirement that no Event of Default (as defined in the SRCF Agreement) is outstanding or would occur immediately thereafter, any dividend from the Company is subject to the total net leverage ratio being equal to or less than 1.00:1 immediately before and after the making of such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00"/>
          </w:cols>
          <w:pgMar w:left="320" w:top="121" w:right="37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1934, AS AMENDED</w:t>
      </w:r>
    </w:p>
    <w:p>
      <w:pPr>
        <w:spacing w:after="0" w:line="39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of the capital stock of Oatly Group AB (the “Company”, “we”, “us”, and “our”) and certain provisions of our articles of association that we adopted in connection with our initial public offering (“IPO”) is not intended to be a complete summary of the rights and preferences of such securities and is qualified in its entirety by reference to the full text of the articles of association, a copy of which have been filed with the Securities and Exchange Commission (“SEC”). You are encouraged to read the applicable provisions of Swedish law and the articles of association in their entirety for a complete description of the rights and preferences of our securities. Further, please note that as a holder of American Depositary Shares (“ADSs”), you will not be treated as one of our shareholders and will not have any shareholder rights.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2021, there were 591,777,001 issued and outstanding ordinary shares, each with a quota (par) value $0.00018 (SEK 0.0015). All of our outstanding ordinary shares have been validly issued, fully paid and non-assessable and are not redeemable and do not have any preemptive rights other than under the Swedish Companies Act as described below. In accordance with our articles of association, all of the ordinary shares are in one class of shares, denominated in SEK. The development in the number of shares since January 1, 2019 is shown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Subscription</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Increase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Increase in</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 Share</w:t>
            </w: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Total Share</w:t>
            </w:r>
          </w:p>
        </w:tc>
        <w:tc>
          <w:tcPr>
            <w:tcW w:w="0" w:type="dxa"/>
            <w:vAlign w:val="bottom"/>
          </w:tcPr>
          <w:p>
            <w:pPr>
              <w:spacing w:after="0"/>
              <w:rPr>
                <w:sz w:val="1"/>
                <w:szCs w:val="1"/>
                <w:color w:val="auto"/>
              </w:rPr>
            </w:pPr>
          </w:p>
        </w:tc>
      </w:tr>
      <w:tr>
        <w:trPr>
          <w:trHeight w:val="135"/>
        </w:trPr>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Nominal</w:t>
            </w: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 Share</w:t>
            </w: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Value (SEK)</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Share class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(SEK)</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(SEK)</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(SEK)</w:t>
            </w:r>
          </w:p>
        </w:tc>
        <w:tc>
          <w:tcPr>
            <w:tcW w:w="0" w:type="dxa"/>
            <w:vAlign w:val="bottom"/>
          </w:tcPr>
          <w:p>
            <w:pPr>
              <w:spacing w:after="0"/>
              <w:rPr>
                <w:sz w:val="1"/>
                <w:szCs w:val="1"/>
                <w:color w:val="auto"/>
              </w:rPr>
            </w:pPr>
          </w:p>
        </w:tc>
      </w:tr>
      <w:tr>
        <w:trPr>
          <w:trHeight w:val="110"/>
        </w:trPr>
        <w:tc>
          <w:tcPr>
            <w:tcW w:w="8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Ordinary shares of</w:t>
            </w:r>
          </w:p>
        </w:tc>
        <w:tc>
          <w:tcPr>
            <w:tcW w:w="4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2019-05-09</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Share issue</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0.01</w:t>
            </w:r>
          </w:p>
        </w:tc>
        <w:tc>
          <w:tcPr>
            <w:tcW w:w="4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4"/>
              </w:rPr>
              <w:t>class A</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207.23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1,928,436</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19,284.36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16,098,531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160,985.31</w:t>
            </w: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40"/>
              <w:spacing w:after="0" w:line="117" w:lineRule="exact"/>
              <w:rPr>
                <w:sz w:val="20"/>
                <w:szCs w:val="20"/>
                <w:color w:val="auto"/>
              </w:rPr>
            </w:pPr>
            <w:r>
              <w:rPr>
                <w:rFonts w:ascii="Times New Roman" w:cs="Times New Roman" w:eastAsia="Times New Roman" w:hAnsi="Times New Roman"/>
                <w:sz w:val="13"/>
                <w:szCs w:val="13"/>
                <w:color w:val="auto"/>
                <w:w w:val="97"/>
              </w:rPr>
              <w:t>Ordinary shares of</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2019-06-14</w:t>
            </w:r>
          </w:p>
        </w:tc>
        <w:tc>
          <w:tcPr>
            <w:tcW w:w="20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 issue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0.01</w:t>
            </w:r>
          </w:p>
        </w:tc>
        <w:tc>
          <w:tcPr>
            <w:tcW w:w="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4"/>
              </w:rPr>
              <w:t>class A</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207.23</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9,176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91.76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16,107,707</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161,077.07</w:t>
            </w:r>
          </w:p>
        </w:tc>
        <w:tc>
          <w:tcPr>
            <w:tcW w:w="0" w:type="dxa"/>
            <w:vAlign w:val="bottom"/>
          </w:tcPr>
          <w:p>
            <w:pPr>
              <w:spacing w:after="0"/>
              <w:rPr>
                <w:sz w:val="1"/>
                <w:szCs w:val="1"/>
                <w:color w:val="auto"/>
              </w:rPr>
            </w:pPr>
          </w:p>
        </w:tc>
      </w:tr>
      <w:tr>
        <w:trPr>
          <w:trHeight w:val="117"/>
        </w:trPr>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3"/>
                <w:szCs w:val="13"/>
                <w:color w:val="auto"/>
                <w:w w:val="97"/>
              </w:rPr>
              <w:t>Ordinary shares of</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2020-07-21</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Share issue</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0.01</w:t>
            </w:r>
          </w:p>
        </w:tc>
        <w:tc>
          <w:tcPr>
            <w:tcW w:w="4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6"/>
              </w:rPr>
              <w:t>class B</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1,073.84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1,733,252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17,332.52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17,840,959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178,409.59</w:t>
            </w: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2021-03-15</w:t>
            </w:r>
          </w:p>
        </w:tc>
        <w:tc>
          <w:tcPr>
            <w:tcW w:w="2000" w:type="dxa"/>
            <w:vAlign w:val="bottom"/>
            <w:gridSpan w:val="3"/>
            <w:shd w:val="clear" w:color="auto" w:fill="CCEEFF"/>
          </w:tcPr>
          <w:p>
            <w:pPr>
              <w:ind w:left="40"/>
              <w:spacing w:after="0" w:line="117" w:lineRule="exact"/>
              <w:rPr>
                <w:sz w:val="20"/>
                <w:szCs w:val="20"/>
                <w:color w:val="auto"/>
              </w:rPr>
            </w:pPr>
            <w:r>
              <w:rPr>
                <w:rFonts w:ascii="Times New Roman" w:cs="Times New Roman" w:eastAsia="Times New Roman" w:hAnsi="Times New Roman"/>
                <w:sz w:val="13"/>
                <w:szCs w:val="13"/>
                <w:color w:val="auto"/>
              </w:rPr>
              <w:t>Bonus issue (increase</w:t>
            </w:r>
          </w:p>
        </w:tc>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spacing w:after="0"/>
              <w:rPr>
                <w:sz w:val="13"/>
                <w:szCs w:val="13"/>
                <w:color w:val="auto"/>
              </w:rPr>
            </w:pPr>
          </w:p>
        </w:tc>
        <w:tc>
          <w:tcPr>
            <w:tcW w:w="20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of share capital)</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0.04</w:t>
            </w:r>
          </w:p>
        </w:tc>
        <w:tc>
          <w:tcPr>
            <w:tcW w:w="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8"/>
              </w:rPr>
              <w:t>N/A</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N/A</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535,228.77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17,840,959</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713,638.36</w:t>
            </w:r>
          </w:p>
        </w:tc>
        <w:tc>
          <w:tcPr>
            <w:tcW w:w="0" w:type="dxa"/>
            <w:vAlign w:val="bottom"/>
          </w:tcPr>
          <w:p>
            <w:pPr>
              <w:spacing w:after="0"/>
              <w:rPr>
                <w:sz w:val="1"/>
                <w:szCs w:val="1"/>
                <w:color w:val="auto"/>
              </w:rPr>
            </w:pPr>
          </w:p>
        </w:tc>
      </w:tr>
      <w:tr>
        <w:trPr>
          <w:trHeight w:val="117"/>
        </w:trPr>
        <w:tc>
          <w:tcPr>
            <w:tcW w:w="2800" w:type="dxa"/>
            <w:vAlign w:val="bottom"/>
            <w:gridSpan w:val="4"/>
          </w:tcPr>
          <w:p>
            <w:pPr>
              <w:ind w:left="100"/>
              <w:spacing w:after="0" w:line="117" w:lineRule="exact"/>
              <w:rPr>
                <w:sz w:val="20"/>
                <w:szCs w:val="20"/>
                <w:color w:val="auto"/>
              </w:rPr>
            </w:pPr>
            <w:r>
              <w:rPr>
                <w:rFonts w:ascii="Times New Roman" w:cs="Times New Roman" w:eastAsia="Times New Roman" w:hAnsi="Times New Roman"/>
                <w:sz w:val="13"/>
                <w:szCs w:val="13"/>
                <w:color w:val="auto"/>
              </w:rPr>
              <w:t>2021-05-04  Share split and removal</w:t>
            </w: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200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of share classes</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0.001481481481481480</w:t>
            </w:r>
          </w:p>
        </w:tc>
        <w:tc>
          <w:tcPr>
            <w:tcW w:w="40" w:type="dxa"/>
            <w:vAlign w:val="bottom"/>
          </w:tcPr>
          <w:p>
            <w:pPr>
              <w:spacing w:after="0"/>
              <w:rPr>
                <w:sz w:val="11"/>
                <w:szCs w:val="11"/>
                <w:color w:val="auto"/>
              </w:rPr>
            </w:pPr>
          </w:p>
        </w:tc>
        <w:tc>
          <w:tcPr>
            <w:tcW w:w="13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color w:val="auto"/>
                <w:w w:val="96"/>
              </w:rPr>
              <w:t>Ordinary Shares</w:t>
            </w:r>
          </w:p>
        </w:tc>
        <w:tc>
          <w:tcPr>
            <w:tcW w:w="1020" w:type="dxa"/>
            <w:vAlign w:val="bottom"/>
            <w:gridSpan w:val="2"/>
          </w:tcPr>
          <w:p>
            <w:pPr>
              <w:ind w:left="7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3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463,864,934</w:t>
            </w: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481,705,893</w:t>
            </w: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713,638.36</w:t>
            </w:r>
          </w:p>
        </w:tc>
        <w:tc>
          <w:tcPr>
            <w:tcW w:w="0" w:type="dxa"/>
            <w:vAlign w:val="bottom"/>
          </w:tcPr>
          <w:p>
            <w:pPr>
              <w:spacing w:after="0"/>
              <w:rPr>
                <w:sz w:val="1"/>
                <w:szCs w:val="1"/>
                <w:color w:val="auto"/>
              </w:rPr>
            </w:pPr>
          </w:p>
        </w:tc>
      </w:tr>
      <w:tr>
        <w:trPr>
          <w:trHeight w:val="148"/>
        </w:trPr>
        <w:tc>
          <w:tcPr>
            <w:tcW w:w="280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2021-05-20  Redemption and bonus issue</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0.0015</w:t>
            </w:r>
          </w:p>
        </w:tc>
        <w:tc>
          <w:tcPr>
            <w:tcW w:w="40" w:type="dxa"/>
            <w:vAlign w:val="bottom"/>
          </w:tcPr>
          <w:p>
            <w:pPr>
              <w:spacing w:after="0"/>
              <w:rPr>
                <w:sz w:val="12"/>
                <w:szCs w:val="12"/>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6"/>
              </w:rPr>
              <w:t>Ordinary Shares</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N/A</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58,215 (decrease)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8,833.157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481,647,678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722,471.517</w:t>
            </w:r>
          </w:p>
        </w:tc>
        <w:tc>
          <w:tcPr>
            <w:tcW w:w="0" w:type="dxa"/>
            <w:vAlign w:val="bottom"/>
          </w:tcPr>
          <w:p>
            <w:pPr>
              <w:spacing w:after="0"/>
              <w:rPr>
                <w:sz w:val="1"/>
                <w:szCs w:val="1"/>
                <w:color w:val="auto"/>
              </w:rPr>
            </w:pPr>
          </w:p>
        </w:tc>
      </w:tr>
      <w:tr>
        <w:trPr>
          <w:trHeight w:val="148"/>
        </w:trPr>
        <w:tc>
          <w:tcPr>
            <w:tcW w:w="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2021-05-20</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Share issue</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0.0015</w:t>
            </w:r>
          </w:p>
        </w:tc>
        <w:tc>
          <w:tcPr>
            <w:tcW w:w="40" w:type="dxa"/>
            <w:vAlign w:val="bottom"/>
          </w:tcPr>
          <w:p>
            <w:pPr>
              <w:spacing w:after="0"/>
              <w:rPr>
                <w:sz w:val="12"/>
                <w:szCs w:val="12"/>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6"/>
              </w:rPr>
              <w:t>Ordinary Shares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141.7035</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6,124,004</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9,186.006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487,771,682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731,657.523</w:t>
            </w:r>
          </w:p>
        </w:tc>
        <w:tc>
          <w:tcPr>
            <w:tcW w:w="0" w:type="dxa"/>
            <w:vAlign w:val="bottom"/>
          </w:tcPr>
          <w:p>
            <w:pPr>
              <w:spacing w:after="0"/>
              <w:rPr>
                <w:sz w:val="1"/>
                <w:szCs w:val="1"/>
                <w:color w:val="auto"/>
              </w:rPr>
            </w:pPr>
          </w:p>
        </w:tc>
      </w:tr>
      <w:tr>
        <w:trPr>
          <w:trHeight w:val="149"/>
        </w:trPr>
        <w:tc>
          <w:tcPr>
            <w:tcW w:w="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2021-05-20</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Share issue</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0.0015</w:t>
            </w:r>
          </w:p>
        </w:tc>
        <w:tc>
          <w:tcPr>
            <w:tcW w:w="40" w:type="dxa"/>
            <w:vAlign w:val="bottom"/>
          </w:tcPr>
          <w:p>
            <w:pPr>
              <w:spacing w:after="0"/>
              <w:rPr>
                <w:sz w:val="12"/>
                <w:szCs w:val="12"/>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6"/>
              </w:rPr>
              <w:t>Ordinary Shares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0.0015</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64,688,000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97,032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522,459,682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828,689.523</w:t>
            </w:r>
          </w:p>
        </w:tc>
        <w:tc>
          <w:tcPr>
            <w:tcW w:w="0" w:type="dxa"/>
            <w:vAlign w:val="bottom"/>
          </w:tcPr>
          <w:p>
            <w:pPr>
              <w:spacing w:after="0"/>
              <w:rPr>
                <w:sz w:val="1"/>
                <w:szCs w:val="1"/>
                <w:color w:val="auto"/>
              </w:rPr>
            </w:pPr>
          </w:p>
        </w:tc>
      </w:tr>
      <w:tr>
        <w:trPr>
          <w:trHeight w:val="178"/>
        </w:trPr>
        <w:tc>
          <w:tcPr>
            <w:tcW w:w="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2021-05-20</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Share issue (warrants)</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0.0015</w:t>
            </w:r>
          </w:p>
        </w:tc>
        <w:tc>
          <w:tcPr>
            <w:tcW w:w="40" w:type="dxa"/>
            <w:vAlign w:val="bottom"/>
          </w:tcPr>
          <w:p>
            <w:pPr>
              <w:spacing w:after="0"/>
              <w:rPr>
                <w:sz w:val="15"/>
                <w:szCs w:val="15"/>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6"/>
              </w:rPr>
              <w:t>Ordinary Shares</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N/A</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39,317,319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58,975.9785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591,777,001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887,665.5015</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summaries of the material provisions of our articles of association and of related material provisions of the Swedish Companies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 of the Company</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object is set forth in Section 3 of our articles of association and is to own and manage real property, chattels and securities, either directly or through subsidiaries. We shall also coordinate the business conducted by our subsidiaries and/or other group or affiliated companies and conduct other ancillary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Powers of the Directors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board of directors shall direct our policy and shall supervise the performance of our chief executive officer and his or her actions. Our board of directors may exercise all powers that are not required under the Swedish Companies Act or under our articles of association to be exercised or taken by our shareholders.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articles of association provide that our board of directors shall consist of three to thirteen members. Our board of directors currently has twelve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Attached to Shares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All of the ordinary shares have equal rights to our assets and earnings and are entitled to one vote at the general meeting. At the general meeting, every shareholder may vote to the full extent of their shares held or represented, without limitation. Each ordinary share entitles the shareholder to the same preferential rights related to issues of shares, warrants and convertible bonds relative to the number of shares they own and have equal rights to dividends and any surplus capital upon liquidation. Shareholders’ rights can only be changed in accordance with the procedures set out in the Swedish Companies Act. Transfers of shares are not subject to any restrictions.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articles of association provide that unless we consent in writing to the selection of an alternative forum and without any infringement on Swedish forum provisions and without applying Chapter 7, Section 54 of the Swedish Companies Act, the United States District Court for the Southern District of New York shall be the sole and exclusive forum for resolving any complaint filed in the United States asserting a cause of action arising under the Securities Act (the “Federal Forum Provision”). We recognize that the Federal Forum Provision may impose additional litigation costs on shareholders in pursuing any such claims, particularly if the shareholders do not reside in or near the State of New York. Additionally, the Federal Forum Provision may limit our shareholders’ ability to bring a claim in a U.S. judicial forum that they find favorable for disputes with us or our directors, officers or employees, which may discourage the filing of lawsuits against us and our directors, officers and employees, even though an action, if successful, might benefit our shareholders. It is possible that a court could find the Federal Forum Provision to be inapplicable or unenforceable. The enforceability of similar choice of forum provisions has been challenged in legal proceedings.</w:t>
      </w:r>
    </w:p>
    <w:p>
      <w:pPr>
        <w:spacing w:after="0" w:line="1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Securities Exchange Act of 1934, as amended (the “Exchange Act”) creates exclusive federal jurisdiction over all suits brought to enforce any duty or liability created by the Exchange Act or the rules and regulations thereunder. Furthermore, Section 22 of the Securities Act of 1933, as amended (the “Securities Act”) creates concurrent jurisdiction for federal and state courts over all suits brought to enforce any duty or liability created by the Securities Act or the rules and regulations thereunder. Accordingly, actions by our shareholders to enforce any duty or liability created by the Exchange Act, the Securities Act or the respective rules and regulations thereunder must be brought in a federal court in the city of New York. Our shareholders will not be deemed to have waived our compliance with the federal securities laws and the regulations promulgated thereunder.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Swedish Companies Act, shareholders of any class of shares will generally have a preemptive right to subscribe for shares or warrants issued of any class in proportion to their shareholdings. Shareholders will have preferential rights to subscribe for new shares in proportion to the number of shares they own. If an offering is not fully subscribed for based on subscription rights, shares may be allocated to subscribers without subscription rights. The preemptive right to subscribe does not apply in respect of shares issued for consideration by payment in kind or of shares issued pursuant to convertible debentures or warrants previously issued by the company.</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preemptive right to subscribe for new shares may be set aside. A share issue with deviation from the shareholders’ preemptive rights may be resolved either by the shareholders at a general meeting, or by the board of directors if the board resolution is preceded by an authorization therefor from the general meeting. A resolution to issue shares with deviation from the shareholders’ preemptive rights and a resolution to authorize the board of directors to do the same must be passed by two-thirds of both the votes cast and the shares represented at the general meeting resolving on the share issue or the authorization of the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at Shareholder Meetings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Swedish Companies Act, shareholders entered into the shareholders’ register as of the record date are entitled to vote at a general meeting (in person or by appointing a proxyholder). In accordance with our articles of association, shareholders must give notice of their intention to attend the general meeting no later than the date specified in the notice. Shareholders who have their shares registered through a nominee and wish to exercise their voting rights at a general meeting must request to be temporary registered as a shareholder and entered into the shareholders’ register at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required to hold an annual general meeting of shareholders each year on such day and at such place as the directors may determine. The general meeting of shareholders is our highest decision-making body and serves as an opportunity for our shareholders to make decisions regarding our affairs. Shareholders who are registered in the share register held by Euroclear Sweden AB six banking days before the meeting and have notified us no later than the date specified in the notice described below have the right to participate at our general meetings, either in person or by a representative. All shareholders have the same participation and voting rights at general meetings. At the annual general meeting, inter alia, members of the board of directors are elected, and a vote is held on whether each individual board member and the chief executive officer will be discharged from any potential liabilities for the previous fiscal year. Auditors are elected as well. Decisions are made concerning adoption of annual reports, allocation of earnings, fees for the board of directors and the auditors and other essential matters that require a decision by the meeting. Most decisions require a simple majority but the Swedish Companies Act dictates other thresholds in certain instances. See “—</w:t>
      </w:r>
      <w:r>
        <w:rPr>
          <w:rFonts w:ascii="Times New Roman" w:cs="Times New Roman" w:eastAsia="Times New Roman" w:hAnsi="Times New Roman"/>
          <w:sz w:val="18"/>
          <w:szCs w:val="18"/>
          <w:i w:val="1"/>
          <w:iCs w:val="1"/>
          <w:color w:val="auto"/>
        </w:rPr>
        <w:t>Differences in Corporate Law—Shareholder Vote on Certain Transactions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Shareholders have the right to ask questions to our board of directors and managers at general meetings that pertain to the business of the company and also have an issue brought forward at the general meeting. In order for us to include the issue in the notice of the annual general meeting, a request of issue discussion must be received by us normally seven weeks before the meeting. Any request for the discussion of an issue at the annual general meeting shall be made to the board of directors and any request within the nomination committee’s competence shall be made to the nomination committee. The board shall convene an extraordinary general meeting of shareholders who together represent at least 10% of all shares in the company so demand in writing to discuss or resolve on a specific issue.</w:t>
      </w:r>
    </w:p>
    <w:p>
      <w:pPr>
        <w:spacing w:after="0" w:line="145"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color w:val="auto"/>
        </w:rPr>
        <w:t>The arrangements for the calling of general meetings are described below in “—</w:t>
      </w:r>
      <w:r>
        <w:rPr>
          <w:rFonts w:ascii="Times New Roman" w:cs="Times New Roman" w:eastAsia="Times New Roman" w:hAnsi="Times New Roman"/>
          <w:sz w:val="18"/>
          <w:szCs w:val="18"/>
          <w:i w:val="1"/>
          <w:iCs w:val="1"/>
          <w:color w:val="auto"/>
        </w:rPr>
        <w:t>Differences in Corporate Law—Annual General Meeting</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Differences in Corporate Law—Special Meeting</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Swedish Companies Act requirements for notice are described below in “—</w:t>
      </w:r>
      <w:r>
        <w:rPr>
          <w:rFonts w:ascii="Times New Roman" w:cs="Times New Roman" w:eastAsia="Times New Roman" w:hAnsi="Times New Roman"/>
          <w:sz w:val="18"/>
          <w:szCs w:val="18"/>
          <w:i w:val="1"/>
          <w:iCs w:val="1"/>
          <w:color w:val="auto"/>
        </w:rPr>
        <w:t>Differences in Corporate Law—Notices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Subject to our articles of association, we must publish the full notice of a general meeting by way of press release, on our website and in the Swedish Official Gazette, and must also publish in Dagens Industri, a daily Swedish newspaper, that such notice has been published. The notice of the annual general meeting will be published six to four weeks before the meeting. The notice must include an agenda listing each item that shall be voted upon at the meeting. The notice of any extraordinary general meetings will be published six to three weeks before the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Swedish Companies Act, in order for a shareholder to participate in a shareholders’ meeting, the shareholder must have its shares registered in its own name in the share register on the sixth banking day prior to the date of the general meeting. In accordance with section 10 of our articles of association, shareholders must give notice of their intention to attend the shareholders’ meeting no later than the date specified in the notice.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Articles of Associations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Swedish Companies Act, an amendment of our articles of association requires a resolution passed at a shareholders’ meeting. The number of votes required for a valid resolution depends on the type of amendment, however, any amendment must be approved by not less than two-thirds of the votes cast and shares represented at the meeting. The board of directors is not allowed to make amendments to the articles of association absent shareholder approval.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Restricting Change in Control of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our articles of association nor the Swedish Companies Act contains any restrictions on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Swedish Companies Act, a public company shall have a board of directors consisting of at least three board members. More than half of the directors shall be resident within the European Economic Area (unless otherwise approved by the Swedish Companies Registration Office). The actual number of board members shall be determined by a shareholders’ meeting, within the limits set out in the company’s articles of association. Under the Swedish Corporate Governance Code (the “Swedish Code”), only one director may also be a senior executive of the relevant company or a subsidiary. The Swedish Code includes certain independence requirements for the directors, and requires the majority of directors be independent of the company and at least two directors also be independent of major shareholders.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Under the Swedish Companies Act, directors appointed at a general meeting may be removed by a resolution adopted at a general meeting, upon the affirmative vote of a simple majority of the votes cast.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Vacancies on the Board of Directors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Swedish Companies Act, if a board member’s tenure should terminate prematurely, the other members of the board of directors shall take measures to appoint a new director for the remainder of the term, unless the outgoing board member was an employee representative. If the outgoing board member was elected by the shareholders, then the election of a new board member may be deferred until the time of the next annual general meeting, providing there are enough remaining board members to constitute a quorum.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Swedish Companies Act, within six months of the end of each fiscal year, the shareholders shall hold an ordinary general meeting (annual general meeting) at which the board of directors shall present the annual report and auditor’s report and, for a parent company which is obliged to prepare group accounts, the group accounts and the auditor’s report for the group. Shareholder meetings shall be held in the city where the board of directors holds its office. The minutes of a shareholders’ meeting must be available on the company’s website no later than two weeks after the meeting.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the Swedish Code, a board of directors may call an extraordinary general meeting if a shareholder minority representing at least ten percent of the company’s shares so requests, and under both the Swedish Code and the Swedish Companies Act, the board of directors may convene an extraordinary general meeting whenever it believes reason exists to hold a general meeting prior to the next ordinary general meeting. The board of directors shall also convene an extraordinary general meeting when an auditor of the company or owners of not less than one-tenth of all shares in the company demand in writing that such a meeting be convened to address a specified matter.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Swedish Companies Act, a general meeting of shareholders must be preceded by a notice. The notice of the annual general meeting of shareholders must be issued no sooner than six weeks and no later than four weeks before the date of an annual general meeting. In general, notice of other extraordinary general meetings must be issued no sooner than six weeks and no later than three weeks before the meeting. Public limited companies must always notify shareholders of a general meeting by advertisement in the Swedish Official Gazette and on the company’s website.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Under the Swedish Companies Act, shareholders of any class of shares have a preemptive right </w:t>
      </w:r>
      <w:r>
        <w:rPr>
          <w:rFonts w:ascii="Times New Roman" w:cs="Times New Roman" w:eastAsia="Times New Roman" w:hAnsi="Times New Roman"/>
          <w:sz w:val="18"/>
          <w:szCs w:val="18"/>
          <w:i w:val="1"/>
          <w:iCs w:val="1"/>
          <w:color w:val="auto"/>
        </w:rPr>
        <w:t>(Sw. företrädesrätt)</w:t>
      </w:r>
      <w:r>
        <w:rPr>
          <w:rFonts w:ascii="Times New Roman" w:cs="Times New Roman" w:eastAsia="Times New Roman" w:hAnsi="Times New Roman"/>
          <w:sz w:val="18"/>
          <w:szCs w:val="18"/>
          <w:color w:val="auto"/>
        </w:rPr>
        <w:t xml:space="preserve"> to subscribe for shares issued of any class in proportion to their shareholdings. The preemptive right to subscribe does not apply in respect of shares issued for consideration other than cash or of shares issued pursuant to convertible debentures or warrants previously granted by the company. The preemptive right to subscribe for new shares may also be set aside by a resolution passed by two thirds of the votes cast and shares represented at the shareholders’ meeting resolving upon the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09" w:right="3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Shareholder Vote on Certain Transactions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matters that do not relate to elections and are not otherwise governed by the Swedish Companies Act or the articles of association, resolutions shall be adopted at the general meeting by a simple majority of the votes cast. In the event of a tied vote, the chairman shall have the casting vote. For matters concerning securities of the company, such as new share issuances, and other transactions such as private placements, mergers and a change from a public to a private company (or vice-versa), the articles of association may only prescribe thresholds which are more greater than those provided in the Swedish Companies Act.</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Unless otherwise prescribed in the articles of association, the person who receives the most votes in an election shall be deemed elected. In general, a resolution involving the alteration of the articles of association shall be valid only when supported by shareholders holding not less than two-thirds of both the votes cast and the shares represented at the general meeting. The Swedish Companies Act lays out numerous exceptions for which a higher threshold applies, including restrictions on certain rights of shareholders, limits on the number of shares shareholders may vote at the general meeting and changes in the legal relationship between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02" w:lineRule="exact"/>
        <w:rPr>
          <w:sz w:val="20"/>
          <w:szCs w:val="20"/>
          <w:color w:val="auto"/>
        </w:rPr>
      </w:pPr>
    </w:p>
    <w:p>
      <w:pPr>
        <w:ind w:right="5420"/>
        <w:spacing w:after="0" w:line="453" w:lineRule="auto"/>
        <w:rPr>
          <w:sz w:val="20"/>
          <w:szCs w:val="20"/>
          <w:color w:val="auto"/>
        </w:rPr>
      </w:pPr>
      <w:r>
        <w:rPr>
          <w:rFonts w:ascii="Times New Roman" w:cs="Times New Roman" w:eastAsia="Times New Roman" w:hAnsi="Times New Roman"/>
          <w:sz w:val="18"/>
          <w:szCs w:val="18"/>
          <w:color w:val="auto"/>
        </w:rPr>
        <w:t xml:space="preserve">Our ADSs have been approved for listing on Nasdaq under the symbol “OTLY.” </w:t>
      </w:r>
      <w:r>
        <w:rPr>
          <w:rFonts w:ascii="Times New Roman" w:cs="Times New Roman" w:eastAsia="Times New Roman" w:hAnsi="Times New Roman"/>
          <w:sz w:val="18"/>
          <w:szCs w:val="18"/>
          <w:b w:val="1"/>
          <w:bCs w:val="1"/>
          <w:color w:val="auto"/>
        </w:rPr>
        <w:t>American Depositary Receipts</w:t>
      </w:r>
    </w:p>
    <w:p>
      <w:pPr>
        <w:spacing w:after="0" w:line="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JPMorgan Chase Bank, N.A., as depositary, registers and delivers the ADSs. Each ADS represents an ownership interest in a designated number or percentage of shares deposited with the custodian, as agent of the depositary, under the deposit agreement among ourselves, the depositary, the ADR holders, and all beneficial owners of an interest in the ADSs evidenced by ADRs from time to 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NY 10179.</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ADS to share ratio is subject to amendment as provided in the form of ADR (which may give rise to fees contemplated by the form of ADR). Each ADS also represents any securities, cash or other property deposited with the depositary.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172" w:name="page173"/>
    <w:bookmarkEnd w:id="172"/>
    <w:p>
      <w:pPr>
        <w:jc w:val="both"/>
        <w:spacing w:after="0" w:line="266" w:lineRule="auto"/>
        <w:rPr>
          <w:sz w:val="20"/>
          <w:szCs w:val="20"/>
          <w:color w:val="auto"/>
        </w:rPr>
      </w:pPr>
      <w:r>
        <w:rPr>
          <w:rFonts w:ascii="Times New Roman" w:cs="Times New Roman" w:eastAsia="Times New Roman" w:hAnsi="Times New Roman"/>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ADSs may be held either directly or indirectly through your broker or other financial institution. If ADSs are held directly, by having an ADS registered in the holders on the books of the depositary, the holder is an ADR holder. If the ADSs are held through a broker or financial institution nominee, the holder must rely on the procedures of such broker or financial institution to assert the rights of an ADR holder described in this section.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treat an ADR holder or beneficial owner as a shareholder of ours and an ADR holder does not have any shareholder rights. Swedish law governs shareholder rights. Because the depositary or its nominee is the shareholder of record for the shares represented by all outstanding ADSs, shareholder rights rest with such record holder.</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 ADR holder has the rights of an ADR holder or of a beneficial owner. A deposit agreement among us, the depositary and all ADR holders, and beneficial owners from time to time of ADRs issued under the deposit agreement and, in the case of a beneficial owner, from the arrangements between the beneficial owner and the holder of the corresponding ADRs sets out ADR holder rights as well as the rights and obligations of the depositary.</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Because the depositary or its nominee is actually the registered owner of the shares, all ADR holders must rely on it to exercise the rights of a shareholder on an ADR holder’s behalf. The deposit agreement, the ADRs and the ADSs are governed by New York law. Under the deposit agreement, as an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ADR holder or a beneficial owner of ADSs,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all holders should read the entire deposit agreement and the form of ADR which has been filed as an exhibit to our Annual Report on Form 20-F for the year ended December 31, 2021 and the form of ADR attached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depositary has agreed that, to the extent practicable, it will pay to ADS holders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An ADS holder will receive these distributions in proportion to the number of underlying securities that its ADSs represent.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196" w:lineRule="exact"/>
        <w:rPr>
          <w:sz w:val="20"/>
          <w:szCs w:val="20"/>
          <w:color w:val="auto"/>
        </w:rPr>
      </w:pPr>
    </w:p>
    <w:p>
      <w:pPr>
        <w:ind w:left="440" w:right="80" w:hanging="432"/>
        <w:spacing w:after="0" w:line="254" w:lineRule="auto"/>
        <w:tabs>
          <w:tab w:leader="none" w:pos="4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distribute any U.S. dollars available to it resulting from a cash dividend or other cash distribution or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73" w:name="page174"/>
    <w:bookmarkEnd w:id="173"/>
    <w:p>
      <w:pPr>
        <w:ind w:left="440" w:right="120" w:hanging="432"/>
        <w:spacing w:after="0" w:line="267" w:lineRule="auto"/>
        <w:tabs>
          <w:tab w:leader="none" w:pos="4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In the case of a distribution in shares, the depositary will issue additional ADRs to evidence the number of ADSs representing such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whole ADSs will be issued. Any shares which would result in fractional ADSs will be sold and the net proceeds will be distributed in the same manner as cash to the ADR holders entitled thereto.</w:t>
      </w:r>
    </w:p>
    <w:p>
      <w:pPr>
        <w:spacing w:after="0" w:line="132" w:lineRule="exact"/>
        <w:rPr>
          <w:rFonts w:ascii="Times New Roman" w:cs="Times New Roman" w:eastAsia="Times New Roman" w:hAnsi="Times New Roman"/>
          <w:sz w:val="18"/>
          <w:szCs w:val="18"/>
          <w:color w:val="auto"/>
        </w:rPr>
      </w:pPr>
    </w:p>
    <w:p>
      <w:pPr>
        <w:ind w:left="440" w:right="260" w:hanging="432"/>
        <w:spacing w:after="0" w:line="267" w:lineRule="auto"/>
        <w:tabs>
          <w:tab w:leader="none" w:pos="4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receive additional shares. </w:t>
      </w:r>
      <w:r>
        <w:rPr>
          <w:rFonts w:ascii="Times New Roman" w:cs="Times New Roman" w:eastAsia="Times New Roman" w:hAnsi="Times New Roman"/>
          <w:sz w:val="18"/>
          <w:szCs w:val="18"/>
          <w:color w:val="auto"/>
        </w:rPr>
        <w:t>In the case of a distribution of rights to subscribe for additional shares or other rights, if we timely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34" w:lineRule="exact"/>
        <w:rPr>
          <w:rFonts w:ascii="Times New Roman" w:cs="Times New Roman" w:eastAsia="Times New Roman" w:hAnsi="Times New Roman"/>
          <w:sz w:val="18"/>
          <w:szCs w:val="18"/>
          <w:color w:val="auto"/>
        </w:rPr>
      </w:pPr>
    </w:p>
    <w:p>
      <w:pPr>
        <w:ind w:left="1080" w:hanging="208"/>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198" w:lineRule="exact"/>
        <w:rPr>
          <w:rFonts w:ascii="Times New Roman" w:cs="Times New Roman" w:eastAsia="Times New Roman" w:hAnsi="Times New Roman"/>
          <w:sz w:val="18"/>
          <w:szCs w:val="18"/>
          <w:color w:val="auto"/>
        </w:rPr>
      </w:pPr>
    </w:p>
    <w:p>
      <w:pPr>
        <w:jc w:val="both"/>
        <w:ind w:left="880" w:right="280" w:hanging="8"/>
        <w:spacing w:after="0" w:line="266" w:lineRule="auto"/>
        <w:tabs>
          <w:tab w:leader="none" w:pos="114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 We have no obligation to file a registration statement under the Securities Act, in order to make any rights available to ADR holders.</w:t>
      </w:r>
    </w:p>
    <w:p>
      <w:pPr>
        <w:spacing w:after="0" w:line="133" w:lineRule="exact"/>
        <w:rPr>
          <w:rFonts w:ascii="Times New Roman" w:cs="Times New Roman" w:eastAsia="Times New Roman" w:hAnsi="Times New Roman"/>
          <w:sz w:val="18"/>
          <w:szCs w:val="18"/>
          <w:color w:val="auto"/>
        </w:rPr>
      </w:pPr>
    </w:p>
    <w:p>
      <w:pPr>
        <w:ind w:left="440" w:hanging="432"/>
        <w:spacing w:after="0" w:line="267" w:lineRule="auto"/>
        <w:tabs>
          <w:tab w:leader="none" w:pos="4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In the case of a distribution of securities or property other than those described above, the depositary may either (i)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32" w:lineRule="exact"/>
        <w:rPr>
          <w:rFonts w:ascii="Times New Roman" w:cs="Times New Roman" w:eastAsia="Times New Roman" w:hAnsi="Times New Roman"/>
          <w:sz w:val="18"/>
          <w:szCs w:val="18"/>
          <w:color w:val="auto"/>
        </w:rPr>
      </w:pPr>
    </w:p>
    <w:p>
      <w:pPr>
        <w:ind w:left="440" w:right="140" w:hanging="432"/>
        <w:spacing w:after="0" w:line="253" w:lineRule="auto"/>
        <w:tabs>
          <w:tab w:leader="none" w:pos="4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Elective Distributions. </w:t>
      </w:r>
      <w:r>
        <w:rPr>
          <w:rFonts w:ascii="Times New Roman" w:cs="Times New Roman" w:eastAsia="Times New Roman" w:hAnsi="Times New Roman"/>
          <w:sz w:val="18"/>
          <w:szCs w:val="18"/>
          <w:color w:val="auto"/>
        </w:rPr>
        <w:t>In the case of a dividend payable at the election of our shareholders in cash or in additional shares, we will notify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at least 30 days prior to the proposed distribution stating whether or not we wish such elective distribution to be made available to ADR holders. The depositary shall make such elective distribution available to ADR holders only if (i) we shall have timely requested that the elective distribution is available to ADR holders, (ii) the depositary shall have determined that such distribution is reasonably practicable and (iii) the depositary shall have received satisfactory documentation within the terms of the deposit agreement including any legal opinions of counsel that the depositary in its reasonable discretion may request. If the above conditions are not satisfied, the depositary shall, to the extent permitted by law, distribute to the ADR holders, on the basis of the same determination as is made in the local market in respect of the shares for which no election is made, either (x) cash or (y) additional ADSs representing such additional shares. If the above conditions are satisfied, the depositary shall establish procedures to enable ADR holders to elect the receipt of the proposed dividend in cash or in additional ADSs. There can be no assurance that ADR holders or beneficial owners of ADSs generally, or any ADR holder or beneficial owner of ADSs in particular, will be given the opportunity to receive elective distributions on the same terms and conditions as the holders of shares.</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is not responsible if it fails to determine that any distribution or action is lawful or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74" w:name="page175"/>
    <w:bookmarkEnd w:id="174"/>
    <w:p>
      <w:pPr>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depositary will issue ADSs if an ADS holder or its broker deposit shares or evidence of rights to receive shares with the custodian and pay the fees and expenses owing to the depositary in connection with such issuance.</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custodian will hold all deposited shares for the account and to the order of the depositary, in each case for the benefit of ADR holders, to the extent not prohibited by law.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When an ADR holders turns in its ADR certificate at the depositary’s office, or when an ADR holder provides proper instructions and documentation in the case of direct registration ADSs, the depositary will, upon payment of certain applicable fees, charges and taxes, deliver the underlying shares to the ADR holder or upon the ADR holder’s written order. At your risk, expense and request, the depositary may deliver deposited securities at such other place as you may request.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85" w:lineRule="exact"/>
        <w:rPr>
          <w:sz w:val="20"/>
          <w:szCs w:val="20"/>
          <w:color w:val="auto"/>
        </w:rPr>
      </w:pPr>
    </w:p>
    <w:p>
      <w:pPr>
        <w:ind w:left="440" w:right="80" w:hanging="432"/>
        <w:spacing w:after="0" w:line="282" w:lineRule="auto"/>
        <w:tabs>
          <w:tab w:leader="none" w:pos="4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12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8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02"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99" w:lineRule="exact"/>
        <w:rPr>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8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w:t>
      </w:r>
    </w:p>
    <w:p>
      <w:pPr>
        <w:spacing w:after="0" w:line="18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fees, expenses or charges assessed by, or owing to, the depositary for administration of the ADR program as provided for in the ADR, or</w:t>
      </w:r>
    </w:p>
    <w:p>
      <w:pPr>
        <w:spacing w:after="0" w:line="18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subject to the provisions of the deposit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ADR holder may instruct the depositary how to exercise the voting rights for the shares which underlie its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Swedish law, be entitled to instruct the depositary as to the exercise of the voting rights, if any, pertaining to the deposited securities represented by the ADSs evidenced by such ADR holder’s ADRs and (iii) the manner in which such instructions may be given,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or for the effect of any such vote. Notwithstanding anything contained in the deposit agreement or any ADR, the depositary may, to the extent not prohibited by any law, rule, or regulation, or by the rules, regulations 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(i.e., by reference to a website containing the materials for retrieval or a contact for requesting copies of the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09" w:right="419" w:bottom="1440" w:gutter="0" w:footer="0" w:header="0"/>
        </w:sectPr>
      </w:pPr>
    </w:p>
    <w:bookmarkStart w:id="176" w:name="page177"/>
    <w:bookmarkEnd w:id="176"/>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49" w:lineRule="exact"/>
        <w:rPr>
          <w:sz w:val="20"/>
          <w:szCs w:val="20"/>
          <w:color w:val="auto"/>
        </w:rPr>
      </w:pPr>
    </w:p>
    <w:p>
      <w:pPr>
        <w:ind w:left="440" w:right="560" w:hanging="432"/>
        <w:spacing w:after="0" w:line="282" w:lineRule="auto"/>
        <w:tabs>
          <w:tab w:leader="none" w:pos="4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U.S.$0.05 or less per ADS held for any cash distribution made, or for any elective cash/stock dividend offered, pursuant to the deposit agreement;</w:t>
      </w:r>
    </w:p>
    <w:p>
      <w:pPr>
        <w:spacing w:after="0" w:line="121" w:lineRule="exact"/>
        <w:rPr>
          <w:rFonts w:ascii="Times New Roman" w:cs="Times New Roman" w:eastAsia="Times New Roman" w:hAnsi="Times New Roman"/>
          <w:sz w:val="18"/>
          <w:szCs w:val="18"/>
          <w:color w:val="auto"/>
        </w:rPr>
      </w:pPr>
    </w:p>
    <w:p>
      <w:pPr>
        <w:ind w:left="440" w:right="200" w:hanging="432"/>
        <w:spacing w:after="0" w:line="289" w:lineRule="auto"/>
        <w:tabs>
          <w:tab w:leader="none" w:pos="4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17" w:lineRule="exact"/>
        <w:rPr>
          <w:rFonts w:ascii="Times New Roman" w:cs="Times New Roman" w:eastAsia="Times New Roman" w:hAnsi="Times New Roman"/>
          <w:sz w:val="17"/>
          <w:szCs w:val="17"/>
          <w:color w:val="auto"/>
        </w:rPr>
      </w:pPr>
    </w:p>
    <w:p>
      <w:pPr>
        <w:ind w:left="440" w:right="20" w:hanging="432"/>
        <w:spacing w:after="0" w:line="255" w:lineRule="auto"/>
        <w:tabs>
          <w:tab w:leader="none" w:pos="4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148" w:lineRule="exact"/>
        <w:rPr>
          <w:rFonts w:ascii="Times New Roman" w:cs="Times New Roman" w:eastAsia="Times New Roman" w:hAnsi="Times New Roman"/>
          <w:sz w:val="18"/>
          <w:szCs w:val="18"/>
          <w:color w:val="auto"/>
        </w:rPr>
      </w:pPr>
    </w:p>
    <w:p>
      <w:pPr>
        <w:ind w:left="440" w:right="200" w:hanging="432"/>
        <w:spacing w:after="0" w:line="261" w:lineRule="auto"/>
        <w:tabs>
          <w:tab w:leader="none" w:pos="4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13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7" w:name="page178"/>
    <w:bookmarkEnd w:id="177"/>
    <w:p>
      <w:pPr>
        <w:ind w:left="440" w:right="220" w:hanging="432"/>
        <w:spacing w:after="0" w:line="282" w:lineRule="auto"/>
        <w:tabs>
          <w:tab w:leader="none" w:pos="4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121" w:lineRule="exact"/>
        <w:rPr>
          <w:rFonts w:ascii="Times New Roman" w:cs="Times New Roman" w:eastAsia="Times New Roman" w:hAnsi="Times New Roman"/>
          <w:sz w:val="18"/>
          <w:szCs w:val="18"/>
          <w:color w:val="auto"/>
        </w:rPr>
      </w:pPr>
    </w:p>
    <w:p>
      <w:pPr>
        <w:ind w:left="440" w:right="680" w:hanging="432"/>
        <w:spacing w:after="0" w:line="282" w:lineRule="auto"/>
        <w:tabs>
          <w:tab w:leader="none" w:pos="4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121" w:lineRule="exact"/>
        <w:rPr>
          <w:rFonts w:ascii="Times New Roman" w:cs="Times New Roman" w:eastAsia="Times New Roman" w:hAnsi="Times New Roman"/>
          <w:sz w:val="18"/>
          <w:szCs w:val="18"/>
          <w:color w:val="auto"/>
        </w:rPr>
      </w:pPr>
    </w:p>
    <w:p>
      <w:pPr>
        <w:ind w:left="440" w:right="100" w:hanging="432"/>
        <w:spacing w:after="0" w:line="282" w:lineRule="auto"/>
        <w:tabs>
          <w:tab w:leader="none" w:pos="4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The spread applied does not reflect any gains or losses that may be earned or incurred by the Bank and its affiliates as a result of risk management or other hedging related activity.</w:t>
      </w:r>
    </w:p>
    <w:p>
      <w:pPr>
        <w:spacing w:after="0" w:line="1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78" w:name="page179"/>
    <w:bookmarkEnd w:id="178"/>
    <w:p>
      <w:pPr>
        <w:ind w:right="60"/>
        <w:spacing w:after="0" w:line="256" w:lineRule="auto"/>
        <w:rPr>
          <w:sz w:val="20"/>
          <w:szCs w:val="20"/>
          <w:color w:val="auto"/>
        </w:rPr>
      </w:pPr>
      <w:r>
        <w:rPr>
          <w:rFonts w:ascii="Times New Roman" w:cs="Times New Roman" w:eastAsia="Times New Roman" w:hAnsi="Times New Roman"/>
          <w:sz w:val="18"/>
          <w:szCs w:val="18"/>
          <w:color w:val="auto"/>
        </w:rPr>
        <w:t>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governmental charge. Each ADR holder and beneficial owner of ADSs, and each prior ADR holder and beneficial owner of ADs, by holding or owning, or having held or owned, an ADR or an interest in ADSs acknowledges and agrees that the depositary shall have the right to seek payment of any taxes or governmental charges owing with respect to their relevant ADRs from any one or more such current or prior ADR holder or beneficial owner of ADSs, as determined by the depositary in its sole discretion, without any obligation to seek payment of amounts owing from any other current or prior ADR holder or beneficial owner of ADSs.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139" w:lineRule="exact"/>
        <w:rPr>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8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8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8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8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79" w:name="page180"/>
    <w:bookmarkEnd w:id="179"/>
    <w:p>
      <w:pPr>
        <w:ind w:right="460"/>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the ADR holders’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1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(i.e., upon retrieval from the SEC’s, the depositary’s or our website or upon request from the depositary).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after our notice of removal was first provided to the depositary. Notwithstanding anything to the contrary herein, the depositary may terminate the deposit agreement without notifying us, but subject to giving 30 days’ notice to the ADR holders, under the following circumstances: (i) in the event of our bankruptcy or insolvency, (ii) if the Shares cease to be listed on an internationally recognized stock exchange, (iii) if we effect (or will effect) a redemption of all or substantially all of the deposited securities, or a cash or share distribution representing a return of all or substantially all of the value of the deposited securities, or (iv) there occurs a merger, consolidation, sale of assets or other transaction as a result of which securities or other property are delivered in exchange for or in lieu of deposited securities.</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After the date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0" w:name="page181"/>
    <w:bookmarkEnd w:id="180"/>
    <w:p>
      <w:pPr>
        <w:spacing w:after="0" w:line="253" w:lineRule="auto"/>
        <w:rPr>
          <w:sz w:val="20"/>
          <w:szCs w:val="20"/>
          <w:color w:val="auto"/>
        </w:rPr>
      </w:pPr>
      <w:r>
        <w:rPr>
          <w:rFonts w:ascii="Times New Roman" w:cs="Times New Roman" w:eastAsia="Times New Roman" w:hAnsi="Times New Roman"/>
          <w:sz w:val="18"/>
          <w:szCs w:val="18"/>
          <w:color w:val="auto"/>
        </w:rPr>
        <w:t>nor any of its nominees shall thereafter be a holder of ADRs. At such time as the ADSs cease to be DTC eligible and/or neither DTC nor any of its nominees is a holder of ADRs, the depositary shall (a) instruct its custodian to deliver all shares and/or deposited securities to us along with a general stock power that refers to the names set forth on the ADR register maintained by the depositary and (b) provide us with a copy of the ADR register maintained by the depositary. Upon receipt of such shares and/or deposited securities and the ADR register maintained by the depositary, we have agreed to use our best efforts to issue to each register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 After we receive the copy of the ADR register and the shares and/or deposited securities from the depositary, we shall be discharged from all obligations under the deposit agreement except (i) to distribute the shares to the registered ADR holders entitled thereto and (ii) for its obligations to the depositary and its agents.</w:t>
      </w:r>
    </w:p>
    <w:p>
      <w:pPr>
        <w:spacing w:after="0" w:line="16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2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121" w:lineRule="exact"/>
        <w:rPr>
          <w:sz w:val="20"/>
          <w:szCs w:val="20"/>
          <w:color w:val="auto"/>
        </w:rPr>
      </w:pPr>
    </w:p>
    <w:p>
      <w:pPr>
        <w:jc w:val="both"/>
        <w:ind w:left="440" w:right="20" w:hanging="432"/>
        <w:spacing w:after="0" w:line="266" w:lineRule="auto"/>
        <w:tabs>
          <w:tab w:leader="none" w:pos="4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135" w:lineRule="exact"/>
        <w:rPr>
          <w:rFonts w:ascii="Times New Roman" w:cs="Times New Roman" w:eastAsia="Times New Roman" w:hAnsi="Times New Roman"/>
          <w:sz w:val="18"/>
          <w:szCs w:val="18"/>
          <w:color w:val="auto"/>
        </w:rPr>
      </w:pPr>
    </w:p>
    <w:p>
      <w:pPr>
        <w:ind w:left="440" w:right="120" w:hanging="432"/>
        <w:spacing w:after="0" w:line="261" w:lineRule="auto"/>
        <w:tabs>
          <w:tab w:leader="none" w:pos="4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13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1" w:name="page182"/>
    <w:bookmarkEnd w:id="181"/>
    <w:p>
      <w:pPr>
        <w:spacing w:after="0" w:line="261"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the depositary’s custodian or ourselves and each of our and their respective agents, provided, however, that no provision of the deposit agreement is intended to constitute a waiver or limitation of any rights which ADR holders or beneficial owners of ADSs may have under the Securities Act or the Exchange Act, to the extent applicable. The deposit agreement provides that each of us, the depositary and our respective agents will:</w:t>
      </w:r>
    </w:p>
    <w:p>
      <w:pPr>
        <w:spacing w:after="0" w:line="153" w:lineRule="exact"/>
        <w:rPr>
          <w:sz w:val="20"/>
          <w:szCs w:val="20"/>
          <w:color w:val="auto"/>
        </w:rPr>
      </w:pPr>
    </w:p>
    <w:p>
      <w:pPr>
        <w:ind w:left="440" w:right="60" w:hanging="432"/>
        <w:spacing w:after="0" w:line="255" w:lineRule="auto"/>
        <w:tabs>
          <w:tab w:leader="none" w:pos="4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no liability to holders or beneficial owners) if any present or future law, rule, regulation, fiat, order or decree of the United States, the Kingdom of Sweden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naturalization, epidemic, pandemic,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48" w:lineRule="exact"/>
        <w:rPr>
          <w:rFonts w:ascii="Times New Roman" w:cs="Times New Roman" w:eastAsia="Times New Roman" w:hAnsi="Times New Roman"/>
          <w:sz w:val="18"/>
          <w:szCs w:val="18"/>
          <w:color w:val="auto"/>
        </w:rPr>
      </w:pPr>
    </w:p>
    <w:p>
      <w:pPr>
        <w:ind w:left="440" w:right="160" w:hanging="432"/>
        <w:spacing w:after="0" w:line="261" w:lineRule="auto"/>
        <w:tabs>
          <w:tab w:leader="none" w:pos="4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139" w:lineRule="exact"/>
        <w:rPr>
          <w:rFonts w:ascii="Times New Roman" w:cs="Times New Roman" w:eastAsia="Times New Roman" w:hAnsi="Times New Roman"/>
          <w:sz w:val="18"/>
          <w:szCs w:val="18"/>
          <w:color w:val="auto"/>
        </w:rPr>
      </w:pPr>
    </w:p>
    <w:p>
      <w:pPr>
        <w:ind w:left="440" w:right="580" w:hanging="432"/>
        <w:spacing w:after="0" w:line="282" w:lineRule="auto"/>
        <w:tabs>
          <w:tab w:leader="none" w:pos="4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to holders or beneficial owners if it performs its obligations under the deposit agreement and ADRs without gross negligence or willful misconduct;</w:t>
      </w:r>
    </w:p>
    <w:p>
      <w:pPr>
        <w:spacing w:after="0" w:line="121" w:lineRule="exact"/>
        <w:rPr>
          <w:rFonts w:ascii="Times New Roman" w:cs="Times New Roman" w:eastAsia="Times New Roman" w:hAnsi="Times New Roman"/>
          <w:sz w:val="18"/>
          <w:szCs w:val="18"/>
          <w:color w:val="auto"/>
        </w:rPr>
      </w:pPr>
    </w:p>
    <w:p>
      <w:pPr>
        <w:ind w:left="440" w:right="100" w:hanging="432"/>
        <w:spacing w:after="0" w:line="282" w:lineRule="auto"/>
        <w:tabs>
          <w:tab w:leader="none" w:pos="4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121" w:lineRule="exact"/>
        <w:rPr>
          <w:rFonts w:ascii="Times New Roman" w:cs="Times New Roman" w:eastAsia="Times New Roman" w:hAnsi="Times New Roman"/>
          <w:sz w:val="18"/>
          <w:szCs w:val="18"/>
          <w:color w:val="auto"/>
        </w:rPr>
      </w:pPr>
    </w:p>
    <w:p>
      <w:pPr>
        <w:ind w:left="440" w:right="340" w:hanging="432"/>
        <w:spacing w:after="0" w:line="261" w:lineRule="auto"/>
        <w:tabs>
          <w:tab w:leader="none" w:pos="4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139" w:lineRule="exact"/>
        <w:rPr>
          <w:rFonts w:ascii="Times New Roman" w:cs="Times New Roman" w:eastAsia="Times New Roman" w:hAnsi="Times New Roman"/>
          <w:sz w:val="18"/>
          <w:szCs w:val="18"/>
          <w:color w:val="auto"/>
        </w:rPr>
      </w:pPr>
    </w:p>
    <w:p>
      <w:pPr>
        <w:jc w:val="both"/>
        <w:ind w:left="440" w:right="80" w:hanging="432"/>
        <w:spacing w:after="0" w:line="266" w:lineRule="auto"/>
        <w:tabs>
          <w:tab w:leader="none" w:pos="4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135" w:lineRule="exact"/>
        <w:rPr>
          <w:rFonts w:ascii="Times New Roman" w:cs="Times New Roman" w:eastAsia="Times New Roman" w:hAnsi="Times New Roman"/>
          <w:sz w:val="18"/>
          <w:szCs w:val="18"/>
          <w:color w:val="auto"/>
        </w:rPr>
      </w:pPr>
    </w:p>
    <w:p>
      <w:pPr>
        <w:ind w:left="440" w:right="40" w:hanging="432"/>
        <w:spacing w:after="0" w:line="282" w:lineRule="auto"/>
        <w:tabs>
          <w:tab w:leader="none" w:pos="4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82" w:name="page183"/>
    <w:bookmarkEnd w:id="182"/>
    <w:p>
      <w:pPr>
        <w:spacing w:after="0" w:line="253" w:lineRule="auto"/>
        <w:rPr>
          <w:sz w:val="20"/>
          <w:szCs w:val="20"/>
          <w:color w:val="auto"/>
        </w:rPr>
      </w:pPr>
      <w:r>
        <w:rPr>
          <w:rFonts w:ascii="Times New Roman" w:cs="Times New Roman" w:eastAsia="Times New Roman" w:hAnsi="Times New Roman"/>
          <w:sz w:val="18"/>
          <w:szCs w:val="18"/>
          <w:color w:val="auto"/>
        </w:rPr>
        <w:t>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depositary has no obligation to inform ADR holders or beneficial owners about the requirements of the laws, rules or regulations or any changes therein or thereto of the Kingdom of Sweden, the United States or any other country or jurisdiction or of any governmental or regulatory authority or any securities exchange or market or automated quotation system.</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none of the depositary, the custodian or us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the depositary or us shall incur any liability for any tax or tax consequences that may be incurred by registered ADR holders or beneficial owners on account of their ownership or disposition of ADRs or ADSs.</w:t>
      </w:r>
    </w:p>
    <w:p>
      <w:pPr>
        <w:spacing w:after="0" w:line="1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ADR or beneficial owners of ADSs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16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Exchange Act, to the extent applicable.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We reserve the right to instruct you (and through you as an ADR holder, the beneficial owner of your ADSs) to deliver your ADSs for cancellation and withdrawal of the deposited securities so as to permit us to deal with you and/or the beneficial owner of your ADSs directly as a holder of shares and, by holding an ADS or an interest therein, you and beneficial owners will be agreeing to comply with such instructions.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135" w:lineRule="exact"/>
        <w:rPr>
          <w:sz w:val="20"/>
          <w:szCs w:val="20"/>
          <w:color w:val="auto"/>
        </w:rPr>
      </w:pPr>
    </w:p>
    <w:p>
      <w:pPr>
        <w:ind w:left="440" w:hanging="432"/>
        <w:spacing w:after="0"/>
        <w:tabs>
          <w:tab w:leader="none" w:pos="4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w:t>
      </w:r>
    </w:p>
    <w:p>
      <w:pPr>
        <w:spacing w:after="0" w:line="184" w:lineRule="exact"/>
        <w:rPr>
          <w:rFonts w:ascii="Times New Roman" w:cs="Times New Roman" w:eastAsia="Times New Roman" w:hAnsi="Times New Roman"/>
          <w:sz w:val="18"/>
          <w:szCs w:val="18"/>
          <w:color w:val="auto"/>
        </w:rPr>
      </w:pPr>
    </w:p>
    <w:p>
      <w:pPr>
        <w:ind w:left="440" w:right="40" w:hanging="432"/>
        <w:spacing w:after="0" w:line="261" w:lineRule="auto"/>
        <w:tabs>
          <w:tab w:leader="none" w:pos="4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w:t>
      </w:r>
    </w:p>
    <w:p>
      <w:pPr>
        <w:spacing w:after="0" w:line="139" w:lineRule="exact"/>
        <w:rPr>
          <w:rFonts w:ascii="Times New Roman" w:cs="Times New Roman" w:eastAsia="Times New Roman" w:hAnsi="Times New Roman"/>
          <w:sz w:val="18"/>
          <w:szCs w:val="18"/>
          <w:color w:val="auto"/>
        </w:rPr>
      </w:pPr>
    </w:p>
    <w:p>
      <w:pPr>
        <w:ind w:left="440" w:right="40" w:hanging="432"/>
        <w:spacing w:after="0" w:line="253" w:lineRule="auto"/>
        <w:tabs>
          <w:tab w:leader="none" w:pos="4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or ADR holders or beneficial owners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Kingdom of Sweden, the United States and/or any other court of competent jurisdiction.</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deposit agreement, by holding or owning an ADR or ADS or an interest therein, ADR holders and beneficial owners each irrevocably agree that any legal suit, action or proceeding against or involving us or the depositary, arising out of or based upon the deposit agreement, the ADSs, the ADRs or the transactions contemplated thereby, may only be instituted in a state or federal court in New York, New York, and each irrevocably waives any obligation which it may have to the laying of venue of any such proceeding, and irrevocably submits to the exclusive jurisdiction of such courts in any such suit, action or proceeding.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ectPr>
          <w:pgSz w:w="11900" w:h="16838" w:orient="portrait"/>
          <w:cols w:equalWidth="0" w:num="1">
            <w:col w:w="11220"/>
          </w:cols>
          <w:pgMar w:left="320" w:top="509" w:right="359" w:bottom="1440" w:gutter="0" w:footer="0" w:header="0"/>
        </w:sectPr>
      </w:pPr>
    </w:p>
    <w:bookmarkStart w:id="185" w:name="page186"/>
    <w:bookmarkEnd w:id="185"/>
    <w:p>
      <w:pPr>
        <w:jc w:val="right"/>
        <w:spacing w:after="0"/>
        <w:rPr>
          <w:sz w:val="20"/>
          <w:szCs w:val="20"/>
          <w:color w:val="auto"/>
        </w:rPr>
      </w:pPr>
      <w:r>
        <w:rPr>
          <w:rFonts w:ascii="Trebuchet MS" w:cs="Trebuchet MS" w:eastAsia="Trebuchet MS" w:hAnsi="Trebuchet MS"/>
          <w:sz w:val="20"/>
          <w:szCs w:val="20"/>
          <w:b w:val="1"/>
          <w:bCs w:val="1"/>
          <w:color w:val="auto"/>
        </w:rPr>
        <w:t>Exhibit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1261745</wp:posOffset>
            </wp:positionV>
            <wp:extent cx="5263515" cy="22459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526351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40"/>
        <w:spacing w:after="0" w:line="244" w:lineRule="auto"/>
        <w:rPr>
          <w:sz w:val="20"/>
          <w:szCs w:val="20"/>
          <w:color w:val="auto"/>
        </w:rPr>
      </w:pPr>
      <w:r>
        <w:rPr>
          <w:rFonts w:ascii="Trebuchet MS" w:cs="Trebuchet MS" w:eastAsia="Trebuchet MS" w:hAnsi="Trebuchet MS"/>
          <w:sz w:val="22"/>
          <w:szCs w:val="22"/>
          <w:color w:val="FFFFFF"/>
        </w:rPr>
        <w:t>DEPOSIT AGREEMENT AMONG OATLY GROUP AB, JPMORGAN CHASE BANK, N.A. AS DEPOSITARY AND HOLDERS AND BENEFICIAL OWNERS OF AMERICAN DEPOSITARY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1762125</wp:posOffset>
            </wp:positionV>
            <wp:extent cx="1534160" cy="436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15341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69"/>
        </w:trPr>
        <w:tc>
          <w:tcPr>
            <w:tcW w:w="1560" w:type="dxa"/>
            <w:vAlign w:val="bottom"/>
          </w:tcPr>
          <w:p>
            <w:pPr>
              <w:spacing w:after="0"/>
              <w:rPr>
                <w:sz w:val="23"/>
                <w:szCs w:val="23"/>
                <w:color w:val="auto"/>
              </w:rPr>
            </w:pPr>
          </w:p>
        </w:tc>
        <w:tc>
          <w:tcPr>
            <w:tcW w:w="8500" w:type="dxa"/>
            <w:vAlign w:val="bottom"/>
          </w:tcPr>
          <w:p>
            <w:pPr>
              <w:ind w:left="3000"/>
              <w:spacing w:after="0"/>
              <w:rPr>
                <w:sz w:val="20"/>
                <w:szCs w:val="20"/>
                <w:color w:val="auto"/>
              </w:rPr>
            </w:pPr>
            <w:r>
              <w:rPr>
                <w:rFonts w:ascii="Trebuchet MS" w:cs="Trebuchet MS" w:eastAsia="Trebuchet MS" w:hAnsi="Trebuchet MS"/>
                <w:sz w:val="22"/>
                <w:szCs w:val="22"/>
                <w:b w:val="1"/>
                <w:bCs w:val="1"/>
                <w:color w:val="auto"/>
              </w:rPr>
              <w:t>TABLE OF CONTENTS</w:t>
            </w:r>
          </w:p>
        </w:tc>
        <w:tc>
          <w:tcPr>
            <w:tcW w:w="980" w:type="dxa"/>
            <w:vAlign w:val="bottom"/>
            <w:gridSpan w:val="2"/>
            <w:vMerge w:val="restart"/>
          </w:tcPr>
          <w:p>
            <w:pPr>
              <w:ind w:left="560"/>
              <w:spacing w:after="0"/>
              <w:rPr>
                <w:sz w:val="20"/>
                <w:szCs w:val="20"/>
                <w:color w:val="auto"/>
              </w:rPr>
            </w:pPr>
            <w:r>
              <w:rPr>
                <w:rFonts w:ascii="Trebuchet MS" w:cs="Trebuchet MS" w:eastAsia="Trebuchet MS" w:hAnsi="Trebuchet MS"/>
                <w:sz w:val="20"/>
                <w:szCs w:val="20"/>
                <w:color w:val="auto"/>
                <w:w w:val="93"/>
              </w:rPr>
              <w:t>Page</w:t>
            </w:r>
          </w:p>
        </w:tc>
        <w:tc>
          <w:tcPr>
            <w:tcW w:w="0" w:type="dxa"/>
            <w:vAlign w:val="bottom"/>
          </w:tcPr>
          <w:p>
            <w:pPr>
              <w:spacing w:after="0"/>
              <w:rPr>
                <w:sz w:val="1"/>
                <w:szCs w:val="1"/>
                <w:color w:val="auto"/>
              </w:rPr>
            </w:pPr>
          </w:p>
        </w:tc>
      </w:tr>
      <w:tr>
        <w:trPr>
          <w:trHeight w:val="198"/>
        </w:trPr>
        <w:tc>
          <w:tcPr>
            <w:tcW w:w="1560" w:type="dxa"/>
            <w:vAlign w:val="bottom"/>
            <w:vMerge w:val="restart"/>
          </w:tcPr>
          <w:p>
            <w:pPr>
              <w:spacing w:after="0"/>
              <w:rPr>
                <w:sz w:val="20"/>
                <w:szCs w:val="20"/>
                <w:color w:val="auto"/>
              </w:rPr>
            </w:pPr>
            <w:r>
              <w:rPr>
                <w:rFonts w:ascii="Trebuchet MS" w:cs="Trebuchet MS" w:eastAsia="Trebuchet MS" w:hAnsi="Trebuchet MS"/>
                <w:sz w:val="20"/>
                <w:szCs w:val="20"/>
                <w:color w:val="auto"/>
              </w:rPr>
              <w:t>PARTIES</w:t>
            </w:r>
          </w:p>
        </w:tc>
        <w:tc>
          <w:tcPr>
            <w:tcW w:w="85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560" w:type="dxa"/>
            <w:vAlign w:val="bottom"/>
            <w:vMerge w:val="continue"/>
          </w:tcPr>
          <w:p>
            <w:pPr>
              <w:spacing w:after="0"/>
              <w:rPr>
                <w:sz w:val="20"/>
                <w:szCs w:val="20"/>
                <w:color w:val="auto"/>
              </w:rPr>
            </w:pPr>
          </w:p>
        </w:tc>
        <w:tc>
          <w:tcPr>
            <w:tcW w:w="8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RECITALS</w:t>
            </w:r>
          </w:p>
        </w:tc>
        <w:tc>
          <w:tcPr>
            <w:tcW w:w="8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Certain Definitions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3</w:t>
            </w:r>
          </w:p>
        </w:tc>
        <w:tc>
          <w:tcPr>
            <w:tcW w:w="0" w:type="dxa"/>
            <w:vAlign w:val="bottom"/>
          </w:tcPr>
          <w:p>
            <w:pPr>
              <w:spacing w:after="0"/>
              <w:rPr>
                <w:sz w:val="1"/>
                <w:szCs w:val="1"/>
                <w:color w:val="auto"/>
              </w:rPr>
            </w:pPr>
          </w:p>
        </w:tc>
      </w:tr>
      <w:tr>
        <w:trPr>
          <w:trHeight w:val="230"/>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(a)</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ADR Register</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3</w:t>
            </w:r>
          </w:p>
        </w:tc>
        <w:tc>
          <w:tcPr>
            <w:tcW w:w="0" w:type="dxa"/>
            <w:vAlign w:val="bottom"/>
          </w:tcPr>
          <w:p>
            <w:pPr>
              <w:spacing w:after="0"/>
              <w:rPr>
                <w:sz w:val="1"/>
                <w:szCs w:val="1"/>
                <w:color w:val="auto"/>
              </w:rPr>
            </w:pPr>
          </w:p>
        </w:tc>
      </w:tr>
      <w:tr>
        <w:trPr>
          <w:trHeight w:val="229"/>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(b)</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ADRs; Direct Registration ADRs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3</w:t>
            </w:r>
          </w:p>
        </w:tc>
        <w:tc>
          <w:tcPr>
            <w:tcW w:w="0" w:type="dxa"/>
            <w:vAlign w:val="bottom"/>
          </w:tcPr>
          <w:p>
            <w:pPr>
              <w:spacing w:after="0"/>
              <w:rPr>
                <w:sz w:val="1"/>
                <w:szCs w:val="1"/>
                <w:color w:val="auto"/>
              </w:rPr>
            </w:pPr>
          </w:p>
        </w:tc>
      </w:tr>
      <w:tr>
        <w:trPr>
          <w:trHeight w:val="230"/>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(c)</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ADS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3</w:t>
            </w:r>
          </w:p>
        </w:tc>
        <w:tc>
          <w:tcPr>
            <w:tcW w:w="0" w:type="dxa"/>
            <w:vAlign w:val="bottom"/>
          </w:tcPr>
          <w:p>
            <w:pPr>
              <w:spacing w:after="0"/>
              <w:rPr>
                <w:sz w:val="1"/>
                <w:szCs w:val="1"/>
                <w:color w:val="auto"/>
              </w:rPr>
            </w:pPr>
          </w:p>
        </w:tc>
      </w:tr>
      <w:tr>
        <w:trPr>
          <w:trHeight w:val="229"/>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(d)</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Beneficial Owner</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3</w:t>
            </w:r>
          </w:p>
        </w:tc>
        <w:tc>
          <w:tcPr>
            <w:tcW w:w="0" w:type="dxa"/>
            <w:vAlign w:val="bottom"/>
          </w:tcPr>
          <w:p>
            <w:pPr>
              <w:spacing w:after="0"/>
              <w:rPr>
                <w:sz w:val="1"/>
                <w:szCs w:val="1"/>
                <w:color w:val="auto"/>
              </w:rPr>
            </w:pPr>
          </w:p>
        </w:tc>
      </w:tr>
      <w:tr>
        <w:trPr>
          <w:trHeight w:val="229"/>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(e)</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Custodian</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4</w:t>
            </w:r>
          </w:p>
        </w:tc>
        <w:tc>
          <w:tcPr>
            <w:tcW w:w="0" w:type="dxa"/>
            <w:vAlign w:val="bottom"/>
          </w:tcPr>
          <w:p>
            <w:pPr>
              <w:spacing w:after="0"/>
              <w:rPr>
                <w:sz w:val="1"/>
                <w:szCs w:val="1"/>
                <w:color w:val="auto"/>
              </w:rPr>
            </w:pPr>
          </w:p>
        </w:tc>
      </w:tr>
      <w:tr>
        <w:trPr>
          <w:trHeight w:val="230"/>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(f)</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Deliver, execute, issue et al.</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4</w:t>
            </w:r>
          </w:p>
        </w:tc>
        <w:tc>
          <w:tcPr>
            <w:tcW w:w="0" w:type="dxa"/>
            <w:vAlign w:val="bottom"/>
          </w:tcPr>
          <w:p>
            <w:pPr>
              <w:spacing w:after="0"/>
              <w:rPr>
                <w:sz w:val="1"/>
                <w:szCs w:val="1"/>
                <w:color w:val="auto"/>
              </w:rPr>
            </w:pPr>
          </w:p>
        </w:tc>
      </w:tr>
      <w:tr>
        <w:trPr>
          <w:trHeight w:val="229"/>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(g)</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Delivery Order</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4</w:t>
            </w:r>
          </w:p>
        </w:tc>
        <w:tc>
          <w:tcPr>
            <w:tcW w:w="0" w:type="dxa"/>
            <w:vAlign w:val="bottom"/>
          </w:tcPr>
          <w:p>
            <w:pPr>
              <w:spacing w:after="0"/>
              <w:rPr>
                <w:sz w:val="1"/>
                <w:szCs w:val="1"/>
                <w:color w:val="auto"/>
              </w:rPr>
            </w:pPr>
          </w:p>
        </w:tc>
      </w:tr>
      <w:tr>
        <w:trPr>
          <w:trHeight w:val="229"/>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(h)</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Deposited Securities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4</w:t>
            </w:r>
          </w:p>
        </w:tc>
        <w:tc>
          <w:tcPr>
            <w:tcW w:w="0" w:type="dxa"/>
            <w:vAlign w:val="bottom"/>
          </w:tcPr>
          <w:p>
            <w:pPr>
              <w:spacing w:after="0"/>
              <w:rPr>
                <w:sz w:val="1"/>
                <w:szCs w:val="1"/>
                <w:color w:val="auto"/>
              </w:rPr>
            </w:pPr>
          </w:p>
        </w:tc>
      </w:tr>
      <w:tr>
        <w:trPr>
          <w:trHeight w:val="230"/>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(i)</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Direct Registration System</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4</w:t>
            </w:r>
          </w:p>
        </w:tc>
        <w:tc>
          <w:tcPr>
            <w:tcW w:w="0" w:type="dxa"/>
            <w:vAlign w:val="bottom"/>
          </w:tcPr>
          <w:p>
            <w:pPr>
              <w:spacing w:after="0"/>
              <w:rPr>
                <w:sz w:val="1"/>
                <w:szCs w:val="1"/>
                <w:color w:val="auto"/>
              </w:rPr>
            </w:pPr>
          </w:p>
        </w:tc>
      </w:tr>
      <w:tr>
        <w:trPr>
          <w:trHeight w:val="229"/>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(j)</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Holder</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5</w:t>
            </w:r>
          </w:p>
        </w:tc>
        <w:tc>
          <w:tcPr>
            <w:tcW w:w="0" w:type="dxa"/>
            <w:vAlign w:val="bottom"/>
          </w:tcPr>
          <w:p>
            <w:pPr>
              <w:spacing w:after="0"/>
              <w:rPr>
                <w:sz w:val="1"/>
                <w:szCs w:val="1"/>
                <w:color w:val="auto"/>
              </w:rPr>
            </w:pPr>
          </w:p>
        </w:tc>
      </w:tr>
      <w:tr>
        <w:trPr>
          <w:trHeight w:val="230"/>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(k)</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Securities Act of 1933</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5</w:t>
            </w:r>
          </w:p>
        </w:tc>
        <w:tc>
          <w:tcPr>
            <w:tcW w:w="0" w:type="dxa"/>
            <w:vAlign w:val="bottom"/>
          </w:tcPr>
          <w:p>
            <w:pPr>
              <w:spacing w:after="0"/>
              <w:rPr>
                <w:sz w:val="1"/>
                <w:szCs w:val="1"/>
                <w:color w:val="auto"/>
              </w:rPr>
            </w:pPr>
          </w:p>
        </w:tc>
      </w:tr>
      <w:tr>
        <w:trPr>
          <w:trHeight w:val="229"/>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(l)</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Securities Exchange Act of 1934</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5</w:t>
            </w:r>
          </w:p>
        </w:tc>
        <w:tc>
          <w:tcPr>
            <w:tcW w:w="0" w:type="dxa"/>
            <w:vAlign w:val="bottom"/>
          </w:tcPr>
          <w:p>
            <w:pPr>
              <w:spacing w:after="0"/>
              <w:rPr>
                <w:sz w:val="1"/>
                <w:szCs w:val="1"/>
                <w:color w:val="auto"/>
              </w:rPr>
            </w:pPr>
          </w:p>
        </w:tc>
      </w:tr>
      <w:tr>
        <w:trPr>
          <w:trHeight w:val="229"/>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(m)</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Shares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5</w:t>
            </w:r>
          </w:p>
        </w:tc>
        <w:tc>
          <w:tcPr>
            <w:tcW w:w="0" w:type="dxa"/>
            <w:vAlign w:val="bottom"/>
          </w:tcPr>
          <w:p>
            <w:pPr>
              <w:spacing w:after="0"/>
              <w:rPr>
                <w:sz w:val="1"/>
                <w:szCs w:val="1"/>
                <w:color w:val="auto"/>
              </w:rPr>
            </w:pPr>
          </w:p>
        </w:tc>
      </w:tr>
      <w:tr>
        <w:trPr>
          <w:trHeight w:val="230"/>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(n)</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Transfer Office</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5</w:t>
            </w:r>
          </w:p>
        </w:tc>
        <w:tc>
          <w:tcPr>
            <w:tcW w:w="0" w:type="dxa"/>
            <w:vAlign w:val="bottom"/>
          </w:tcPr>
          <w:p>
            <w:pPr>
              <w:spacing w:after="0"/>
              <w:rPr>
                <w:sz w:val="1"/>
                <w:szCs w:val="1"/>
                <w:color w:val="auto"/>
              </w:rPr>
            </w:pPr>
          </w:p>
        </w:tc>
      </w:tr>
      <w:tr>
        <w:trPr>
          <w:trHeight w:val="229"/>
        </w:trPr>
        <w:tc>
          <w:tcPr>
            <w:tcW w:w="1560" w:type="dxa"/>
            <w:vAlign w:val="bottom"/>
          </w:tcPr>
          <w:p>
            <w:pPr>
              <w:ind w:left="600"/>
              <w:spacing w:after="0" w:line="230" w:lineRule="exact"/>
              <w:rPr>
                <w:sz w:val="20"/>
                <w:szCs w:val="20"/>
                <w:color w:val="auto"/>
              </w:rPr>
            </w:pPr>
            <w:r>
              <w:rPr>
                <w:rFonts w:ascii="Trebuchet MS" w:cs="Trebuchet MS" w:eastAsia="Trebuchet MS" w:hAnsi="Trebuchet MS"/>
                <w:sz w:val="20"/>
                <w:szCs w:val="20"/>
                <w:color w:val="auto"/>
              </w:rPr>
              <w:t>(o)</w:t>
            </w:r>
          </w:p>
        </w:tc>
        <w:tc>
          <w:tcPr>
            <w:tcW w:w="8500" w:type="dxa"/>
            <w:vAlign w:val="bottom"/>
          </w:tcPr>
          <w:p>
            <w:pPr>
              <w:ind w:left="840"/>
              <w:spacing w:after="0" w:line="230" w:lineRule="exact"/>
              <w:rPr>
                <w:sz w:val="20"/>
                <w:szCs w:val="20"/>
                <w:color w:val="auto"/>
              </w:rPr>
            </w:pPr>
            <w:r>
              <w:rPr>
                <w:rFonts w:ascii="Trebuchet MS" w:cs="Trebuchet MS" w:eastAsia="Trebuchet MS" w:hAnsi="Trebuchet MS"/>
                <w:sz w:val="20"/>
                <w:szCs w:val="20"/>
                <w:color w:val="auto"/>
              </w:rPr>
              <w:t>Withdrawal Order</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5</w:t>
            </w:r>
          </w:p>
        </w:tc>
        <w:tc>
          <w:tcPr>
            <w:tcW w:w="0" w:type="dxa"/>
            <w:vAlign w:val="bottom"/>
          </w:tcPr>
          <w:p>
            <w:pPr>
              <w:spacing w:after="0"/>
              <w:rPr>
                <w:sz w:val="1"/>
                <w:szCs w:val="1"/>
                <w:color w:val="auto"/>
              </w:rPr>
            </w:pPr>
          </w:p>
        </w:tc>
      </w:tr>
      <w:tr>
        <w:trPr>
          <w:trHeight w:val="229"/>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2.</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Form of ADRs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5</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3.</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Deposit of Shares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6</w:t>
            </w:r>
          </w:p>
        </w:tc>
        <w:tc>
          <w:tcPr>
            <w:tcW w:w="0" w:type="dxa"/>
            <w:vAlign w:val="bottom"/>
          </w:tcPr>
          <w:p>
            <w:pPr>
              <w:spacing w:after="0"/>
              <w:rPr>
                <w:sz w:val="1"/>
                <w:szCs w:val="1"/>
                <w:color w:val="auto"/>
              </w:rPr>
            </w:pPr>
          </w:p>
        </w:tc>
      </w:tr>
      <w:tr>
        <w:trPr>
          <w:trHeight w:val="229"/>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4.</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Issue of ADRs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7</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5.</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Distributions on Deposited Securities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7</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6.</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Withdrawal of Deposited Securities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7</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7.</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Substitution of ADRs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8</w:t>
            </w:r>
          </w:p>
        </w:tc>
        <w:tc>
          <w:tcPr>
            <w:tcW w:w="0" w:type="dxa"/>
            <w:vAlign w:val="bottom"/>
          </w:tcPr>
          <w:p>
            <w:pPr>
              <w:spacing w:after="0"/>
              <w:rPr>
                <w:sz w:val="1"/>
                <w:szCs w:val="1"/>
                <w:color w:val="auto"/>
              </w:rPr>
            </w:pPr>
          </w:p>
        </w:tc>
      </w:tr>
      <w:tr>
        <w:trPr>
          <w:trHeight w:val="229"/>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8.</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Cancellation and Destruction of ADRs; Maintenance of Records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8</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9.</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The Custodian</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9</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10.</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Lists of Holders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9</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11.</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Depositary's Agents</w:t>
            </w:r>
          </w:p>
        </w:tc>
        <w:tc>
          <w:tcPr>
            <w:tcW w:w="980" w:type="dxa"/>
            <w:vAlign w:val="bottom"/>
            <w:gridSpan w:val="2"/>
          </w:tcPr>
          <w:p>
            <w:pPr>
              <w:jc w:val="center"/>
              <w:ind w:left="461"/>
              <w:spacing w:after="0" w:line="230" w:lineRule="exact"/>
              <w:rPr>
                <w:sz w:val="20"/>
                <w:szCs w:val="20"/>
                <w:color w:val="auto"/>
              </w:rPr>
            </w:pPr>
            <w:r>
              <w:rPr>
                <w:rFonts w:ascii="Trebuchet MS" w:cs="Trebuchet MS" w:eastAsia="Trebuchet MS" w:hAnsi="Trebuchet MS"/>
                <w:sz w:val="20"/>
                <w:szCs w:val="20"/>
                <w:color w:val="auto"/>
                <w:w w:val="94"/>
              </w:rPr>
              <w:t>9</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12.</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Resignation and Removal of the Depositary; Appointment of Successor Depositary</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10</w:t>
            </w:r>
          </w:p>
        </w:tc>
        <w:tc>
          <w:tcPr>
            <w:tcW w:w="0" w:type="dxa"/>
            <w:vAlign w:val="bottom"/>
          </w:tcPr>
          <w:p>
            <w:pPr>
              <w:spacing w:after="0"/>
              <w:rPr>
                <w:sz w:val="1"/>
                <w:szCs w:val="1"/>
                <w:color w:val="auto"/>
              </w:rPr>
            </w:pPr>
          </w:p>
        </w:tc>
      </w:tr>
      <w:tr>
        <w:trPr>
          <w:trHeight w:val="229"/>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13.</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Reports</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11</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14.</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Additional Shares</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11</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15.</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Indemnification</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11</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16.</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Notices</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13</w:t>
            </w:r>
          </w:p>
        </w:tc>
        <w:tc>
          <w:tcPr>
            <w:tcW w:w="0" w:type="dxa"/>
            <w:vAlign w:val="bottom"/>
          </w:tcPr>
          <w:p>
            <w:pPr>
              <w:spacing w:after="0"/>
              <w:rPr>
                <w:sz w:val="1"/>
                <w:szCs w:val="1"/>
                <w:color w:val="auto"/>
              </w:rPr>
            </w:pPr>
          </w:p>
        </w:tc>
      </w:tr>
      <w:tr>
        <w:trPr>
          <w:trHeight w:val="229"/>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17.</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Counterparts</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14</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18.</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No Third Party Beneficiaries; Holders and Beneficial Owners as Parties; Binding Effect</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15</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19.</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Severability</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15</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20.</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Governing Law; Consent to Jurisdiction</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15</w:t>
            </w:r>
          </w:p>
        </w:tc>
        <w:tc>
          <w:tcPr>
            <w:tcW w:w="0" w:type="dxa"/>
            <w:vAlign w:val="bottom"/>
          </w:tcPr>
          <w:p>
            <w:pPr>
              <w:spacing w:after="0"/>
              <w:rPr>
                <w:sz w:val="1"/>
                <w:szCs w:val="1"/>
                <w:color w:val="auto"/>
              </w:rPr>
            </w:pPr>
          </w:p>
        </w:tc>
      </w:tr>
      <w:tr>
        <w:trPr>
          <w:trHeight w:val="229"/>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21.</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Agent for Service</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16</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color w:val="auto"/>
              </w:rPr>
              <w:t>Section 22.</w:t>
            </w:r>
          </w:p>
        </w:tc>
        <w:tc>
          <w:tcPr>
            <w:tcW w:w="8500" w:type="dxa"/>
            <w:vAlign w:val="bottom"/>
          </w:tcPr>
          <w:p>
            <w:pPr>
              <w:ind w:left="300"/>
              <w:spacing w:after="0" w:line="230" w:lineRule="exact"/>
              <w:rPr>
                <w:sz w:val="20"/>
                <w:szCs w:val="20"/>
                <w:color w:val="auto"/>
              </w:rPr>
            </w:pPr>
            <w:r>
              <w:rPr>
                <w:rFonts w:ascii="Trebuchet MS" w:cs="Trebuchet MS" w:eastAsia="Trebuchet MS" w:hAnsi="Trebuchet MS"/>
                <w:sz w:val="20"/>
                <w:szCs w:val="20"/>
                <w:color w:val="auto"/>
              </w:rPr>
              <w:t>Waiver of Immunities</w:t>
            </w:r>
          </w:p>
        </w:tc>
        <w:tc>
          <w:tcPr>
            <w:tcW w:w="980" w:type="dxa"/>
            <w:vAlign w:val="bottom"/>
            <w:gridSpan w:val="2"/>
          </w:tcPr>
          <w:p>
            <w:pPr>
              <w:jc w:val="center"/>
              <w:ind w:left="481"/>
              <w:spacing w:after="0" w:line="230" w:lineRule="exact"/>
              <w:rPr>
                <w:sz w:val="20"/>
                <w:szCs w:val="20"/>
                <w:color w:val="auto"/>
              </w:rPr>
            </w:pPr>
            <w:r>
              <w:rPr>
                <w:rFonts w:ascii="Trebuchet MS" w:cs="Trebuchet MS" w:eastAsia="Trebuchet MS" w:hAnsi="Trebuchet MS"/>
                <w:sz w:val="20"/>
                <w:szCs w:val="20"/>
                <w:color w:val="auto"/>
                <w:w w:val="95"/>
              </w:rPr>
              <w:t>17</w:t>
            </w:r>
          </w:p>
        </w:tc>
        <w:tc>
          <w:tcPr>
            <w:tcW w:w="0" w:type="dxa"/>
            <w:vAlign w:val="bottom"/>
          </w:tcPr>
          <w:p>
            <w:pPr>
              <w:spacing w:after="0"/>
              <w:rPr>
                <w:sz w:val="1"/>
                <w:szCs w:val="1"/>
                <w:color w:val="auto"/>
              </w:rPr>
            </w:pPr>
          </w:p>
        </w:tc>
      </w:tr>
      <w:tr>
        <w:trPr>
          <w:trHeight w:val="222"/>
        </w:trPr>
        <w:tc>
          <w:tcPr>
            <w:tcW w:w="1560" w:type="dxa"/>
            <w:vAlign w:val="bottom"/>
          </w:tcPr>
          <w:p>
            <w:pPr>
              <w:spacing w:after="0" w:line="221" w:lineRule="exact"/>
              <w:rPr>
                <w:sz w:val="20"/>
                <w:szCs w:val="20"/>
                <w:color w:val="auto"/>
              </w:rPr>
            </w:pPr>
            <w:r>
              <w:rPr>
                <w:rFonts w:ascii="Trebuchet MS" w:cs="Trebuchet MS" w:eastAsia="Trebuchet MS" w:hAnsi="Trebuchet MS"/>
                <w:sz w:val="20"/>
                <w:szCs w:val="20"/>
                <w:color w:val="auto"/>
              </w:rPr>
              <w:t>Section 23.</w:t>
            </w:r>
          </w:p>
        </w:tc>
        <w:tc>
          <w:tcPr>
            <w:tcW w:w="8500" w:type="dxa"/>
            <w:vAlign w:val="bottom"/>
          </w:tcPr>
          <w:p>
            <w:pPr>
              <w:ind w:left="300"/>
              <w:spacing w:after="0" w:line="221" w:lineRule="exact"/>
              <w:rPr>
                <w:sz w:val="20"/>
                <w:szCs w:val="20"/>
                <w:color w:val="auto"/>
              </w:rPr>
            </w:pPr>
            <w:r>
              <w:rPr>
                <w:rFonts w:ascii="Trebuchet MS" w:cs="Trebuchet MS" w:eastAsia="Trebuchet MS" w:hAnsi="Trebuchet MS"/>
                <w:sz w:val="20"/>
                <w:szCs w:val="20"/>
                <w:color w:val="auto"/>
              </w:rPr>
              <w:t>Waiver of Jury Trial</w:t>
            </w:r>
          </w:p>
        </w:tc>
        <w:tc>
          <w:tcPr>
            <w:tcW w:w="980" w:type="dxa"/>
            <w:vAlign w:val="bottom"/>
            <w:gridSpan w:val="2"/>
          </w:tcPr>
          <w:p>
            <w:pPr>
              <w:jc w:val="center"/>
              <w:ind w:left="481"/>
              <w:spacing w:after="0" w:line="221" w:lineRule="exact"/>
              <w:rPr>
                <w:sz w:val="20"/>
                <w:szCs w:val="20"/>
                <w:color w:val="auto"/>
              </w:rPr>
            </w:pPr>
            <w:r>
              <w:rPr>
                <w:rFonts w:ascii="Trebuchet MS" w:cs="Trebuchet MS" w:eastAsia="Trebuchet MS" w:hAnsi="Trebuchet MS"/>
                <w:sz w:val="20"/>
                <w:szCs w:val="20"/>
                <w:color w:val="auto"/>
                <w:w w:val="95"/>
              </w:rPr>
              <w:t>17</w:t>
            </w:r>
          </w:p>
        </w:tc>
        <w:tc>
          <w:tcPr>
            <w:tcW w:w="0" w:type="dxa"/>
            <w:vAlign w:val="bottom"/>
          </w:tcPr>
          <w:p>
            <w:pPr>
              <w:spacing w:after="0"/>
              <w:rPr>
                <w:sz w:val="1"/>
                <w:szCs w:val="1"/>
                <w:color w:val="auto"/>
              </w:rPr>
            </w:pPr>
          </w:p>
        </w:tc>
      </w:tr>
      <w:tr>
        <w:trPr>
          <w:trHeight w:val="230"/>
        </w:trPr>
        <w:tc>
          <w:tcPr>
            <w:tcW w:w="1560" w:type="dxa"/>
            <w:vAlign w:val="bottom"/>
          </w:tcPr>
          <w:p>
            <w:pPr>
              <w:spacing w:after="0" w:line="230" w:lineRule="exact"/>
              <w:rPr>
                <w:sz w:val="20"/>
                <w:szCs w:val="20"/>
                <w:color w:val="auto"/>
              </w:rPr>
            </w:pPr>
            <w:r>
              <w:rPr>
                <w:rFonts w:ascii="Trebuchet MS" w:cs="Trebuchet MS" w:eastAsia="Trebuchet MS" w:hAnsi="Trebuchet MS"/>
                <w:sz w:val="20"/>
                <w:szCs w:val="20"/>
                <w:b w:val="1"/>
                <w:bCs w:val="1"/>
                <w:color w:val="auto"/>
              </w:rPr>
              <w:t>TESTIMONIUM</w:t>
            </w:r>
          </w:p>
        </w:tc>
        <w:tc>
          <w:tcPr>
            <w:tcW w:w="8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tcPr>
          <w:p>
            <w:pPr>
              <w:spacing w:after="0"/>
              <w:rPr>
                <w:sz w:val="20"/>
                <w:szCs w:val="20"/>
                <w:color w:val="auto"/>
              </w:rPr>
            </w:pPr>
            <w:r>
              <w:rPr>
                <w:rFonts w:ascii="Trebuchet MS" w:cs="Trebuchet MS" w:eastAsia="Trebuchet MS" w:hAnsi="Trebuchet MS"/>
                <w:sz w:val="20"/>
                <w:szCs w:val="20"/>
                <w:b w:val="1"/>
                <w:bCs w:val="1"/>
                <w:color w:val="auto"/>
              </w:rPr>
              <w:t>SIGNATURES</w:t>
            </w:r>
          </w:p>
        </w:tc>
        <w:tc>
          <w:tcPr>
            <w:tcW w:w="8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 xml:space="preserve">- </w:t>
      </w:r>
      <w:r>
        <w:rPr>
          <w:rFonts w:ascii="Trebuchet MS" w:cs="Trebuchet MS" w:eastAsia="Trebuchet MS" w:hAnsi="Trebuchet MS"/>
          <w:sz w:val="20"/>
          <w:szCs w:val="20"/>
          <w:color w:val="auto"/>
        </w:rPr>
        <w:t>i</w:t>
      </w:r>
      <w:r>
        <w:rPr>
          <w:rFonts w:ascii="Times New Roman" w:cs="Times New Roman" w:eastAsia="Times New Roman" w:hAnsi="Times New Roman"/>
          <w:sz w:val="20"/>
          <w:szCs w:val="20"/>
          <w:color w:val="auto"/>
        </w:rPr>
        <w:t xml:space="preserve"> -</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320" w:top="1373" w:right="539" w:bottom="1440" w:gutter="0" w:footer="0" w:header="0"/>
        </w:sectPr>
      </w:pPr>
    </w:p>
    <w:bookmarkStart w:id="187" w:name="page188"/>
    <w:bookmarkEnd w:id="187"/>
    <w:p>
      <w:pPr>
        <w:spacing w:after="0" w:line="1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5"/>
        </w:trPr>
        <w:tc>
          <w:tcPr>
            <w:tcW w:w="1440" w:type="dxa"/>
            <w:vAlign w:val="bottom"/>
          </w:tcPr>
          <w:p>
            <w:pPr>
              <w:spacing w:after="0"/>
              <w:rPr>
                <w:sz w:val="22"/>
                <w:szCs w:val="22"/>
                <w:color w:val="auto"/>
              </w:rPr>
            </w:pPr>
          </w:p>
        </w:tc>
        <w:tc>
          <w:tcPr>
            <w:tcW w:w="9160" w:type="dxa"/>
            <w:vAlign w:val="bottom"/>
            <w:vMerge w:val="restart"/>
          </w:tcPr>
          <w:p>
            <w:pPr>
              <w:ind w:left="3700"/>
              <w:spacing w:after="0"/>
              <w:rPr>
                <w:sz w:val="20"/>
                <w:szCs w:val="20"/>
                <w:color w:val="auto"/>
              </w:rPr>
            </w:pPr>
            <w:r>
              <w:rPr>
                <w:rFonts w:ascii="Trebuchet MS" w:cs="Trebuchet MS" w:eastAsia="Trebuchet MS" w:hAnsi="Trebuchet MS"/>
                <w:sz w:val="22"/>
                <w:szCs w:val="22"/>
                <w:b w:val="1"/>
                <w:bCs w:val="1"/>
                <w:color w:val="auto"/>
              </w:rPr>
              <w:t>EXHIBIT A</w:t>
            </w:r>
          </w:p>
        </w:tc>
        <w:tc>
          <w:tcPr>
            <w:tcW w:w="46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22"/>
                <w:szCs w:val="22"/>
                <w:color w:val="auto"/>
                <w:w w:val="98"/>
              </w:rPr>
              <w:t>Page</w:t>
            </w:r>
          </w:p>
        </w:tc>
        <w:tc>
          <w:tcPr>
            <w:tcW w:w="0" w:type="dxa"/>
            <w:vAlign w:val="bottom"/>
          </w:tcPr>
          <w:p>
            <w:pPr>
              <w:spacing w:after="0"/>
              <w:rPr>
                <w:sz w:val="1"/>
                <w:szCs w:val="1"/>
                <w:color w:val="auto"/>
              </w:rPr>
            </w:pPr>
          </w:p>
        </w:tc>
      </w:tr>
      <w:tr>
        <w:trPr>
          <w:trHeight w:val="269"/>
        </w:trPr>
        <w:tc>
          <w:tcPr>
            <w:tcW w:w="1440" w:type="dxa"/>
            <w:vAlign w:val="bottom"/>
          </w:tcPr>
          <w:p>
            <w:pPr>
              <w:spacing w:after="0"/>
              <w:rPr>
                <w:sz w:val="23"/>
                <w:szCs w:val="23"/>
                <w:color w:val="auto"/>
              </w:rPr>
            </w:pPr>
          </w:p>
        </w:tc>
        <w:tc>
          <w:tcPr>
            <w:tcW w:w="916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0600" w:type="dxa"/>
            <w:vAlign w:val="bottom"/>
            <w:gridSpan w:val="2"/>
          </w:tcPr>
          <w:p>
            <w:pPr>
              <w:spacing w:after="0"/>
              <w:rPr>
                <w:sz w:val="20"/>
                <w:szCs w:val="20"/>
                <w:color w:val="auto"/>
              </w:rPr>
            </w:pPr>
            <w:r>
              <w:rPr>
                <w:rFonts w:ascii="Trebuchet MS" w:cs="Trebuchet MS" w:eastAsia="Trebuchet MS" w:hAnsi="Trebuchet MS"/>
                <w:sz w:val="22"/>
                <w:szCs w:val="22"/>
                <w:b w:val="1"/>
                <w:bCs w:val="1"/>
                <w:color w:val="auto"/>
              </w:rPr>
              <w:t>FORM OF FACE OF ADR</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8"/>
              </w:rPr>
              <w:t>A-1</w:t>
            </w:r>
          </w:p>
        </w:tc>
        <w:tc>
          <w:tcPr>
            <w:tcW w:w="0" w:type="dxa"/>
            <w:vAlign w:val="bottom"/>
          </w:tcPr>
          <w:p>
            <w:pPr>
              <w:spacing w:after="0"/>
              <w:rPr>
                <w:sz w:val="1"/>
                <w:szCs w:val="1"/>
                <w:color w:val="auto"/>
              </w:rPr>
            </w:pPr>
          </w:p>
        </w:tc>
      </w:tr>
      <w:tr>
        <w:trPr>
          <w:trHeight w:val="257"/>
        </w:trPr>
        <w:tc>
          <w:tcPr>
            <w:tcW w:w="10600" w:type="dxa"/>
            <w:vAlign w:val="bottom"/>
            <w:gridSpan w:val="2"/>
          </w:tcPr>
          <w:p>
            <w:pPr>
              <w:ind w:left="600"/>
              <w:spacing w:after="0"/>
              <w:rPr>
                <w:sz w:val="20"/>
                <w:szCs w:val="20"/>
                <w:color w:val="auto"/>
              </w:rPr>
            </w:pPr>
            <w:r>
              <w:rPr>
                <w:rFonts w:ascii="Trebuchet MS" w:cs="Trebuchet MS" w:eastAsia="Trebuchet MS" w:hAnsi="Trebuchet MS"/>
                <w:sz w:val="22"/>
                <w:szCs w:val="22"/>
                <w:color w:val="auto"/>
              </w:rPr>
              <w:t>Introductory Paragraph</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8"/>
              </w:rPr>
              <w:t>A-1</w:t>
            </w:r>
          </w:p>
        </w:tc>
        <w:tc>
          <w:tcPr>
            <w:tcW w:w="0" w:type="dxa"/>
            <w:vAlign w:val="bottom"/>
          </w:tcPr>
          <w:p>
            <w:pPr>
              <w:spacing w:after="0"/>
              <w:rPr>
                <w:sz w:val="1"/>
                <w:szCs w:val="1"/>
                <w:color w:val="auto"/>
              </w:rPr>
            </w:pPr>
          </w:p>
        </w:tc>
      </w:tr>
      <w:tr>
        <w:trPr>
          <w:trHeight w:val="256"/>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Issuance of ADSs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8"/>
              </w:rPr>
              <w:t>A-3</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(2)</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Withdrawal of Deposited Securities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8"/>
              </w:rPr>
              <w:t>A-4</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(3)</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Transfers, Split-Ups and Combinations of ADRs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8"/>
              </w:rPr>
              <w:t>A-4</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(4)</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Certain Limitations to Registration, Transfer etc.</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8"/>
              </w:rPr>
              <w:t>A-5</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(5)</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Liability for Taxes, Duties and Other Charges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8"/>
              </w:rPr>
              <w:t>A-6</w:t>
            </w:r>
          </w:p>
        </w:tc>
        <w:tc>
          <w:tcPr>
            <w:tcW w:w="0" w:type="dxa"/>
            <w:vAlign w:val="bottom"/>
          </w:tcPr>
          <w:p>
            <w:pPr>
              <w:spacing w:after="0"/>
              <w:rPr>
                <w:sz w:val="1"/>
                <w:szCs w:val="1"/>
                <w:color w:val="auto"/>
              </w:rPr>
            </w:pPr>
          </w:p>
        </w:tc>
      </w:tr>
      <w:tr>
        <w:trPr>
          <w:trHeight w:val="256"/>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(6)</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Disclosure of Interests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8"/>
              </w:rPr>
              <w:t>A-7</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(7)</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Charges of Depositary</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8"/>
              </w:rPr>
              <w:t>A-8</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(8)</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Available Information</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A-11</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(9)</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Execution</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A-12</w:t>
            </w:r>
          </w:p>
        </w:tc>
        <w:tc>
          <w:tcPr>
            <w:tcW w:w="0" w:type="dxa"/>
            <w:vAlign w:val="bottom"/>
          </w:tcPr>
          <w:p>
            <w:pPr>
              <w:spacing w:after="0"/>
              <w:rPr>
                <w:sz w:val="1"/>
                <w:szCs w:val="1"/>
                <w:color w:val="auto"/>
              </w:rPr>
            </w:pPr>
          </w:p>
        </w:tc>
      </w:tr>
      <w:tr>
        <w:trPr>
          <w:trHeight w:val="256"/>
        </w:trPr>
        <w:tc>
          <w:tcPr>
            <w:tcW w:w="10600" w:type="dxa"/>
            <w:vAlign w:val="bottom"/>
            <w:gridSpan w:val="2"/>
          </w:tcPr>
          <w:p>
            <w:pPr>
              <w:ind w:left="600"/>
              <w:spacing w:after="0"/>
              <w:rPr>
                <w:sz w:val="20"/>
                <w:szCs w:val="20"/>
                <w:color w:val="auto"/>
              </w:rPr>
            </w:pPr>
            <w:r>
              <w:rPr>
                <w:rFonts w:ascii="Trebuchet MS" w:cs="Trebuchet MS" w:eastAsia="Trebuchet MS" w:hAnsi="Trebuchet MS"/>
                <w:sz w:val="22"/>
                <w:szCs w:val="22"/>
                <w:color w:val="auto"/>
              </w:rPr>
              <w:t>Signature of Depositary</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A-12</w:t>
            </w:r>
          </w:p>
        </w:tc>
        <w:tc>
          <w:tcPr>
            <w:tcW w:w="0" w:type="dxa"/>
            <w:vAlign w:val="bottom"/>
          </w:tcPr>
          <w:p>
            <w:pPr>
              <w:spacing w:after="0"/>
              <w:rPr>
                <w:sz w:val="1"/>
                <w:szCs w:val="1"/>
                <w:color w:val="auto"/>
              </w:rPr>
            </w:pPr>
          </w:p>
        </w:tc>
      </w:tr>
      <w:tr>
        <w:trPr>
          <w:trHeight w:val="248"/>
        </w:trPr>
        <w:tc>
          <w:tcPr>
            <w:tcW w:w="10600" w:type="dxa"/>
            <w:vAlign w:val="bottom"/>
            <w:gridSpan w:val="2"/>
          </w:tcPr>
          <w:p>
            <w:pPr>
              <w:ind w:left="600"/>
              <w:spacing w:after="0" w:line="248" w:lineRule="exact"/>
              <w:rPr>
                <w:sz w:val="20"/>
                <w:szCs w:val="20"/>
                <w:color w:val="auto"/>
              </w:rPr>
            </w:pPr>
            <w:r>
              <w:rPr>
                <w:rFonts w:ascii="Trebuchet MS" w:cs="Trebuchet MS" w:eastAsia="Trebuchet MS" w:hAnsi="Trebuchet MS"/>
                <w:sz w:val="22"/>
                <w:szCs w:val="22"/>
                <w:color w:val="auto"/>
              </w:rPr>
              <w:t>Address of Depositary's Office</w:t>
            </w:r>
          </w:p>
        </w:tc>
        <w:tc>
          <w:tcPr>
            <w:tcW w:w="460" w:type="dxa"/>
            <w:vAlign w:val="bottom"/>
          </w:tcPr>
          <w:p>
            <w:pPr>
              <w:jc w:val="center"/>
              <w:spacing w:after="0" w:line="248" w:lineRule="exact"/>
              <w:rPr>
                <w:sz w:val="20"/>
                <w:szCs w:val="20"/>
                <w:color w:val="auto"/>
              </w:rPr>
            </w:pPr>
            <w:r>
              <w:rPr>
                <w:rFonts w:ascii="Trebuchet MS" w:cs="Trebuchet MS" w:eastAsia="Trebuchet MS" w:hAnsi="Trebuchet MS"/>
                <w:sz w:val="22"/>
                <w:szCs w:val="22"/>
                <w:color w:val="auto"/>
                <w:w w:val="95"/>
              </w:rPr>
              <w:t>A-12</w:t>
            </w:r>
          </w:p>
        </w:tc>
        <w:tc>
          <w:tcPr>
            <w:tcW w:w="0" w:type="dxa"/>
            <w:vAlign w:val="bottom"/>
          </w:tcPr>
          <w:p>
            <w:pPr>
              <w:spacing w:after="0"/>
              <w:rPr>
                <w:sz w:val="1"/>
                <w:szCs w:val="1"/>
                <w:color w:val="auto"/>
              </w:rPr>
            </w:pPr>
          </w:p>
        </w:tc>
      </w:tr>
      <w:tr>
        <w:trPr>
          <w:trHeight w:val="265"/>
        </w:trPr>
        <w:tc>
          <w:tcPr>
            <w:tcW w:w="10600" w:type="dxa"/>
            <w:vAlign w:val="bottom"/>
            <w:gridSpan w:val="2"/>
          </w:tcPr>
          <w:p>
            <w:pPr>
              <w:spacing w:after="0"/>
              <w:rPr>
                <w:sz w:val="20"/>
                <w:szCs w:val="20"/>
                <w:color w:val="auto"/>
              </w:rPr>
            </w:pPr>
            <w:r>
              <w:rPr>
                <w:rFonts w:ascii="Trebuchet MS" w:cs="Trebuchet MS" w:eastAsia="Trebuchet MS" w:hAnsi="Trebuchet MS"/>
                <w:sz w:val="22"/>
                <w:szCs w:val="22"/>
                <w:b w:val="1"/>
                <w:bCs w:val="1"/>
                <w:color w:val="auto"/>
              </w:rPr>
              <w:t>FORM OF REVERSE OF ADR</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A-12</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(10)</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Distributions on Deposited Securities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A-13</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(11)</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Record Dates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A-14</w:t>
            </w:r>
          </w:p>
        </w:tc>
        <w:tc>
          <w:tcPr>
            <w:tcW w:w="0" w:type="dxa"/>
            <w:vAlign w:val="bottom"/>
          </w:tcPr>
          <w:p>
            <w:pPr>
              <w:spacing w:after="0"/>
              <w:rPr>
                <w:sz w:val="1"/>
                <w:szCs w:val="1"/>
                <w:color w:val="auto"/>
              </w:rPr>
            </w:pPr>
          </w:p>
        </w:tc>
      </w:tr>
      <w:tr>
        <w:trPr>
          <w:trHeight w:val="256"/>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(12)</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Voting of Deposited Securities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A-14</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(13)</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Changes Affecting Deposited Securities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A-15</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(14)</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Exoneration</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A-16</w:t>
            </w:r>
          </w:p>
        </w:tc>
        <w:tc>
          <w:tcPr>
            <w:tcW w:w="0" w:type="dxa"/>
            <w:vAlign w:val="bottom"/>
          </w:tcPr>
          <w:p>
            <w:pPr>
              <w:spacing w:after="0"/>
              <w:rPr>
                <w:sz w:val="1"/>
                <w:szCs w:val="1"/>
                <w:color w:val="auto"/>
              </w:rPr>
            </w:pPr>
          </w:p>
        </w:tc>
      </w:tr>
      <w:tr>
        <w:trPr>
          <w:trHeight w:val="256"/>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(15)</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Resignation and Removal of Depositary; the Custodian</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A-20</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(16)</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Amendment</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A-21</w:t>
            </w:r>
          </w:p>
        </w:tc>
        <w:tc>
          <w:tcPr>
            <w:tcW w:w="0" w:type="dxa"/>
            <w:vAlign w:val="bottom"/>
          </w:tcPr>
          <w:p>
            <w:pPr>
              <w:spacing w:after="0"/>
              <w:rPr>
                <w:sz w:val="1"/>
                <w:szCs w:val="1"/>
                <w:color w:val="auto"/>
              </w:rPr>
            </w:pPr>
          </w:p>
        </w:tc>
      </w:tr>
      <w:tr>
        <w:trPr>
          <w:trHeight w:val="256"/>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(17)</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Termination</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A-22</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(18)</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Appointment; Acknowledgements and Agreements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A-23</w:t>
            </w:r>
          </w:p>
        </w:tc>
        <w:tc>
          <w:tcPr>
            <w:tcW w:w="0" w:type="dxa"/>
            <w:vAlign w:val="bottom"/>
          </w:tcPr>
          <w:p>
            <w:pPr>
              <w:spacing w:after="0"/>
              <w:rPr>
                <w:sz w:val="1"/>
                <w:szCs w:val="1"/>
                <w:color w:val="auto"/>
              </w:rPr>
            </w:pPr>
          </w:p>
        </w:tc>
      </w:tr>
      <w:tr>
        <w:trPr>
          <w:trHeight w:val="257"/>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(19)</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Waiver</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A-24</w:t>
            </w:r>
          </w:p>
        </w:tc>
        <w:tc>
          <w:tcPr>
            <w:tcW w:w="0" w:type="dxa"/>
            <w:vAlign w:val="bottom"/>
          </w:tcPr>
          <w:p>
            <w:pPr>
              <w:spacing w:after="0"/>
              <w:rPr>
                <w:sz w:val="1"/>
                <w:szCs w:val="1"/>
                <w:color w:val="auto"/>
              </w:rPr>
            </w:pPr>
          </w:p>
        </w:tc>
      </w:tr>
      <w:tr>
        <w:trPr>
          <w:trHeight w:val="259"/>
        </w:trPr>
        <w:tc>
          <w:tcPr>
            <w:tcW w:w="1440" w:type="dxa"/>
            <w:vAlign w:val="bottom"/>
          </w:tcPr>
          <w:p>
            <w:pPr>
              <w:ind w:left="600"/>
              <w:spacing w:after="0"/>
              <w:rPr>
                <w:sz w:val="20"/>
                <w:szCs w:val="20"/>
                <w:color w:val="auto"/>
              </w:rPr>
            </w:pPr>
            <w:r>
              <w:rPr>
                <w:rFonts w:ascii="Trebuchet MS" w:cs="Trebuchet MS" w:eastAsia="Trebuchet MS" w:hAnsi="Trebuchet MS"/>
                <w:sz w:val="22"/>
                <w:szCs w:val="22"/>
                <w:color w:val="auto"/>
              </w:rPr>
              <w:t>(20)</w:t>
            </w:r>
          </w:p>
        </w:tc>
        <w:tc>
          <w:tcPr>
            <w:tcW w:w="9160" w:type="dxa"/>
            <w:vAlign w:val="bottom"/>
          </w:tcPr>
          <w:p>
            <w:pPr>
              <w:ind w:left="460"/>
              <w:spacing w:after="0"/>
              <w:rPr>
                <w:sz w:val="20"/>
                <w:szCs w:val="20"/>
                <w:color w:val="auto"/>
              </w:rPr>
            </w:pPr>
            <w:r>
              <w:rPr>
                <w:rFonts w:ascii="Trebuchet MS" w:cs="Trebuchet MS" w:eastAsia="Trebuchet MS" w:hAnsi="Trebuchet MS"/>
                <w:sz w:val="22"/>
                <w:szCs w:val="22"/>
                <w:color w:val="auto"/>
              </w:rPr>
              <w:t>Elective Distributions in Cash or Shares</w:t>
            </w:r>
          </w:p>
        </w:tc>
        <w:tc>
          <w:tcPr>
            <w:tcW w:w="460" w:type="dxa"/>
            <w:vAlign w:val="bottom"/>
          </w:tcPr>
          <w:p>
            <w:pPr>
              <w:jc w:val="center"/>
              <w:spacing w:after="0"/>
              <w:rPr>
                <w:sz w:val="20"/>
                <w:szCs w:val="20"/>
                <w:color w:val="auto"/>
              </w:rPr>
            </w:pPr>
            <w:r>
              <w:rPr>
                <w:rFonts w:ascii="Trebuchet MS" w:cs="Trebuchet MS" w:eastAsia="Trebuchet MS" w:hAnsi="Trebuchet MS"/>
                <w:sz w:val="22"/>
                <w:szCs w:val="22"/>
                <w:color w:val="auto"/>
                <w:w w:val="95"/>
              </w:rPr>
              <w:t>A-24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 </w:t>
      </w:r>
      <w:r>
        <w:rPr>
          <w:rFonts w:ascii="Trebuchet MS" w:cs="Trebuchet MS" w:eastAsia="Trebuchet MS" w:hAnsi="Trebuchet MS"/>
          <w:sz w:val="20"/>
          <w:szCs w:val="20"/>
          <w:color w:val="auto"/>
        </w:rPr>
        <w:t>ii</w:t>
      </w:r>
      <w:r>
        <w:rPr>
          <w:rFonts w:ascii="Times New Roman" w:cs="Times New Roman" w:eastAsia="Times New Roman" w:hAnsi="Times New Roman"/>
          <w:sz w:val="20"/>
          <w:szCs w:val="20"/>
          <w:color w:val="auto"/>
        </w:rPr>
        <w:t xml:space="preserve"> -</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88" w:name="page189"/>
    <w:bookmarkEnd w:id="188"/>
    <w:p>
      <w:pPr>
        <w:ind w:right="20" w:firstLine="1727"/>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 xml:space="preserve">DEPOSIT AGREEMENT dated as of May 19, 2021 (the " </w:t>
      </w:r>
      <w:r>
        <w:rPr>
          <w:rFonts w:ascii="Trebuchet MS" w:cs="Trebuchet MS" w:eastAsia="Trebuchet MS" w:hAnsi="Trebuchet MS"/>
          <w:sz w:val="22"/>
          <w:szCs w:val="22"/>
          <w:b w:val="1"/>
          <w:bCs w:val="1"/>
          <w:color w:val="auto"/>
        </w:rPr>
        <w:t>Deposit Agreement</w:t>
      </w:r>
      <w:r>
        <w:rPr>
          <w:rFonts w:ascii="Trebuchet MS" w:cs="Trebuchet MS" w:eastAsia="Trebuchet MS" w:hAnsi="Trebuchet MS"/>
          <w:sz w:val="22"/>
          <w:szCs w:val="22"/>
          <w:color w:val="auto"/>
        </w:rPr>
        <w:t>") among OATLY GROUP AB and its successors (the "</w:t>
      </w:r>
      <w:r>
        <w:rPr>
          <w:rFonts w:ascii="Trebuchet MS" w:cs="Trebuchet MS" w:eastAsia="Trebuchet MS" w:hAnsi="Trebuchet MS"/>
          <w:sz w:val="22"/>
          <w:szCs w:val="22"/>
          <w:b w:val="1"/>
          <w:bCs w:val="1"/>
          <w:color w:val="auto"/>
        </w:rPr>
        <w:t>Company</w:t>
      </w:r>
      <w:r>
        <w:rPr>
          <w:rFonts w:ascii="Trebuchet MS" w:cs="Trebuchet MS" w:eastAsia="Trebuchet MS" w:hAnsi="Trebuchet MS"/>
          <w:sz w:val="22"/>
          <w:szCs w:val="22"/>
          <w:color w:val="auto"/>
        </w:rPr>
        <w:t>"), JPMORGAN CHASE BANK, N.A., as depositary hereunder (the "</w:t>
      </w:r>
      <w:r>
        <w:rPr>
          <w:rFonts w:ascii="Trebuchet MS" w:cs="Trebuchet MS" w:eastAsia="Trebuchet MS" w:hAnsi="Trebuchet MS"/>
          <w:sz w:val="22"/>
          <w:szCs w:val="22"/>
          <w:b w:val="1"/>
          <w:bCs w:val="1"/>
          <w:color w:val="auto"/>
        </w:rPr>
        <w:t>Depositary</w:t>
      </w:r>
      <w:r>
        <w:rPr>
          <w:rFonts w:ascii="Trebuchet MS" w:cs="Trebuchet MS" w:eastAsia="Trebuchet MS" w:hAnsi="Trebuchet MS"/>
          <w:sz w:val="22"/>
          <w:szCs w:val="22"/>
          <w:color w:val="auto"/>
        </w:rPr>
        <w:t>"), and all Holders (defined below) and Beneficial Owners (defined below) from time to time of American Depositary Receipts issued hereunder ("</w:t>
      </w:r>
      <w:r>
        <w:rPr>
          <w:rFonts w:ascii="Trebuchet MS" w:cs="Trebuchet MS" w:eastAsia="Trebuchet MS" w:hAnsi="Trebuchet MS"/>
          <w:sz w:val="22"/>
          <w:szCs w:val="22"/>
          <w:b w:val="1"/>
          <w:bCs w:val="1"/>
          <w:color w:val="auto"/>
        </w:rPr>
        <w:t>ADRs</w:t>
      </w:r>
      <w:r>
        <w:rPr>
          <w:rFonts w:ascii="Trebuchet MS" w:cs="Trebuchet MS" w:eastAsia="Trebuchet MS" w:hAnsi="Trebuchet MS"/>
          <w:sz w:val="22"/>
          <w:szCs w:val="22"/>
          <w:color w:val="auto"/>
        </w:rPr>
        <w:t>") evidencing American Depositary Shares ("</w:t>
      </w:r>
      <w:r>
        <w:rPr>
          <w:rFonts w:ascii="Trebuchet MS" w:cs="Trebuchet MS" w:eastAsia="Trebuchet MS" w:hAnsi="Trebuchet MS"/>
          <w:sz w:val="22"/>
          <w:szCs w:val="22"/>
          <w:b w:val="1"/>
          <w:bCs w:val="1"/>
          <w:color w:val="auto"/>
        </w:rPr>
        <w:t>ADSs</w:t>
      </w:r>
      <w:r>
        <w:rPr>
          <w:rFonts w:ascii="Trebuchet MS" w:cs="Trebuchet MS" w:eastAsia="Trebuchet MS" w:hAnsi="Trebuchet MS"/>
          <w:sz w:val="22"/>
          <w:szCs w:val="22"/>
          <w:color w:val="auto"/>
        </w:rPr>
        <w:t>") representing deposited Shares (defined below). The Company hereby appoints the Depositary as depositary for the Deposited Securities (defined below) and hereby authorizes and directs the Depositary to act in accordance with the terms set forth in this Deposit Agreement. All capitalized terms used herein have the meanings ascribed to them in Section 1 or elsewhere in this Deposit Agreement. The parties hereto agree as follows:</w:t>
      </w:r>
    </w:p>
    <w:p>
      <w:pPr>
        <w:spacing w:after="0" w:line="234" w:lineRule="exact"/>
        <w:rPr>
          <w:sz w:val="20"/>
          <w:szCs w:val="20"/>
          <w:color w:val="auto"/>
        </w:rPr>
      </w:pPr>
    </w:p>
    <w:p>
      <w:pPr>
        <w:ind w:left="1200" w:hanging="328"/>
        <w:spacing w:after="0"/>
        <w:tabs>
          <w:tab w:leader="none" w:pos="1200" w:val="left"/>
        </w:tabs>
        <w:numPr>
          <w:ilvl w:val="0"/>
          <w:numId w:val="115"/>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Certain Definitions</w:t>
      </w:r>
      <w:r>
        <w:rPr>
          <w:rFonts w:ascii="Trebuchet MS" w:cs="Trebuchet MS" w:eastAsia="Trebuchet MS" w:hAnsi="Trebuchet MS"/>
          <w:sz w:val="22"/>
          <w:szCs w:val="22"/>
          <w:color w:val="auto"/>
        </w:rPr>
        <w:t>.</w:t>
      </w:r>
    </w:p>
    <w:p>
      <w:pPr>
        <w:spacing w:after="0" w:line="244" w:lineRule="exact"/>
        <w:rPr>
          <w:sz w:val="20"/>
          <w:szCs w:val="20"/>
          <w:color w:val="auto"/>
        </w:rPr>
      </w:pPr>
    </w:p>
    <w:p>
      <w:pPr>
        <w:ind w:right="920" w:firstLine="872"/>
        <w:spacing w:after="0" w:line="251" w:lineRule="auto"/>
        <w:tabs>
          <w:tab w:leader="none" w:pos="1784" w:val="left"/>
        </w:tabs>
        <w:numPr>
          <w:ilvl w:val="0"/>
          <w:numId w:val="116"/>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ADR Register</w:t>
      </w:r>
      <w:r>
        <w:rPr>
          <w:rFonts w:ascii="Trebuchet MS" w:cs="Trebuchet MS" w:eastAsia="Trebuchet MS" w:hAnsi="Trebuchet MS"/>
          <w:sz w:val="22"/>
          <w:szCs w:val="22"/>
          <w:color w:val="auto"/>
        </w:rPr>
        <w:t>" is defined in paragraph (3) of the form of ADR (</w:t>
      </w:r>
      <w:r>
        <w:rPr>
          <w:rFonts w:ascii="Trebuchet MS" w:cs="Trebuchet MS" w:eastAsia="Trebuchet MS" w:hAnsi="Trebuchet MS"/>
          <w:sz w:val="22"/>
          <w:szCs w:val="22"/>
          <w:i w:val="1"/>
          <w:iCs w:val="1"/>
          <w:color w:val="auto"/>
        </w:rPr>
        <w:t>Transfers, Split-Ups and</w:t>
      </w:r>
      <w:r>
        <w:rPr>
          <w:rFonts w:ascii="Trebuchet MS" w:cs="Trebuchet MS" w:eastAsia="Trebuchet MS" w:hAnsi="Trebuchet MS"/>
          <w:sz w:val="22"/>
          <w:szCs w:val="22"/>
          <w:color w:val="auto"/>
        </w:rPr>
        <w:t xml:space="preserve"> </w:t>
      </w:r>
      <w:r>
        <w:rPr>
          <w:rFonts w:ascii="Trebuchet MS" w:cs="Trebuchet MS" w:eastAsia="Trebuchet MS" w:hAnsi="Trebuchet MS"/>
          <w:sz w:val="22"/>
          <w:szCs w:val="22"/>
          <w:i w:val="1"/>
          <w:iCs w:val="1"/>
          <w:color w:val="auto"/>
        </w:rPr>
        <w:t>Combinations of ADRs</w:t>
      </w:r>
      <w:r>
        <w:rPr>
          <w:rFonts w:ascii="Trebuchet MS" w:cs="Trebuchet MS" w:eastAsia="Trebuchet MS" w:hAnsi="Trebuchet MS"/>
          <w:sz w:val="22"/>
          <w:szCs w:val="22"/>
          <w:color w:val="auto"/>
        </w:rPr>
        <w:t>).</w:t>
      </w:r>
    </w:p>
    <w:p>
      <w:pPr>
        <w:spacing w:after="0" w:line="221" w:lineRule="exact"/>
        <w:rPr>
          <w:rFonts w:ascii="Trebuchet MS" w:cs="Trebuchet MS" w:eastAsia="Trebuchet MS" w:hAnsi="Trebuchet MS"/>
          <w:sz w:val="22"/>
          <w:szCs w:val="22"/>
          <w:color w:val="auto"/>
        </w:rPr>
      </w:pPr>
    </w:p>
    <w:p>
      <w:pPr>
        <w:ind w:firstLine="872"/>
        <w:spacing w:after="0" w:line="256" w:lineRule="auto"/>
        <w:tabs>
          <w:tab w:leader="none" w:pos="1790" w:val="left"/>
        </w:tabs>
        <w:numPr>
          <w:ilvl w:val="0"/>
          <w:numId w:val="116"/>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w:t>
      </w:r>
      <w:r>
        <w:rPr>
          <w:rFonts w:ascii="Trebuchet MS" w:cs="Trebuchet MS" w:eastAsia="Trebuchet MS" w:hAnsi="Trebuchet MS"/>
          <w:sz w:val="21"/>
          <w:szCs w:val="21"/>
          <w:b w:val="1"/>
          <w:bCs w:val="1"/>
          <w:color w:val="auto"/>
        </w:rPr>
        <w:t>ADRs</w:t>
      </w:r>
      <w:r>
        <w:rPr>
          <w:rFonts w:ascii="Trebuchet MS" w:cs="Trebuchet MS" w:eastAsia="Trebuchet MS" w:hAnsi="Trebuchet MS"/>
          <w:sz w:val="21"/>
          <w:szCs w:val="21"/>
          <w:color w:val="auto"/>
        </w:rPr>
        <w:t>" mean the American Depositary Receipts executed and delivered hereunder. ADRs may be either in physical certificated form or Direct Registration ADRs (as hereinafter defined). ADRs in physical certificated form, and the terms and conditions governing the Direct Registration ADRs, shall be substantially in the form of Exhibit A annexed hereto (the "</w:t>
      </w:r>
      <w:r>
        <w:rPr>
          <w:rFonts w:ascii="Trebuchet MS" w:cs="Trebuchet MS" w:eastAsia="Trebuchet MS" w:hAnsi="Trebuchet MS"/>
          <w:sz w:val="21"/>
          <w:szCs w:val="21"/>
          <w:b w:val="1"/>
          <w:bCs w:val="1"/>
          <w:color w:val="auto"/>
        </w:rPr>
        <w:t>form of ADR</w:t>
      </w:r>
      <w:r>
        <w:rPr>
          <w:rFonts w:ascii="Trebuchet MS" w:cs="Trebuchet MS" w:eastAsia="Trebuchet MS" w:hAnsi="Trebuchet MS"/>
          <w:sz w:val="21"/>
          <w:szCs w:val="21"/>
          <w:color w:val="auto"/>
        </w:rPr>
        <w:t>"). The term "</w:t>
      </w:r>
      <w:r>
        <w:rPr>
          <w:rFonts w:ascii="Trebuchet MS" w:cs="Trebuchet MS" w:eastAsia="Trebuchet MS" w:hAnsi="Trebuchet MS"/>
          <w:sz w:val="21"/>
          <w:szCs w:val="21"/>
          <w:b w:val="1"/>
          <w:bCs w:val="1"/>
          <w:color w:val="auto"/>
        </w:rPr>
        <w:t>Direct Registration ADR</w:t>
      </w:r>
      <w:r>
        <w:rPr>
          <w:rFonts w:ascii="Trebuchet MS" w:cs="Trebuchet MS" w:eastAsia="Trebuchet MS" w:hAnsi="Trebuchet MS"/>
          <w:sz w:val="21"/>
          <w:szCs w:val="21"/>
          <w:color w:val="auto"/>
        </w:rPr>
        <w:t>" means an ADR, the ownership of which is recorded on the Direct Registration System. References to "ADRs" shall include certificated ADRs and Direct Registration ADRs, unless the context otherwise requires. The form of ADR is hereby incorporated herein and made a part hereof; the provisions of the form of ADR shall be binding upon the parties hereto.</w:t>
      </w:r>
    </w:p>
    <w:p>
      <w:pPr>
        <w:spacing w:after="0" w:line="225" w:lineRule="exact"/>
        <w:rPr>
          <w:rFonts w:ascii="Trebuchet MS" w:cs="Trebuchet MS" w:eastAsia="Trebuchet MS" w:hAnsi="Trebuchet MS"/>
          <w:sz w:val="21"/>
          <w:szCs w:val="21"/>
          <w:color w:val="auto"/>
        </w:rPr>
      </w:pPr>
    </w:p>
    <w:p>
      <w:pPr>
        <w:ind w:left="1780" w:hanging="908"/>
        <w:spacing w:after="0"/>
        <w:tabs>
          <w:tab w:leader="none" w:pos="1780" w:val="left"/>
        </w:tabs>
        <w:numPr>
          <w:ilvl w:val="0"/>
          <w:numId w:val="116"/>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Subject to paragraph (13) of the form of ADR, (</w:t>
      </w:r>
      <w:r>
        <w:rPr>
          <w:rFonts w:ascii="Trebuchet MS" w:cs="Trebuchet MS" w:eastAsia="Trebuchet MS" w:hAnsi="Trebuchet MS"/>
          <w:sz w:val="22"/>
          <w:szCs w:val="22"/>
          <w:i w:val="1"/>
          <w:iCs w:val="1"/>
          <w:color w:val="auto"/>
        </w:rPr>
        <w:t>Changes Affecting Deposited Securities</w:t>
      </w:r>
      <w:r>
        <w:rPr>
          <w:rFonts w:ascii="Trebuchet MS" w:cs="Trebuchet MS" w:eastAsia="Trebuchet MS" w:hAnsi="Trebuchet MS"/>
          <w:sz w:val="22"/>
          <w:szCs w:val="22"/>
          <w:color w:val="auto"/>
        </w:rPr>
        <w:t>) each</w:t>
      </w:r>
    </w:p>
    <w:p>
      <w:pPr>
        <w:spacing w:after="0" w:line="1" w:lineRule="exact"/>
        <w:rPr>
          <w:sz w:val="20"/>
          <w:szCs w:val="20"/>
          <w:color w:val="auto"/>
        </w:rPr>
      </w:pPr>
    </w:p>
    <w:p>
      <w:pPr>
        <w:ind w:right="180"/>
        <w:spacing w:after="0" w:line="241" w:lineRule="auto"/>
        <w:rPr>
          <w:sz w:val="20"/>
          <w:szCs w:val="20"/>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ADS</w:t>
      </w:r>
      <w:r>
        <w:rPr>
          <w:rFonts w:ascii="Trebuchet MS" w:cs="Trebuchet MS" w:eastAsia="Trebuchet MS" w:hAnsi="Trebuchet MS"/>
          <w:sz w:val="22"/>
          <w:szCs w:val="22"/>
          <w:color w:val="auto"/>
        </w:rPr>
        <w:t>" evidenced by an ADR represents the right to receive, and to exercise the beneficial ownership interests in, the number of Shares specified in the form of ADR attached hereto as Exhibit A (as amended from time to time) that are on deposit with the Depositary and/or the Custodian and a pro rata share in any other Deposited Securities, subject, in each case, to the terms of this Deposit Agreement and the ADSs. The ADS(s)-to-Share(s) ratio is subject to amendment as provided in the form of ADR (which may give rise to fees contemplated in paragraph (7) thereof).</w:t>
      </w:r>
    </w:p>
    <w:p>
      <w:pPr>
        <w:spacing w:after="0" w:line="235" w:lineRule="exact"/>
        <w:rPr>
          <w:sz w:val="20"/>
          <w:szCs w:val="20"/>
          <w:color w:val="auto"/>
        </w:rPr>
      </w:pPr>
    </w:p>
    <w:p>
      <w:pPr>
        <w:ind w:left="1800" w:hanging="928"/>
        <w:spacing w:after="0"/>
        <w:tabs>
          <w:tab w:leader="none" w:pos="1800" w:val="left"/>
        </w:tabs>
        <w:numPr>
          <w:ilvl w:val="0"/>
          <w:numId w:val="117"/>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Beneficial Owner</w:t>
      </w:r>
      <w:r>
        <w:rPr>
          <w:rFonts w:ascii="Trebuchet MS" w:cs="Trebuchet MS" w:eastAsia="Trebuchet MS" w:hAnsi="Trebuchet MS"/>
          <w:sz w:val="22"/>
          <w:szCs w:val="22"/>
          <w:color w:val="auto"/>
        </w:rPr>
        <w:t>" means as to any ADS, any person or entity having a</w:t>
      </w:r>
    </w:p>
    <w:p>
      <w:pPr>
        <w:spacing w:after="0" w:line="9" w:lineRule="exact"/>
        <w:rPr>
          <w:sz w:val="20"/>
          <w:szCs w:val="20"/>
          <w:color w:val="auto"/>
        </w:rPr>
      </w:pPr>
    </w:p>
    <w:p>
      <w:pPr>
        <w:ind w:right="540" w:firstLine="864"/>
        <w:spacing w:after="0" w:line="241" w:lineRule="auto"/>
        <w:rPr>
          <w:sz w:val="20"/>
          <w:szCs w:val="20"/>
          <w:color w:val="auto"/>
        </w:rPr>
      </w:pPr>
      <w:r>
        <w:rPr>
          <w:rFonts w:ascii="Trebuchet MS" w:cs="Trebuchet MS" w:eastAsia="Trebuchet MS" w:hAnsi="Trebuchet MS"/>
          <w:sz w:val="22"/>
          <w:szCs w:val="22"/>
          <w:color w:val="auto"/>
        </w:rPr>
        <w:t>beneficial ownership interest in such ADS. A Beneficial Owner need not be the Holder of the ADR evidencing such ADS. If a Beneficial Owner of ADSs is not a Holder, it must rely on the Holder of the ADR(s) evidencing such ADSs in order to assert any rights or receive any benefits under this Deposit Agreement. The arrangements between a Beneficial Owner of ADSs and the Holder of the corresponding ADRs may affect the Beneficial Owner’s ability to exercise any rights it may have.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373" w:right="419" w:bottom="1440" w:gutter="0" w:footer="0" w:header="0"/>
        </w:sectPr>
      </w:pPr>
    </w:p>
    <w:bookmarkStart w:id="189" w:name="page190"/>
    <w:bookmarkEnd w:id="189"/>
    <w:p>
      <w:pPr>
        <w:ind w:right="240" w:firstLine="872"/>
        <w:spacing w:after="0" w:line="251" w:lineRule="auto"/>
        <w:tabs>
          <w:tab w:leader="none" w:pos="1788" w:val="left"/>
        </w:tabs>
        <w:numPr>
          <w:ilvl w:val="0"/>
          <w:numId w:val="11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w:t>
      </w:r>
      <w:r>
        <w:rPr>
          <w:rFonts w:ascii="Trebuchet MS" w:cs="Trebuchet MS" w:eastAsia="Trebuchet MS" w:hAnsi="Trebuchet MS"/>
          <w:sz w:val="22"/>
          <w:szCs w:val="22"/>
          <w:b w:val="1"/>
          <w:bCs w:val="1"/>
          <w:color w:val="auto"/>
        </w:rPr>
        <w:t>Custodian</w:t>
      </w:r>
      <w:r>
        <w:rPr>
          <w:rFonts w:ascii="Trebuchet MS" w:cs="Trebuchet MS" w:eastAsia="Trebuchet MS" w:hAnsi="Trebuchet MS"/>
          <w:sz w:val="22"/>
          <w:szCs w:val="22"/>
          <w:color w:val="auto"/>
        </w:rPr>
        <w:t>" means the agent or agents of the Depositary (singly or collectively, as the context requires) and any additional or substitute Custodian appointed pursuant to Section 9.</w:t>
      </w:r>
    </w:p>
    <w:p>
      <w:pPr>
        <w:spacing w:after="0" w:line="221" w:lineRule="exact"/>
        <w:rPr>
          <w:rFonts w:ascii="Trebuchet MS" w:cs="Trebuchet MS" w:eastAsia="Trebuchet MS" w:hAnsi="Trebuchet MS"/>
          <w:sz w:val="22"/>
          <w:szCs w:val="22"/>
          <w:color w:val="auto"/>
        </w:rPr>
      </w:pPr>
    </w:p>
    <w:p>
      <w:pPr>
        <w:ind w:firstLine="872"/>
        <w:spacing w:after="0" w:line="242" w:lineRule="auto"/>
        <w:tabs>
          <w:tab w:leader="none" w:pos="1750" w:val="left"/>
        </w:tabs>
        <w:numPr>
          <w:ilvl w:val="0"/>
          <w:numId w:val="11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terms "</w:t>
      </w:r>
      <w:r>
        <w:rPr>
          <w:rFonts w:ascii="Trebuchet MS" w:cs="Trebuchet MS" w:eastAsia="Trebuchet MS" w:hAnsi="Trebuchet MS"/>
          <w:sz w:val="22"/>
          <w:szCs w:val="22"/>
          <w:b w:val="1"/>
          <w:bCs w:val="1"/>
          <w:color w:val="auto"/>
        </w:rPr>
        <w:t>deliver</w:t>
      </w:r>
      <w:r>
        <w:rPr>
          <w:rFonts w:ascii="Trebuchet MS" w:cs="Trebuchet MS" w:eastAsia="Trebuchet MS" w:hAnsi="Trebuchet MS"/>
          <w:sz w:val="22"/>
          <w:szCs w:val="22"/>
          <w:color w:val="auto"/>
        </w:rPr>
        <w:t>", "</w:t>
      </w:r>
      <w:r>
        <w:rPr>
          <w:rFonts w:ascii="Trebuchet MS" w:cs="Trebuchet MS" w:eastAsia="Trebuchet MS" w:hAnsi="Trebuchet MS"/>
          <w:sz w:val="22"/>
          <w:szCs w:val="22"/>
          <w:b w:val="1"/>
          <w:bCs w:val="1"/>
          <w:color w:val="auto"/>
        </w:rPr>
        <w:t>execute</w:t>
      </w:r>
      <w:r>
        <w:rPr>
          <w:rFonts w:ascii="Trebuchet MS" w:cs="Trebuchet MS" w:eastAsia="Trebuchet MS" w:hAnsi="Trebuchet MS"/>
          <w:sz w:val="22"/>
          <w:szCs w:val="22"/>
          <w:color w:val="auto"/>
        </w:rPr>
        <w:t>", "</w:t>
      </w:r>
      <w:r>
        <w:rPr>
          <w:rFonts w:ascii="Trebuchet MS" w:cs="Trebuchet MS" w:eastAsia="Trebuchet MS" w:hAnsi="Trebuchet MS"/>
          <w:sz w:val="22"/>
          <w:szCs w:val="22"/>
          <w:b w:val="1"/>
          <w:bCs w:val="1"/>
          <w:color w:val="auto"/>
        </w:rPr>
        <w:t>issue</w:t>
      </w:r>
      <w:r>
        <w:rPr>
          <w:rFonts w:ascii="Trebuchet MS" w:cs="Trebuchet MS" w:eastAsia="Trebuchet MS" w:hAnsi="Trebuchet MS"/>
          <w:sz w:val="22"/>
          <w:szCs w:val="22"/>
          <w:color w:val="auto"/>
        </w:rPr>
        <w:t>", "</w:t>
      </w:r>
      <w:r>
        <w:rPr>
          <w:rFonts w:ascii="Trebuchet MS" w:cs="Trebuchet MS" w:eastAsia="Trebuchet MS" w:hAnsi="Trebuchet MS"/>
          <w:sz w:val="22"/>
          <w:szCs w:val="22"/>
          <w:b w:val="1"/>
          <w:bCs w:val="1"/>
          <w:color w:val="auto"/>
        </w:rPr>
        <w:t>register</w:t>
      </w:r>
      <w:r>
        <w:rPr>
          <w:rFonts w:ascii="Trebuchet MS" w:cs="Trebuchet MS" w:eastAsia="Trebuchet MS" w:hAnsi="Trebuchet MS"/>
          <w:sz w:val="22"/>
          <w:szCs w:val="22"/>
          <w:color w:val="auto"/>
        </w:rPr>
        <w:t>", "</w:t>
      </w:r>
      <w:r>
        <w:rPr>
          <w:rFonts w:ascii="Trebuchet MS" w:cs="Trebuchet MS" w:eastAsia="Trebuchet MS" w:hAnsi="Trebuchet MS"/>
          <w:sz w:val="22"/>
          <w:szCs w:val="22"/>
          <w:b w:val="1"/>
          <w:bCs w:val="1"/>
          <w:color w:val="auto"/>
        </w:rPr>
        <w:t>surrender</w:t>
      </w:r>
      <w:r>
        <w:rPr>
          <w:rFonts w:ascii="Trebuchet MS" w:cs="Trebuchet MS" w:eastAsia="Trebuchet MS" w:hAnsi="Trebuchet MS"/>
          <w:sz w:val="22"/>
          <w:szCs w:val="22"/>
          <w:color w:val="auto"/>
        </w:rPr>
        <w:t>", "</w:t>
      </w:r>
      <w:r>
        <w:rPr>
          <w:rFonts w:ascii="Trebuchet MS" w:cs="Trebuchet MS" w:eastAsia="Trebuchet MS" w:hAnsi="Trebuchet MS"/>
          <w:sz w:val="22"/>
          <w:szCs w:val="22"/>
          <w:b w:val="1"/>
          <w:bCs w:val="1"/>
          <w:color w:val="auto"/>
        </w:rPr>
        <w:t>transfer</w:t>
      </w:r>
      <w:r>
        <w:rPr>
          <w:rFonts w:ascii="Trebuchet MS" w:cs="Trebuchet MS" w:eastAsia="Trebuchet MS" w:hAnsi="Trebuchet MS"/>
          <w:sz w:val="22"/>
          <w:szCs w:val="22"/>
          <w:color w:val="auto"/>
        </w:rPr>
        <w:t>" or "</w:t>
      </w:r>
      <w:r>
        <w:rPr>
          <w:rFonts w:ascii="Trebuchet MS" w:cs="Trebuchet MS" w:eastAsia="Trebuchet MS" w:hAnsi="Trebuchet MS"/>
          <w:sz w:val="22"/>
          <w:szCs w:val="22"/>
          <w:b w:val="1"/>
          <w:bCs w:val="1"/>
          <w:color w:val="auto"/>
        </w:rPr>
        <w:t>cancel</w:t>
      </w:r>
      <w:r>
        <w:rPr>
          <w:rFonts w:ascii="Trebuchet MS" w:cs="Trebuchet MS" w:eastAsia="Trebuchet MS" w:hAnsi="Trebuchet MS"/>
          <w:sz w:val="22"/>
          <w:szCs w:val="22"/>
          <w:color w:val="auto"/>
        </w:rPr>
        <w:t>", when used with respect to (i) Shares refers, where the context requires, to an entry or entries or an electronic transfer or transfers in an account or accounts maintained by institutions authorized under applicable law to effect transfers of securities (which may include Euroclear Sweden AB, the Swedish centralized security depository) and not to the physical transfer of certificates representing the Shares and (ii) Direct Registration ADRs, shall refer to an entry or entries or an electronic transfer or transfers in the Direct Registration System, and, when used with respect to ADRs in physical certificated form, shall refer to the physical delivery, execution, issuance, registration, surrender, transfer or cancellation of certificates representing the ADRs.</w:t>
      </w:r>
    </w:p>
    <w:p>
      <w:pPr>
        <w:spacing w:after="0" w:line="234" w:lineRule="exact"/>
        <w:rPr>
          <w:rFonts w:ascii="Trebuchet MS" w:cs="Trebuchet MS" w:eastAsia="Trebuchet MS" w:hAnsi="Trebuchet MS"/>
          <w:sz w:val="22"/>
          <w:szCs w:val="22"/>
          <w:color w:val="auto"/>
        </w:rPr>
      </w:pPr>
    </w:p>
    <w:p>
      <w:pPr>
        <w:ind w:left="1780" w:hanging="908"/>
        <w:spacing w:after="0"/>
        <w:tabs>
          <w:tab w:leader="none" w:pos="1780" w:val="left"/>
        </w:tabs>
        <w:numPr>
          <w:ilvl w:val="0"/>
          <w:numId w:val="11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Delivery Order</w:t>
      </w:r>
      <w:r>
        <w:rPr>
          <w:rFonts w:ascii="Trebuchet MS" w:cs="Trebuchet MS" w:eastAsia="Trebuchet MS" w:hAnsi="Trebuchet MS"/>
          <w:sz w:val="22"/>
          <w:szCs w:val="22"/>
          <w:color w:val="auto"/>
        </w:rPr>
        <w:t>" is defined in Section 3.</w:t>
      </w:r>
    </w:p>
    <w:p>
      <w:pPr>
        <w:spacing w:after="0" w:line="244" w:lineRule="exact"/>
        <w:rPr>
          <w:rFonts w:ascii="Trebuchet MS" w:cs="Trebuchet MS" w:eastAsia="Trebuchet MS" w:hAnsi="Trebuchet MS"/>
          <w:sz w:val="22"/>
          <w:szCs w:val="22"/>
          <w:color w:val="auto"/>
        </w:rPr>
      </w:pPr>
    </w:p>
    <w:p>
      <w:pPr>
        <w:ind w:firstLine="872"/>
        <w:spacing w:after="0" w:line="242" w:lineRule="auto"/>
        <w:tabs>
          <w:tab w:leader="none" w:pos="1788" w:val="left"/>
        </w:tabs>
        <w:numPr>
          <w:ilvl w:val="0"/>
          <w:numId w:val="11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Deposited Securities</w:t>
      </w:r>
      <w:r>
        <w:rPr>
          <w:rFonts w:ascii="Trebuchet MS" w:cs="Trebuchet MS" w:eastAsia="Trebuchet MS" w:hAnsi="Trebuchet MS"/>
          <w:sz w:val="22"/>
          <w:szCs w:val="22"/>
          <w:color w:val="auto"/>
        </w:rPr>
        <w:t>" as of any time means all Shares at such time deposited under this Deposit Agreement and any and all other Shares, securities, property and cash at such time held by the Depositary or the Custodian in respect or in lieu of such deposited Shares and other Shares, securities, property and cash. 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w:t>
      </w:r>
    </w:p>
    <w:p>
      <w:pPr>
        <w:spacing w:after="0" w:line="235" w:lineRule="exact"/>
        <w:rPr>
          <w:rFonts w:ascii="Trebuchet MS" w:cs="Trebuchet MS" w:eastAsia="Trebuchet MS" w:hAnsi="Trebuchet MS"/>
          <w:sz w:val="22"/>
          <w:szCs w:val="22"/>
          <w:color w:val="auto"/>
        </w:rPr>
      </w:pPr>
    </w:p>
    <w:p>
      <w:pPr>
        <w:ind w:firstLine="872"/>
        <w:spacing w:after="0" w:line="243" w:lineRule="auto"/>
        <w:tabs>
          <w:tab w:leader="none" w:pos="1732" w:val="left"/>
        </w:tabs>
        <w:numPr>
          <w:ilvl w:val="0"/>
          <w:numId w:val="11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Direct Registration System</w:t>
      </w:r>
      <w:r>
        <w:rPr>
          <w:rFonts w:ascii="Trebuchet MS" w:cs="Trebuchet MS" w:eastAsia="Trebuchet MS" w:hAnsi="Trebuchet MS"/>
          <w:sz w:val="22"/>
          <w:szCs w:val="22"/>
          <w:color w:val="auto"/>
        </w:rPr>
        <w:t>" means the system for the uncertificated registration of ownership of securities established by The Depository Trust Company ("DTC") and utilized by the Depositary pursuant to which the Depositary may record the ownership of ADRs without the issuance of a certificate, which ownership shall be evidenced by periodic statements issued by the Depositary to the Holders entitled thereto. For purposes hereof, the Direct Registration System shall include access to the Profile Modification System maintained by DTC which provides for automated transfer of ownership between DTC and the Depositary.</w:t>
      </w:r>
    </w:p>
    <w:p>
      <w:pPr>
        <w:spacing w:after="0" w:line="230" w:lineRule="exact"/>
        <w:rPr>
          <w:rFonts w:ascii="Trebuchet MS" w:cs="Trebuchet MS" w:eastAsia="Trebuchet MS" w:hAnsi="Trebuchet MS"/>
          <w:sz w:val="22"/>
          <w:szCs w:val="22"/>
          <w:color w:val="auto"/>
        </w:rPr>
      </w:pPr>
    </w:p>
    <w:p>
      <w:pPr>
        <w:ind w:right="140" w:firstLine="872"/>
        <w:spacing w:after="0" w:line="244" w:lineRule="auto"/>
        <w:tabs>
          <w:tab w:leader="none" w:pos="1749" w:val="left"/>
        </w:tabs>
        <w:numPr>
          <w:ilvl w:val="0"/>
          <w:numId w:val="11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Holder</w:t>
      </w:r>
      <w:r>
        <w:rPr>
          <w:rFonts w:ascii="Trebuchet MS" w:cs="Trebuchet MS" w:eastAsia="Trebuchet MS" w:hAnsi="Trebuchet MS"/>
          <w:sz w:val="22"/>
          <w:szCs w:val="22"/>
          <w:color w:val="auto"/>
        </w:rPr>
        <w:t>" means the person or persons in whose name an ADR is registered on the ADR Register. For all purposes under the Deposit Agreement and the ADRs, a Holder shall be deemed to have all requisite authority to act on behalf of any and all Beneficial Owners of the ADSs evidenced by the ADR(s) registered in such Holder's name.</w:t>
      </w:r>
    </w:p>
    <w:p>
      <w:pPr>
        <w:spacing w:after="0" w:line="230" w:lineRule="exact"/>
        <w:rPr>
          <w:rFonts w:ascii="Trebuchet MS" w:cs="Trebuchet MS" w:eastAsia="Trebuchet MS" w:hAnsi="Trebuchet MS"/>
          <w:sz w:val="22"/>
          <w:szCs w:val="22"/>
          <w:color w:val="auto"/>
        </w:rPr>
      </w:pPr>
    </w:p>
    <w:p>
      <w:pPr>
        <w:ind w:left="1780" w:hanging="908"/>
        <w:spacing w:after="0"/>
        <w:tabs>
          <w:tab w:leader="none" w:pos="1780" w:val="left"/>
        </w:tabs>
        <w:numPr>
          <w:ilvl w:val="0"/>
          <w:numId w:val="11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Securities Act of 1933</w:t>
      </w:r>
      <w:r>
        <w:rPr>
          <w:rFonts w:ascii="Trebuchet MS" w:cs="Trebuchet MS" w:eastAsia="Trebuchet MS" w:hAnsi="Trebuchet MS"/>
          <w:sz w:val="22"/>
          <w:szCs w:val="22"/>
          <w:color w:val="auto"/>
        </w:rPr>
        <w:t>" means the United States Securities Act of 1933, as from time to time</w:t>
      </w:r>
    </w:p>
    <w:p>
      <w:pPr>
        <w:spacing w:after="0" w:line="9" w:lineRule="exact"/>
        <w:rPr>
          <w:rFonts w:ascii="Trebuchet MS" w:cs="Trebuchet MS" w:eastAsia="Trebuchet MS" w:hAnsi="Trebuchet MS"/>
          <w:sz w:val="22"/>
          <w:szCs w:val="22"/>
          <w:color w:val="auto"/>
        </w:rPr>
      </w:pPr>
    </w:p>
    <w:p>
      <w:pPr>
        <w:spacing w:after="0"/>
        <w:rPr>
          <w:rFonts w:ascii="Trebuchet MS" w:cs="Trebuchet MS" w:eastAsia="Trebuchet MS" w:hAnsi="Trebuchet MS"/>
          <w:sz w:val="22"/>
          <w:szCs w:val="22"/>
          <w:color w:val="auto"/>
        </w:rPr>
      </w:pPr>
      <w:r>
        <w:rPr>
          <w:rFonts w:ascii="Trebuchet MS" w:cs="Trebuchet MS" w:eastAsia="Trebuchet MS" w:hAnsi="Trebuchet MS"/>
          <w:sz w:val="22"/>
          <w:szCs w:val="22"/>
          <w:color w:val="auto"/>
        </w:rPr>
        <w:t>amended.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190" w:name="page191"/>
    <w:bookmarkEnd w:id="190"/>
    <w:p>
      <w:pPr>
        <w:ind w:right="160" w:firstLine="872"/>
        <w:spacing w:after="0" w:line="251" w:lineRule="auto"/>
        <w:tabs>
          <w:tab w:leader="none" w:pos="1734" w:val="left"/>
        </w:tabs>
        <w:numPr>
          <w:ilvl w:val="0"/>
          <w:numId w:val="11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w:t>
      </w:r>
      <w:r>
        <w:rPr>
          <w:rFonts w:ascii="Trebuchet MS" w:cs="Trebuchet MS" w:eastAsia="Trebuchet MS" w:hAnsi="Trebuchet MS"/>
          <w:sz w:val="22"/>
          <w:szCs w:val="22"/>
          <w:b w:val="1"/>
          <w:bCs w:val="1"/>
          <w:color w:val="auto"/>
        </w:rPr>
        <w:t>Securities Exchange Act of 1934</w:t>
      </w:r>
      <w:r>
        <w:rPr>
          <w:rFonts w:ascii="Trebuchet MS" w:cs="Trebuchet MS" w:eastAsia="Trebuchet MS" w:hAnsi="Trebuchet MS"/>
          <w:sz w:val="22"/>
          <w:szCs w:val="22"/>
          <w:color w:val="auto"/>
        </w:rPr>
        <w:t>" means the United States Securities Exchange Act of 1934, as from time to time amended.</w:t>
      </w:r>
    </w:p>
    <w:p>
      <w:pPr>
        <w:spacing w:after="0" w:line="221" w:lineRule="exact"/>
        <w:rPr>
          <w:rFonts w:ascii="Trebuchet MS" w:cs="Trebuchet MS" w:eastAsia="Trebuchet MS" w:hAnsi="Trebuchet MS"/>
          <w:sz w:val="22"/>
          <w:szCs w:val="22"/>
          <w:color w:val="auto"/>
        </w:rPr>
      </w:pPr>
    </w:p>
    <w:p>
      <w:pPr>
        <w:ind w:right="620" w:firstLine="872"/>
        <w:spacing w:after="0" w:line="251" w:lineRule="auto"/>
        <w:tabs>
          <w:tab w:leader="none" w:pos="1849" w:val="left"/>
        </w:tabs>
        <w:numPr>
          <w:ilvl w:val="0"/>
          <w:numId w:val="11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Shares</w:t>
      </w:r>
      <w:r>
        <w:rPr>
          <w:rFonts w:ascii="Trebuchet MS" w:cs="Trebuchet MS" w:eastAsia="Trebuchet MS" w:hAnsi="Trebuchet MS"/>
          <w:sz w:val="22"/>
          <w:szCs w:val="22"/>
          <w:color w:val="auto"/>
        </w:rPr>
        <w:t>" mean the ordinary shares of the Company, and shall include the rights to receive Shares specified in paragraph (1) of the form of ADR (</w:t>
      </w:r>
      <w:r>
        <w:rPr>
          <w:rFonts w:ascii="Trebuchet MS" w:cs="Trebuchet MS" w:eastAsia="Trebuchet MS" w:hAnsi="Trebuchet MS"/>
          <w:sz w:val="22"/>
          <w:szCs w:val="22"/>
          <w:i w:val="1"/>
          <w:iCs w:val="1"/>
          <w:color w:val="auto"/>
        </w:rPr>
        <w:t>Issuance of ADSs</w:t>
      </w:r>
      <w:r>
        <w:rPr>
          <w:rFonts w:ascii="Trebuchet MS" w:cs="Trebuchet MS" w:eastAsia="Trebuchet MS" w:hAnsi="Trebuchet MS"/>
          <w:sz w:val="22"/>
          <w:szCs w:val="22"/>
          <w:color w:val="auto"/>
        </w:rPr>
        <w:t>).</w:t>
      </w:r>
    </w:p>
    <w:p>
      <w:pPr>
        <w:spacing w:after="0" w:line="221" w:lineRule="exact"/>
        <w:rPr>
          <w:rFonts w:ascii="Trebuchet MS" w:cs="Trebuchet MS" w:eastAsia="Trebuchet MS" w:hAnsi="Trebuchet MS"/>
          <w:sz w:val="22"/>
          <w:szCs w:val="22"/>
          <w:color w:val="auto"/>
        </w:rPr>
      </w:pPr>
    </w:p>
    <w:p>
      <w:pPr>
        <w:ind w:right="740" w:firstLine="872"/>
        <w:spacing w:after="0" w:line="251" w:lineRule="auto"/>
        <w:tabs>
          <w:tab w:leader="none" w:pos="1788" w:val="left"/>
        </w:tabs>
        <w:numPr>
          <w:ilvl w:val="0"/>
          <w:numId w:val="11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Transfer Office</w:t>
      </w:r>
      <w:r>
        <w:rPr>
          <w:rFonts w:ascii="Trebuchet MS" w:cs="Trebuchet MS" w:eastAsia="Trebuchet MS" w:hAnsi="Trebuchet MS"/>
          <w:sz w:val="22"/>
          <w:szCs w:val="22"/>
          <w:color w:val="auto"/>
        </w:rPr>
        <w:t>" is defined in paragraph (3) of the form of ADR (</w:t>
      </w:r>
      <w:r>
        <w:rPr>
          <w:rFonts w:ascii="Trebuchet MS" w:cs="Trebuchet MS" w:eastAsia="Trebuchet MS" w:hAnsi="Trebuchet MS"/>
          <w:sz w:val="22"/>
          <w:szCs w:val="22"/>
          <w:i w:val="1"/>
          <w:iCs w:val="1"/>
          <w:color w:val="auto"/>
        </w:rPr>
        <w:t>Transfers, Split-Ups and</w:t>
      </w:r>
      <w:r>
        <w:rPr>
          <w:rFonts w:ascii="Trebuchet MS" w:cs="Trebuchet MS" w:eastAsia="Trebuchet MS" w:hAnsi="Trebuchet MS"/>
          <w:sz w:val="22"/>
          <w:szCs w:val="22"/>
          <w:color w:val="auto"/>
        </w:rPr>
        <w:t xml:space="preserve"> </w:t>
      </w:r>
      <w:r>
        <w:rPr>
          <w:rFonts w:ascii="Trebuchet MS" w:cs="Trebuchet MS" w:eastAsia="Trebuchet MS" w:hAnsi="Trebuchet MS"/>
          <w:sz w:val="22"/>
          <w:szCs w:val="22"/>
          <w:i w:val="1"/>
          <w:iCs w:val="1"/>
          <w:color w:val="auto"/>
        </w:rPr>
        <w:t>Combinations of ADRs</w:t>
      </w:r>
      <w:r>
        <w:rPr>
          <w:rFonts w:ascii="Trebuchet MS" w:cs="Trebuchet MS" w:eastAsia="Trebuchet MS" w:hAnsi="Trebuchet MS"/>
          <w:sz w:val="22"/>
          <w:szCs w:val="22"/>
          <w:color w:val="auto"/>
        </w:rPr>
        <w:t>).</w:t>
      </w:r>
    </w:p>
    <w:p>
      <w:pPr>
        <w:spacing w:after="0" w:line="221" w:lineRule="exact"/>
        <w:rPr>
          <w:rFonts w:ascii="Trebuchet MS" w:cs="Trebuchet MS" w:eastAsia="Trebuchet MS" w:hAnsi="Trebuchet MS"/>
          <w:sz w:val="22"/>
          <w:szCs w:val="22"/>
          <w:color w:val="auto"/>
        </w:rPr>
      </w:pPr>
    </w:p>
    <w:p>
      <w:pPr>
        <w:ind w:left="1800" w:hanging="928"/>
        <w:spacing w:after="0"/>
        <w:tabs>
          <w:tab w:leader="none" w:pos="1800" w:val="left"/>
        </w:tabs>
        <w:numPr>
          <w:ilvl w:val="0"/>
          <w:numId w:val="11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Withdrawal Order</w:t>
      </w:r>
      <w:r>
        <w:rPr>
          <w:rFonts w:ascii="Trebuchet MS" w:cs="Trebuchet MS" w:eastAsia="Trebuchet MS" w:hAnsi="Trebuchet MS"/>
          <w:sz w:val="22"/>
          <w:szCs w:val="22"/>
          <w:color w:val="auto"/>
        </w:rPr>
        <w:t>" is defined in Section 6.</w:t>
      </w:r>
    </w:p>
    <w:p>
      <w:pPr>
        <w:spacing w:after="0" w:line="244" w:lineRule="exact"/>
        <w:rPr>
          <w:sz w:val="20"/>
          <w:szCs w:val="20"/>
          <w:color w:val="auto"/>
        </w:rPr>
      </w:pPr>
    </w:p>
    <w:p>
      <w:pPr>
        <w:ind w:left="1200" w:hanging="328"/>
        <w:spacing w:after="0"/>
        <w:tabs>
          <w:tab w:leader="none" w:pos="1200" w:val="left"/>
        </w:tabs>
        <w:numPr>
          <w:ilvl w:val="0"/>
          <w:numId w:val="120"/>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Form of ADRs</w:t>
      </w:r>
      <w:r>
        <w:rPr>
          <w:rFonts w:ascii="Trebuchet MS" w:cs="Trebuchet MS" w:eastAsia="Trebuchet MS" w:hAnsi="Trebuchet MS"/>
          <w:sz w:val="22"/>
          <w:szCs w:val="22"/>
          <w:color w:val="auto"/>
        </w:rPr>
        <w:t>.</w:t>
      </w:r>
    </w:p>
    <w:p>
      <w:pPr>
        <w:spacing w:after="0" w:line="252" w:lineRule="exact"/>
        <w:rPr>
          <w:sz w:val="20"/>
          <w:szCs w:val="20"/>
          <w:color w:val="auto"/>
        </w:rPr>
      </w:pPr>
    </w:p>
    <w:p>
      <w:pPr>
        <w:jc w:val="both"/>
        <w:ind w:right="100" w:firstLine="872"/>
        <w:spacing w:after="0" w:line="242" w:lineRule="auto"/>
        <w:tabs>
          <w:tab w:leader="none" w:pos="1784" w:val="left"/>
        </w:tabs>
        <w:numPr>
          <w:ilvl w:val="0"/>
          <w:numId w:val="121"/>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Direct Registration ADRs</w:t>
      </w:r>
      <w:r>
        <w:rPr>
          <w:rFonts w:ascii="Trebuchet MS" w:cs="Trebuchet MS" w:eastAsia="Trebuchet MS" w:hAnsi="Trebuchet MS"/>
          <w:sz w:val="22"/>
          <w:szCs w:val="22"/>
          <w:color w:val="auto"/>
        </w:rPr>
        <w:t>. Notwithstanding anything in this Deposit Agreement or in the form of</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ADR to the contrary, ADSs shall be evidenced by Direct Registration ADRs, unless certificated ADRs are specifically requested by the Holder.</w:t>
      </w:r>
    </w:p>
    <w:p>
      <w:pPr>
        <w:spacing w:after="0" w:line="239" w:lineRule="exact"/>
        <w:rPr>
          <w:rFonts w:ascii="Trebuchet MS" w:cs="Trebuchet MS" w:eastAsia="Trebuchet MS" w:hAnsi="Trebuchet MS"/>
          <w:sz w:val="22"/>
          <w:szCs w:val="22"/>
          <w:color w:val="auto"/>
        </w:rPr>
      </w:pPr>
    </w:p>
    <w:p>
      <w:pPr>
        <w:ind w:firstLine="872"/>
        <w:spacing w:after="0" w:line="254" w:lineRule="auto"/>
        <w:tabs>
          <w:tab w:leader="none" w:pos="1790" w:val="left"/>
        </w:tabs>
        <w:numPr>
          <w:ilvl w:val="0"/>
          <w:numId w:val="121"/>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t>Certificated ADRs</w:t>
      </w:r>
      <w:r>
        <w:rPr>
          <w:rFonts w:ascii="Trebuchet MS" w:cs="Trebuchet MS" w:eastAsia="Trebuchet MS" w:hAnsi="Trebuchet MS"/>
          <w:sz w:val="21"/>
          <w:szCs w:val="21"/>
          <w:color w:val="auto"/>
        </w:rPr>
        <w:t>. ADRs in certificated form shall be printed or otherwise reproduced at the</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discretion of the Depositary in accordance with its customary practices in its American depositary receipt business, or at the request of the Company typewritten and photocopied on plain or safety paper, and shall be substantially in the form set forth in the form of ADR, with such changes as may be required by the Depositary or the Company to comply with their obligations hereunder, any applicable law, regulation or usage or to indicate any special limitations or restrictions to which any particular ADRs are subject. ADRs may be issued in denominations of any number of ADSs. ADRs in certificated form shall be executed by the Depositary by the manual or facsimile signature of a duly authorized officer of the Depositary. ADRs in certificated form bearing the facsimile signature of anyone who was at the time of execution a duly authorized officer of the Depositary shall bind the Depositary, notwithstanding that such officer has ceased to hold such office prior to the delivery of such ADRs.</w:t>
      </w:r>
    </w:p>
    <w:p>
      <w:pPr>
        <w:spacing w:after="0" w:line="227" w:lineRule="exact"/>
        <w:rPr>
          <w:rFonts w:ascii="Trebuchet MS" w:cs="Trebuchet MS" w:eastAsia="Trebuchet MS" w:hAnsi="Trebuchet MS"/>
          <w:sz w:val="21"/>
          <w:szCs w:val="21"/>
          <w:color w:val="auto"/>
        </w:rPr>
      </w:pPr>
    </w:p>
    <w:p>
      <w:pPr>
        <w:ind w:right="80" w:firstLine="872"/>
        <w:spacing w:after="0" w:line="242" w:lineRule="auto"/>
        <w:tabs>
          <w:tab w:leader="none" w:pos="1777" w:val="left"/>
        </w:tabs>
        <w:numPr>
          <w:ilvl w:val="0"/>
          <w:numId w:val="121"/>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 xml:space="preserve">Binding Effect. </w:t>
      </w:r>
      <w:r>
        <w:rPr>
          <w:rFonts w:ascii="Trebuchet MS" w:cs="Trebuchet MS" w:eastAsia="Trebuchet MS" w:hAnsi="Trebuchet MS"/>
          <w:sz w:val="22"/>
          <w:szCs w:val="22"/>
          <w:color w:val="auto"/>
        </w:rPr>
        <w:t>Holders of ADRs, and the Beneficial Owners of the ADSs evidenced by such ADRs,</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shall each be bound by the terms and conditions of this Deposit Agreement and of the form of ADR, regardless of whether such ADRs are Direct Registration ADRs or certificated ADRs.</w:t>
      </w:r>
    </w:p>
    <w:p>
      <w:pPr>
        <w:spacing w:after="0" w:line="232" w:lineRule="exact"/>
        <w:rPr>
          <w:sz w:val="20"/>
          <w:szCs w:val="20"/>
          <w:color w:val="auto"/>
        </w:rPr>
      </w:pPr>
    </w:p>
    <w:p>
      <w:pPr>
        <w:ind w:left="1200" w:hanging="328"/>
        <w:spacing w:after="0"/>
        <w:tabs>
          <w:tab w:leader="none" w:pos="1200" w:val="left"/>
        </w:tabs>
        <w:numPr>
          <w:ilvl w:val="0"/>
          <w:numId w:val="122"/>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Deposit of Shares</w:t>
      </w:r>
      <w:r>
        <w:rPr>
          <w:rFonts w:ascii="Trebuchet MS" w:cs="Trebuchet MS" w:eastAsia="Trebuchet MS" w:hAnsi="Trebuchet MS"/>
          <w:sz w:val="22"/>
          <w:szCs w:val="22"/>
          <w:color w:val="auto"/>
        </w:rPr>
        <w:t>.</w:t>
      </w:r>
    </w:p>
    <w:p>
      <w:pPr>
        <w:spacing w:after="0" w:line="252" w:lineRule="exact"/>
        <w:rPr>
          <w:sz w:val="20"/>
          <w:szCs w:val="20"/>
          <w:color w:val="auto"/>
        </w:rPr>
      </w:pPr>
    </w:p>
    <w:p>
      <w:pPr>
        <w:ind w:right="760" w:firstLine="872"/>
        <w:spacing w:after="0" w:line="244" w:lineRule="auto"/>
        <w:tabs>
          <w:tab w:leader="none" w:pos="1784" w:val="left"/>
        </w:tabs>
        <w:numPr>
          <w:ilvl w:val="0"/>
          <w:numId w:val="123"/>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 xml:space="preserve">Requirements. </w:t>
      </w:r>
      <w:r>
        <w:rPr>
          <w:rFonts w:ascii="Trebuchet MS" w:cs="Trebuchet MS" w:eastAsia="Trebuchet MS" w:hAnsi="Trebuchet MS"/>
          <w:sz w:val="22"/>
          <w:szCs w:val="22"/>
          <w:color w:val="auto"/>
        </w:rPr>
        <w:t>In connection with the deposit of Shares hereunder, the Depositary or the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Custodian may require the following in a form satisfactory to it: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191" w:name="page192"/>
    <w:bookmarkEnd w:id="191"/>
    <w:p>
      <w:pPr>
        <w:jc w:val="both"/>
        <w:ind w:left="880" w:right="340" w:firstLine="789"/>
        <w:spacing w:after="0" w:line="243" w:lineRule="auto"/>
        <w:tabs>
          <w:tab w:leader="none" w:pos="2545" w:val="left"/>
        </w:tabs>
        <w:numPr>
          <w:ilvl w:val="1"/>
          <w:numId w:val="124"/>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a written order directing the Depositary to issue to, or upon the written order of, the person or persons designated in such order a Direct Registration ADR or ADRs evidencing the number of ADSs representing such deposited Shares (a "</w:t>
      </w:r>
      <w:r>
        <w:rPr>
          <w:rFonts w:ascii="Trebuchet MS" w:cs="Trebuchet MS" w:eastAsia="Trebuchet MS" w:hAnsi="Trebuchet MS"/>
          <w:sz w:val="22"/>
          <w:szCs w:val="22"/>
          <w:b w:val="1"/>
          <w:bCs w:val="1"/>
          <w:color w:val="auto"/>
        </w:rPr>
        <w:t>Delivery Order</w:t>
      </w:r>
      <w:r>
        <w:rPr>
          <w:rFonts w:ascii="Trebuchet MS" w:cs="Trebuchet MS" w:eastAsia="Trebuchet MS" w:hAnsi="Trebuchet MS"/>
          <w:sz w:val="22"/>
          <w:szCs w:val="22"/>
          <w:color w:val="auto"/>
        </w:rPr>
        <w:t>");</w:t>
      </w:r>
    </w:p>
    <w:p>
      <w:pPr>
        <w:spacing w:after="0" w:line="236" w:lineRule="exact"/>
        <w:rPr>
          <w:rFonts w:ascii="Trebuchet MS" w:cs="Trebuchet MS" w:eastAsia="Trebuchet MS" w:hAnsi="Trebuchet MS"/>
          <w:sz w:val="22"/>
          <w:szCs w:val="22"/>
          <w:color w:val="auto"/>
        </w:rPr>
      </w:pPr>
    </w:p>
    <w:p>
      <w:pPr>
        <w:ind w:left="2600" w:hanging="931"/>
        <w:spacing w:after="0"/>
        <w:tabs>
          <w:tab w:leader="none" w:pos="2600" w:val="left"/>
        </w:tabs>
        <w:numPr>
          <w:ilvl w:val="1"/>
          <w:numId w:val="124"/>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proper endorsements or duly executed instruments of transfer in respect of such</w:t>
      </w:r>
    </w:p>
    <w:p>
      <w:pPr>
        <w:spacing w:after="0" w:line="1" w:lineRule="exact"/>
        <w:rPr>
          <w:rFonts w:ascii="Trebuchet MS" w:cs="Trebuchet MS" w:eastAsia="Trebuchet MS" w:hAnsi="Trebuchet MS"/>
          <w:sz w:val="22"/>
          <w:szCs w:val="22"/>
          <w:color w:val="auto"/>
        </w:rPr>
      </w:pPr>
    </w:p>
    <w:p>
      <w:pPr>
        <w:ind w:left="880"/>
        <w:spacing w:after="0"/>
        <w:rPr>
          <w:rFonts w:ascii="Trebuchet MS" w:cs="Trebuchet MS" w:eastAsia="Trebuchet MS" w:hAnsi="Trebuchet MS"/>
          <w:sz w:val="22"/>
          <w:szCs w:val="22"/>
          <w:color w:val="auto"/>
        </w:rPr>
      </w:pPr>
      <w:r>
        <w:rPr>
          <w:rFonts w:ascii="Trebuchet MS" w:cs="Trebuchet MS" w:eastAsia="Trebuchet MS" w:hAnsi="Trebuchet MS"/>
          <w:sz w:val="22"/>
          <w:szCs w:val="22"/>
          <w:color w:val="auto"/>
        </w:rPr>
        <w:t>deposited Shares;</w:t>
      </w:r>
    </w:p>
    <w:p>
      <w:pPr>
        <w:spacing w:after="0" w:line="244" w:lineRule="exact"/>
        <w:rPr>
          <w:rFonts w:ascii="Trebuchet MS" w:cs="Trebuchet MS" w:eastAsia="Trebuchet MS" w:hAnsi="Trebuchet MS"/>
          <w:sz w:val="22"/>
          <w:szCs w:val="22"/>
          <w:color w:val="auto"/>
        </w:rPr>
      </w:pPr>
    </w:p>
    <w:p>
      <w:pPr>
        <w:ind w:left="880" w:right="540" w:firstLine="789"/>
        <w:spacing w:after="0" w:line="244" w:lineRule="auto"/>
        <w:tabs>
          <w:tab w:leader="none" w:pos="2733" w:val="left"/>
        </w:tabs>
        <w:numPr>
          <w:ilvl w:val="1"/>
          <w:numId w:val="124"/>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instruments assigning to the Depositary, the Custodian or a nominee of either any distribution on or in respect of such deposited Shares or indemnity therefor; and</w:t>
      </w:r>
    </w:p>
    <w:p>
      <w:pPr>
        <w:spacing w:after="0" w:line="236" w:lineRule="exact"/>
        <w:rPr>
          <w:rFonts w:ascii="Trebuchet MS" w:cs="Trebuchet MS" w:eastAsia="Trebuchet MS" w:hAnsi="Trebuchet MS"/>
          <w:sz w:val="22"/>
          <w:szCs w:val="22"/>
          <w:color w:val="auto"/>
        </w:rPr>
      </w:pPr>
    </w:p>
    <w:p>
      <w:pPr>
        <w:ind w:left="2640" w:hanging="971"/>
        <w:spacing w:after="0"/>
        <w:tabs>
          <w:tab w:leader="none" w:pos="2640" w:val="left"/>
        </w:tabs>
        <w:numPr>
          <w:ilvl w:val="1"/>
          <w:numId w:val="124"/>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proxies entitling the Custodian to vote such deposited Shares.</w:t>
      </w:r>
    </w:p>
    <w:p>
      <w:pPr>
        <w:spacing w:after="0" w:line="244" w:lineRule="exact"/>
        <w:rPr>
          <w:rFonts w:ascii="Trebuchet MS" w:cs="Trebuchet MS" w:eastAsia="Trebuchet MS" w:hAnsi="Trebuchet MS"/>
          <w:sz w:val="22"/>
          <w:szCs w:val="22"/>
          <w:color w:val="auto"/>
        </w:rPr>
      </w:pPr>
    </w:p>
    <w:p>
      <w:pPr>
        <w:ind w:right="80" w:firstLine="872"/>
        <w:spacing w:after="0" w:line="241" w:lineRule="auto"/>
        <w:tabs>
          <w:tab w:leader="none" w:pos="1790" w:val="left"/>
        </w:tabs>
        <w:numPr>
          <w:ilvl w:val="0"/>
          <w:numId w:val="125"/>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 xml:space="preserve">Registration of Deposited Securities. </w:t>
      </w:r>
      <w:r>
        <w:rPr>
          <w:rFonts w:ascii="Trebuchet MS" w:cs="Trebuchet MS" w:eastAsia="Trebuchet MS" w:hAnsi="Trebuchet MS"/>
          <w:sz w:val="22"/>
          <w:szCs w:val="22"/>
          <w:color w:val="auto"/>
        </w:rPr>
        <w:t>As soon as practicable after the Custodian receives</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Deposited Securities pursuant to any such deposit or pursuant to paragraph (10) (</w:t>
      </w:r>
      <w:r>
        <w:rPr>
          <w:rFonts w:ascii="Trebuchet MS" w:cs="Trebuchet MS" w:eastAsia="Trebuchet MS" w:hAnsi="Trebuchet MS"/>
          <w:sz w:val="22"/>
          <w:szCs w:val="22"/>
          <w:i w:val="1"/>
          <w:iCs w:val="1"/>
          <w:color w:val="auto"/>
        </w:rPr>
        <w:t>Distributions on Deposited</w:t>
      </w:r>
      <w:r>
        <w:rPr>
          <w:rFonts w:ascii="Trebuchet MS" w:cs="Trebuchet MS" w:eastAsia="Trebuchet MS" w:hAnsi="Trebuchet MS"/>
          <w:sz w:val="22"/>
          <w:szCs w:val="22"/>
          <w:color w:val="auto"/>
        </w:rPr>
        <w:t xml:space="preserve"> </w:t>
      </w:r>
      <w:r>
        <w:rPr>
          <w:rFonts w:ascii="Trebuchet MS" w:cs="Trebuchet MS" w:eastAsia="Trebuchet MS" w:hAnsi="Trebuchet MS"/>
          <w:sz w:val="22"/>
          <w:szCs w:val="22"/>
          <w:i w:val="1"/>
          <w:iCs w:val="1"/>
          <w:color w:val="auto"/>
        </w:rPr>
        <w:t>Securities</w:t>
      </w:r>
      <w:r>
        <w:rPr>
          <w:rFonts w:ascii="Trebuchet MS" w:cs="Trebuchet MS" w:eastAsia="Trebuchet MS" w:hAnsi="Trebuchet MS"/>
          <w:sz w:val="22"/>
          <w:szCs w:val="22"/>
          <w:color w:val="auto"/>
        </w:rPr>
        <w:t>) or (13) (</w:t>
      </w:r>
      <w:r>
        <w:rPr>
          <w:rFonts w:ascii="Trebuchet MS" w:cs="Trebuchet MS" w:eastAsia="Trebuchet MS" w:hAnsi="Trebuchet MS"/>
          <w:sz w:val="22"/>
          <w:szCs w:val="22"/>
          <w:i w:val="1"/>
          <w:iCs w:val="1"/>
          <w:color w:val="auto"/>
        </w:rPr>
        <w:t>Changes Affecting Deposited Securities</w:t>
      </w:r>
      <w:r>
        <w:rPr>
          <w:rFonts w:ascii="Trebuchet MS" w:cs="Trebuchet MS" w:eastAsia="Trebuchet MS" w:hAnsi="Trebuchet MS"/>
          <w:sz w:val="22"/>
          <w:szCs w:val="22"/>
          <w:color w:val="auto"/>
        </w:rPr>
        <w:t>) of the form of ADR, the Custodian shall present such</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Deposited Securities for registration of transfer into the name of the Depositary, the Custodian or a nominee of either, in each case for the benefit of Holders, to the extent such registration is practicable, at the cost and expense of the person making such deposit (or for whose benefit such deposit is made) and shall obtain evidence satisfactory to it of such registration. Deposited Securities shall be held by the Custodian for the account and to the order of the Depositary for the benefit of Holders of ADRs (to the extent not prohibited by law) at such place or places and in such manner as the Depositary shall determine. Notwithstanding anything else contained herein, in the form of ADR and/or any outstanding ADSs, the Depositary, the Custodian and their respective nominees are intended to be, and shall at all times during the term of the Deposit Agreement be, the record holder(s) only of the Deposited Securities represented by the ADSs for the benefit of the Holders. The Depositary, on its own behalf and on behalf of the Custodian and their respective nominees, disclaims any beneficial ownership interest in the Deposited Securities held on behalf of the Holders.</w:t>
      </w:r>
    </w:p>
    <w:p>
      <w:pPr>
        <w:spacing w:after="0" w:line="256" w:lineRule="exact"/>
        <w:rPr>
          <w:rFonts w:ascii="Trebuchet MS" w:cs="Trebuchet MS" w:eastAsia="Trebuchet MS" w:hAnsi="Trebuchet MS"/>
          <w:sz w:val="22"/>
          <w:szCs w:val="22"/>
          <w:color w:val="auto"/>
        </w:rPr>
      </w:pPr>
    </w:p>
    <w:p>
      <w:pPr>
        <w:ind w:firstLine="872"/>
        <w:spacing w:after="0" w:line="241" w:lineRule="auto"/>
        <w:tabs>
          <w:tab w:leader="none" w:pos="1777" w:val="left"/>
        </w:tabs>
        <w:numPr>
          <w:ilvl w:val="0"/>
          <w:numId w:val="125"/>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 xml:space="preserve">Delivery of Deposited Securities. </w:t>
      </w:r>
      <w:r>
        <w:rPr>
          <w:rFonts w:ascii="Trebuchet MS" w:cs="Trebuchet MS" w:eastAsia="Trebuchet MS" w:hAnsi="Trebuchet MS"/>
          <w:sz w:val="22"/>
          <w:szCs w:val="22"/>
          <w:color w:val="auto"/>
        </w:rPr>
        <w:t>Deposited Securities may be delivered by the Custodian to any</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person only under the circumstances expressly contemplated in this Deposit Agreement. To the extent that the provisions of or governing the Shares make delivery of certificates therefor impracticable, Shares may be deposited hereunder by such delivery thereof as the Depositary or the Custodian may reasonably accept, including, without limitation, by causing them to be credited to an account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2" w:name="page193"/>
    <w:bookmarkEnd w:id="192"/>
    <w:p>
      <w:pPr>
        <w:ind w:right="260"/>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maintained by the Custodian for such purpose with the Company or an accredited intermediary, such as a bank, acting as a registrar for the Shares, together with delivery of the documents, payments and Delivery Order referred to herein to the Custodian or the Depositary.</w:t>
      </w:r>
    </w:p>
    <w:p>
      <w:pPr>
        <w:spacing w:after="0" w:line="245" w:lineRule="exact"/>
        <w:rPr>
          <w:sz w:val="20"/>
          <w:szCs w:val="20"/>
          <w:color w:val="auto"/>
        </w:rPr>
      </w:pPr>
    </w:p>
    <w:p>
      <w:pPr>
        <w:ind w:right="140" w:firstLine="872"/>
        <w:spacing w:after="0" w:line="256" w:lineRule="auto"/>
        <w:tabs>
          <w:tab w:leader="none" w:pos="1186" w:val="left"/>
        </w:tabs>
        <w:numPr>
          <w:ilvl w:val="0"/>
          <w:numId w:val="126"/>
        </w:numPr>
        <w:rPr>
          <w:rFonts w:ascii="Trebuchet MS" w:cs="Trebuchet MS" w:eastAsia="Trebuchet MS" w:hAnsi="Trebuchet MS"/>
          <w:sz w:val="21"/>
          <w:szCs w:val="21"/>
          <w:color w:val="auto"/>
        </w:rPr>
      </w:pPr>
      <w:r>
        <w:rPr>
          <w:rFonts w:ascii="Trebuchet MS" w:cs="Trebuchet MS" w:eastAsia="Trebuchet MS" w:hAnsi="Trebuchet MS"/>
          <w:sz w:val="21"/>
          <w:szCs w:val="21"/>
          <w:b w:val="1"/>
          <w:bCs w:val="1"/>
          <w:color w:val="auto"/>
        </w:rPr>
        <w:t>Issue of ADRs</w:t>
      </w:r>
      <w:r>
        <w:rPr>
          <w:rFonts w:ascii="Trebuchet MS" w:cs="Trebuchet MS" w:eastAsia="Trebuchet MS" w:hAnsi="Trebuchet MS"/>
          <w:sz w:val="21"/>
          <w:szCs w:val="21"/>
          <w:color w:val="auto"/>
        </w:rPr>
        <w:t>. After any such deposit of Shares, the Custodian shall notify the Depositary of such</w:t>
      </w:r>
      <w:r>
        <w:rPr>
          <w:rFonts w:ascii="Trebuchet MS" w:cs="Trebuchet MS" w:eastAsia="Trebuchet MS" w:hAnsi="Trebuchet MS"/>
          <w:sz w:val="21"/>
          <w:szCs w:val="21"/>
          <w:b w:val="1"/>
          <w:bCs w:val="1"/>
          <w:color w:val="auto"/>
        </w:rPr>
        <w:t xml:space="preserve"> </w:t>
      </w:r>
      <w:r>
        <w:rPr>
          <w:rFonts w:ascii="Trebuchet MS" w:cs="Trebuchet MS" w:eastAsia="Trebuchet MS" w:hAnsi="Trebuchet MS"/>
          <w:sz w:val="21"/>
          <w:szCs w:val="21"/>
          <w:color w:val="auto"/>
        </w:rPr>
        <w:t>deposit and of the information contained in any related Delivery Order by letter, first class airmail postage prepaid, or, at the request, risk and expense of the person making the deposit, by SWIFT, cable, telex, e-mail or facsimile transmission. After receiving such notice from the Custodian, the Depositary, subject to this Deposit Agreement, shall properly issue at the Transfer Office, to or upon the order of any person named in such notice, an ADR or ADRs registered as requested and evidencing the aggregate ADSs to which such person is entitled.</w:t>
      </w:r>
    </w:p>
    <w:p>
      <w:pPr>
        <w:spacing w:after="0" w:line="221" w:lineRule="exact"/>
        <w:rPr>
          <w:rFonts w:ascii="Trebuchet MS" w:cs="Trebuchet MS" w:eastAsia="Trebuchet MS" w:hAnsi="Trebuchet MS"/>
          <w:sz w:val="21"/>
          <w:szCs w:val="21"/>
          <w:color w:val="auto"/>
        </w:rPr>
      </w:pPr>
    </w:p>
    <w:p>
      <w:pPr>
        <w:ind w:right="20" w:firstLine="872"/>
        <w:spacing w:after="0" w:line="242" w:lineRule="auto"/>
        <w:tabs>
          <w:tab w:leader="none" w:pos="1186" w:val="left"/>
        </w:tabs>
        <w:numPr>
          <w:ilvl w:val="0"/>
          <w:numId w:val="126"/>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Distributions on Deposited Securities</w:t>
      </w:r>
      <w:r>
        <w:rPr>
          <w:rFonts w:ascii="Trebuchet MS" w:cs="Trebuchet MS" w:eastAsia="Trebuchet MS" w:hAnsi="Trebuchet MS"/>
          <w:sz w:val="22"/>
          <w:szCs w:val="22"/>
          <w:color w:val="auto"/>
        </w:rPr>
        <w:t>. To the extent that the Depositary determines in its discretion</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that any distribution pursuant to paragraph (10) of the form of ADR (</w:t>
      </w:r>
      <w:r>
        <w:rPr>
          <w:rFonts w:ascii="Trebuchet MS" w:cs="Trebuchet MS" w:eastAsia="Trebuchet MS" w:hAnsi="Trebuchet MS"/>
          <w:sz w:val="22"/>
          <w:szCs w:val="22"/>
          <w:i w:val="1"/>
          <w:iCs w:val="1"/>
          <w:color w:val="auto"/>
        </w:rPr>
        <w:t>Distributions on Deposited Securities</w:t>
      </w:r>
      <w:r>
        <w:rPr>
          <w:rFonts w:ascii="Trebuchet MS" w:cs="Trebuchet MS" w:eastAsia="Trebuchet MS" w:hAnsi="Trebuchet MS"/>
          <w:sz w:val="22"/>
          <w:szCs w:val="22"/>
          <w:color w:val="auto"/>
        </w:rPr>
        <w:t>) is not practicable with respect to any Holder, the Depositary may (after consultation with the Company if practicable in the case where the Depositary believes such distribution is not practicable with respect to all Holders) make such distribution as it so deems practicable, including the distribution of foreign currency, securities or property (or appropriate documents evidencing the right to receive foreign currency, securities or property) or the retention thereof as Deposited Securities with respect to such Holder's ADRs (without liability for interest thereon or the investment thereof).</w:t>
      </w:r>
    </w:p>
    <w:p>
      <w:pPr>
        <w:spacing w:after="0" w:line="234" w:lineRule="exact"/>
        <w:rPr>
          <w:rFonts w:ascii="Trebuchet MS" w:cs="Trebuchet MS" w:eastAsia="Trebuchet MS" w:hAnsi="Trebuchet MS"/>
          <w:sz w:val="22"/>
          <w:szCs w:val="22"/>
          <w:color w:val="auto"/>
        </w:rPr>
      </w:pPr>
    </w:p>
    <w:p>
      <w:pPr>
        <w:ind w:firstLine="872"/>
        <w:spacing w:after="0" w:line="241" w:lineRule="auto"/>
        <w:tabs>
          <w:tab w:leader="none" w:pos="1186" w:val="left"/>
        </w:tabs>
        <w:numPr>
          <w:ilvl w:val="0"/>
          <w:numId w:val="126"/>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 xml:space="preserve">Withdrawal of Deposited Securities. </w:t>
      </w:r>
      <w:r>
        <w:rPr>
          <w:rFonts w:ascii="Trebuchet MS" w:cs="Trebuchet MS" w:eastAsia="Trebuchet MS" w:hAnsi="Trebuchet MS"/>
          <w:sz w:val="22"/>
          <w:szCs w:val="22"/>
          <w:color w:val="auto"/>
        </w:rPr>
        <w:t>In connection with any surrender of an ADR for withdrawal of</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the Deposited Securities represented by the ADSs evidenced thereby, the Depositary may require proper endorsement in blank of such ADR (or duly executed instruments of transfer thereof in blank) and the Holder's written order directing the Depositary to cause the Deposited Securities represented by the ADSs evidenced by such ADR to be withdrawn and delivered to, or upon the written order of, any person designated in such order (a "</w:t>
      </w:r>
      <w:r>
        <w:rPr>
          <w:rFonts w:ascii="Trebuchet MS" w:cs="Trebuchet MS" w:eastAsia="Trebuchet MS" w:hAnsi="Trebuchet MS"/>
          <w:sz w:val="22"/>
          <w:szCs w:val="22"/>
          <w:b w:val="1"/>
          <w:bCs w:val="1"/>
          <w:color w:val="auto"/>
        </w:rPr>
        <w:t>Withdrawal Order</w:t>
      </w:r>
      <w:r>
        <w:rPr>
          <w:rFonts w:ascii="Trebuchet MS" w:cs="Trebuchet MS" w:eastAsia="Trebuchet MS" w:hAnsi="Trebuchet MS"/>
          <w:sz w:val="22"/>
          <w:szCs w:val="22"/>
          <w:color w:val="auto"/>
        </w:rPr>
        <w:t>"). Directions from the Depositary to the Custodian to deliver Deposited Securities shall be given by letter, first class airmail postage prepaid, or, at the request, risk and expense of the Holder, by SWIFT, cable, telex, e-mail or facsimile transmission. Delivery of Deposited Securities may be made by the delivery of certificates (which, if required by law shall be properly endorsed or accompanied by properly executed instruments of transfer or, if such certificates may be registered, registered in the name of such Holder or as ordered by such Holder in any Withdrawal Order) or by such other means as the Depositary may deem practicable, including, without limitation, by transfer of record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1165" w:right="439" w:bottom="1440" w:gutter="0" w:footer="0" w:header="0"/>
        </w:sectPr>
      </w:pPr>
    </w:p>
    <w:bookmarkStart w:id="193" w:name="page194"/>
    <w:bookmarkEnd w:id="193"/>
    <w:p>
      <w:pPr>
        <w:ind w:right="460"/>
        <w:spacing w:after="0" w:line="244"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ownership thereof to an account designated in the Withdrawal Order maintained either by the Company or an accredited intermediary, such as a bank, acting as a registrar for the Deposited Securities.</w:t>
      </w:r>
    </w:p>
    <w:p>
      <w:pPr>
        <w:spacing w:after="0" w:line="229" w:lineRule="exact"/>
        <w:rPr>
          <w:sz w:val="20"/>
          <w:szCs w:val="20"/>
          <w:color w:val="auto"/>
        </w:rPr>
      </w:pPr>
    </w:p>
    <w:p>
      <w:pPr>
        <w:ind w:firstLine="872"/>
        <w:spacing w:after="0" w:line="243" w:lineRule="auto"/>
        <w:tabs>
          <w:tab w:leader="none" w:pos="1186" w:val="left"/>
        </w:tabs>
        <w:numPr>
          <w:ilvl w:val="0"/>
          <w:numId w:val="127"/>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Substitution of ADRs</w:t>
      </w:r>
      <w:r>
        <w:rPr>
          <w:rFonts w:ascii="Trebuchet MS" w:cs="Trebuchet MS" w:eastAsia="Trebuchet MS" w:hAnsi="Trebuchet MS"/>
          <w:sz w:val="22"/>
          <w:szCs w:val="22"/>
          <w:color w:val="auto"/>
        </w:rPr>
        <w:t>. The Depositary shall execute and deliver a new Direct Registration ADR in</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exchange and substitution for any mutilated certificated ADR upon cancellation thereof or in lieu of and in substitution for such destroyed, lost or stolen certificated ADR, unless the Depositary has notice that such ADR has been acquired by a bona fide purchaser, upon the Holder thereof filing with the Depositary a request for such execution and delivery and a sufficient indemnity bond and satisfying any other reasonable requirements imposed by the Depositary.</w:t>
      </w:r>
    </w:p>
    <w:p>
      <w:pPr>
        <w:spacing w:after="0" w:line="230" w:lineRule="exact"/>
        <w:rPr>
          <w:rFonts w:ascii="Trebuchet MS" w:cs="Trebuchet MS" w:eastAsia="Trebuchet MS" w:hAnsi="Trebuchet MS"/>
          <w:sz w:val="22"/>
          <w:szCs w:val="22"/>
          <w:color w:val="auto"/>
        </w:rPr>
      </w:pPr>
    </w:p>
    <w:p>
      <w:pPr>
        <w:ind w:firstLine="872"/>
        <w:spacing w:after="0" w:line="242" w:lineRule="auto"/>
        <w:tabs>
          <w:tab w:leader="none" w:pos="1186" w:val="left"/>
        </w:tabs>
        <w:numPr>
          <w:ilvl w:val="0"/>
          <w:numId w:val="127"/>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Cancellation and Destruction of ADRs; Maintenance of Records</w:t>
      </w:r>
      <w:r>
        <w:rPr>
          <w:rFonts w:ascii="Trebuchet MS" w:cs="Trebuchet MS" w:eastAsia="Trebuchet MS" w:hAnsi="Trebuchet MS"/>
          <w:sz w:val="22"/>
          <w:szCs w:val="22"/>
          <w:color w:val="auto"/>
        </w:rPr>
        <w:t>. All ADRs surrendered to the</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Depositary shall be cancelled by the Depositary. The Depositary is authorized to destroy ADRs in certificated form so cancelled in accordance with its customary practices. The Depositary, however, shall maintain or cause its agents to maintain records of all ADRs surrendered and Deposited Securities withdrawn under Section 6 hereof and paragraph (2) of the form of ADR, substitute ADRs delivered under Section 7 hereof, and canceled or destroyed ADRs under this Section 8, in keeping with the procedures ordinarily followed by stock transfer agents located in the United States or as required by the laws or regulations governing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165" w:right="419" w:bottom="1440" w:gutter="0" w:footer="0" w:header="0"/>
        </w:sectPr>
      </w:pPr>
    </w:p>
    <w:bookmarkStart w:id="194" w:name="page195"/>
    <w:bookmarkEnd w:id="194"/>
    <w:p>
      <w:pPr>
        <w:ind w:left="1200" w:hanging="328"/>
        <w:spacing w:after="0"/>
        <w:tabs>
          <w:tab w:leader="none" w:pos="1200" w:val="left"/>
        </w:tabs>
        <w:numPr>
          <w:ilvl w:val="0"/>
          <w:numId w:val="128"/>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The Custodian</w:t>
      </w:r>
      <w:r>
        <w:rPr>
          <w:rFonts w:ascii="Trebuchet MS" w:cs="Trebuchet MS" w:eastAsia="Trebuchet MS" w:hAnsi="Trebuchet MS"/>
          <w:sz w:val="22"/>
          <w:szCs w:val="22"/>
          <w:color w:val="auto"/>
        </w:rPr>
        <w:t>.</w:t>
      </w:r>
    </w:p>
    <w:p>
      <w:pPr>
        <w:spacing w:after="0" w:line="252" w:lineRule="exact"/>
        <w:rPr>
          <w:sz w:val="20"/>
          <w:szCs w:val="20"/>
          <w:color w:val="auto"/>
        </w:rPr>
      </w:pPr>
    </w:p>
    <w:p>
      <w:pPr>
        <w:jc w:val="both"/>
        <w:ind w:right="40" w:firstLine="872"/>
        <w:spacing w:after="0" w:line="257" w:lineRule="auto"/>
        <w:tabs>
          <w:tab w:leader="none" w:pos="1784" w:val="left"/>
        </w:tabs>
        <w:numPr>
          <w:ilvl w:val="0"/>
          <w:numId w:val="129"/>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t>Rights of the Depositary</w:t>
      </w:r>
      <w:r>
        <w:rPr>
          <w:rFonts w:ascii="Trebuchet MS" w:cs="Trebuchet MS" w:eastAsia="Trebuchet MS" w:hAnsi="Trebuchet MS"/>
          <w:sz w:val="21"/>
          <w:szCs w:val="21"/>
          <w:color w:val="auto"/>
        </w:rPr>
        <w:t>. Any Custodian in acting hereunder shall be subject to the directions of</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the Depositary and shall be responsible solely to it. The Depositary reserves the right to add, replace or remove a Custodian. The Depositary will give prompt notice of any such action, which will be advance notice if practicable. The Depositary may discharge any Custodian at any time upon notice to the Custodian being discharged.</w:t>
      </w:r>
    </w:p>
    <w:p>
      <w:pPr>
        <w:spacing w:after="0" w:line="224" w:lineRule="exact"/>
        <w:rPr>
          <w:rFonts w:ascii="Trebuchet MS" w:cs="Trebuchet MS" w:eastAsia="Trebuchet MS" w:hAnsi="Trebuchet MS"/>
          <w:sz w:val="21"/>
          <w:szCs w:val="21"/>
          <w:color w:val="auto"/>
        </w:rPr>
      </w:pPr>
    </w:p>
    <w:p>
      <w:pPr>
        <w:ind w:right="20" w:firstLine="872"/>
        <w:spacing w:after="0" w:line="254" w:lineRule="auto"/>
        <w:tabs>
          <w:tab w:leader="none" w:pos="1790" w:val="left"/>
        </w:tabs>
        <w:numPr>
          <w:ilvl w:val="0"/>
          <w:numId w:val="129"/>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t xml:space="preserve">Rights of the Custodian. </w:t>
      </w:r>
      <w:r>
        <w:rPr>
          <w:rFonts w:ascii="Trebuchet MS" w:cs="Trebuchet MS" w:eastAsia="Trebuchet MS" w:hAnsi="Trebuchet MS"/>
          <w:sz w:val="21"/>
          <w:szCs w:val="21"/>
          <w:color w:val="auto"/>
        </w:rPr>
        <w:t>Any Custodian may resign from its duties hereunder by providing at</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least 30 days' prior written notice to the Depositary. Any Custodian ceasing to act hereunder as Custodian shall deliver, upon the instruction of the Depositary, all Deposited Securities held by it to a Custodian continuing to act. Notwithstanding anything to the contrary contained in this Deposit Agreement (including the ADRs) and, subject to the further limitations set forth in subparagraph (p) of paragraph (14) of the form of ADR (</w:t>
      </w:r>
      <w:r>
        <w:rPr>
          <w:rFonts w:ascii="Trebuchet MS" w:cs="Trebuchet MS" w:eastAsia="Trebuchet MS" w:hAnsi="Trebuchet MS"/>
          <w:sz w:val="21"/>
          <w:szCs w:val="21"/>
          <w:i w:val="1"/>
          <w:iCs w:val="1"/>
          <w:color w:val="auto"/>
        </w:rPr>
        <w:t>Exoneration</w:t>
      </w:r>
      <w:r>
        <w:rPr>
          <w:rFonts w:ascii="Trebuchet MS" w:cs="Trebuchet MS" w:eastAsia="Trebuchet MS" w:hAnsi="Trebuchet MS"/>
          <w:sz w:val="21"/>
          <w:szCs w:val="21"/>
          <w:color w:val="auto"/>
        </w:rPr>
        <w:t>),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219" w:lineRule="exact"/>
        <w:rPr>
          <w:sz w:val="20"/>
          <w:szCs w:val="20"/>
          <w:color w:val="auto"/>
        </w:rPr>
      </w:pPr>
    </w:p>
    <w:p>
      <w:pPr>
        <w:ind w:right="80" w:firstLine="872"/>
        <w:spacing w:after="0" w:line="243" w:lineRule="auto"/>
        <w:tabs>
          <w:tab w:leader="none" w:pos="1300" w:val="left"/>
        </w:tabs>
        <w:numPr>
          <w:ilvl w:val="0"/>
          <w:numId w:val="130"/>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Lists of Holders</w:t>
      </w:r>
      <w:r>
        <w:rPr>
          <w:rFonts w:ascii="Trebuchet MS" w:cs="Trebuchet MS" w:eastAsia="Trebuchet MS" w:hAnsi="Trebuchet MS"/>
          <w:sz w:val="22"/>
          <w:szCs w:val="22"/>
          <w:color w:val="auto"/>
        </w:rPr>
        <w:t>. The Company shall have the right to inspect transfer records of the Depositary and</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its agents and the ADR Register, take copies thereof and require the Depositary and its agents to supply copies of such portions of such records as the Company may request. The Depositary or its agent shall furnish to the Company promptly upon the written request of the Company, a list of the names, addresses and holdings of ADSs by all Holders as of a date within seven days of the Depositary's receipt of such request.</w:t>
      </w:r>
    </w:p>
    <w:p>
      <w:pPr>
        <w:spacing w:after="0" w:line="232" w:lineRule="exact"/>
        <w:rPr>
          <w:rFonts w:ascii="Trebuchet MS" w:cs="Trebuchet MS" w:eastAsia="Trebuchet MS" w:hAnsi="Trebuchet MS"/>
          <w:sz w:val="22"/>
          <w:szCs w:val="22"/>
          <w:color w:val="auto"/>
        </w:rPr>
      </w:pPr>
    </w:p>
    <w:p>
      <w:pPr>
        <w:ind w:firstLine="872"/>
        <w:spacing w:after="0" w:line="244" w:lineRule="auto"/>
        <w:tabs>
          <w:tab w:leader="none" w:pos="1300" w:val="left"/>
        </w:tabs>
        <w:numPr>
          <w:ilvl w:val="0"/>
          <w:numId w:val="130"/>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Depositary's Agents</w:t>
      </w:r>
      <w:r>
        <w:rPr>
          <w:rFonts w:ascii="Trebuchet MS" w:cs="Trebuchet MS" w:eastAsia="Trebuchet MS" w:hAnsi="Trebuchet MS"/>
          <w:sz w:val="22"/>
          <w:szCs w:val="22"/>
          <w:color w:val="auto"/>
        </w:rPr>
        <w:t>. The Depositary may perform its obligations under this Deposit Agreement</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through any agent appointed by it, provided that the Depositary shall notify the Company of such appointment and shall remain responsible for the performance of such obligations as if no agent were appointed, subject to paragraph (14) of the form of ADR (</w:t>
      </w:r>
      <w:r>
        <w:rPr>
          <w:rFonts w:ascii="Trebuchet MS" w:cs="Trebuchet MS" w:eastAsia="Trebuchet MS" w:hAnsi="Trebuchet MS"/>
          <w:sz w:val="22"/>
          <w:szCs w:val="22"/>
          <w:i w:val="1"/>
          <w:iCs w:val="1"/>
          <w:color w:val="auto"/>
        </w:rPr>
        <w:t>Exoneration</w:t>
      </w:r>
      <w:r>
        <w:rPr>
          <w:rFonts w:ascii="Trebuchet MS" w:cs="Trebuchet MS" w:eastAsia="Trebuchet MS" w:hAnsi="Trebuchet MS"/>
          <w:sz w:val="22"/>
          <w:szCs w:val="22"/>
          <w:color w:val="auto"/>
        </w:rPr>
        <w:t>).</w:t>
      </w:r>
    </w:p>
    <w:p>
      <w:pPr>
        <w:spacing w:after="0" w:line="230" w:lineRule="exact"/>
        <w:rPr>
          <w:rFonts w:ascii="Trebuchet MS" w:cs="Trebuchet MS" w:eastAsia="Trebuchet MS" w:hAnsi="Trebuchet MS"/>
          <w:sz w:val="22"/>
          <w:szCs w:val="22"/>
          <w:color w:val="auto"/>
        </w:rPr>
      </w:pPr>
    </w:p>
    <w:p>
      <w:pPr>
        <w:ind w:left="1300" w:hanging="428"/>
        <w:spacing w:after="0"/>
        <w:tabs>
          <w:tab w:leader="none" w:pos="1300" w:val="left"/>
        </w:tabs>
        <w:numPr>
          <w:ilvl w:val="0"/>
          <w:numId w:val="130"/>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Resignation and Removal of the Depositary; Appointment of Successor Depositary</w:t>
      </w:r>
      <w:r>
        <w:rPr>
          <w:rFonts w:ascii="Trebuchet MS" w:cs="Trebuchet MS" w:eastAsia="Trebuchet MS" w:hAnsi="Trebuchet MS"/>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195" w:name="page196"/>
    <w:bookmarkEnd w:id="195"/>
    <w:p>
      <w:pPr>
        <w:ind w:right="260" w:firstLine="872"/>
        <w:spacing w:after="0" w:line="259" w:lineRule="auto"/>
        <w:tabs>
          <w:tab w:leader="none" w:pos="1784" w:val="left"/>
        </w:tabs>
        <w:numPr>
          <w:ilvl w:val="1"/>
          <w:numId w:val="131"/>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Resignation of the Depositary</w:t>
      </w:r>
      <w:r>
        <w:rPr>
          <w:rFonts w:ascii="Trebuchet MS" w:cs="Trebuchet MS" w:eastAsia="Trebuchet MS" w:hAnsi="Trebuchet MS"/>
          <w:sz w:val="21"/>
          <w:szCs w:val="21"/>
          <w:color w:val="auto"/>
        </w:rPr>
        <w:t>. The Depositary may at any time resign as Depositary hereunder</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by written notice of its election to do so delivered to the Company, such resignation to take effect upon the appointment of a successor depositary and its acceptance of such appointment as hereinafter provided.</w:t>
      </w:r>
    </w:p>
    <w:p>
      <w:pPr>
        <w:spacing w:after="0" w:line="236" w:lineRule="exact"/>
        <w:rPr>
          <w:rFonts w:ascii="Trebuchet MS" w:cs="Trebuchet MS" w:eastAsia="Trebuchet MS" w:hAnsi="Trebuchet MS"/>
          <w:sz w:val="21"/>
          <w:szCs w:val="21"/>
          <w:color w:val="auto"/>
        </w:rPr>
      </w:pPr>
    </w:p>
    <w:p>
      <w:pPr>
        <w:ind w:firstLine="872"/>
        <w:spacing w:after="0" w:line="241" w:lineRule="auto"/>
        <w:tabs>
          <w:tab w:leader="none" w:pos="1790" w:val="left"/>
        </w:tabs>
        <w:numPr>
          <w:ilvl w:val="1"/>
          <w:numId w:val="131"/>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Removal of the Depositary</w:t>
      </w:r>
      <w:r>
        <w:rPr>
          <w:rFonts w:ascii="Trebuchet MS" w:cs="Trebuchet MS" w:eastAsia="Trebuchet MS" w:hAnsi="Trebuchet MS"/>
          <w:sz w:val="22"/>
          <w:szCs w:val="22"/>
          <w:color w:val="auto"/>
        </w:rPr>
        <w:t>. The Depositary may at any time be removed by the Company by</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providing no less than 60 days' prior written notice of such removal to the Depositary, such removal to take effect on the later of (i) the 60</w:t>
      </w:r>
      <w:r>
        <w:rPr>
          <w:rFonts w:ascii="Trebuchet MS" w:cs="Trebuchet MS" w:eastAsia="Trebuchet MS" w:hAnsi="Trebuchet MS"/>
          <w:sz w:val="18"/>
          <w:szCs w:val="18"/>
          <w:color w:val="auto"/>
        </w:rPr>
        <w:t>th</w:t>
      </w:r>
      <w:r>
        <w:rPr>
          <w:rFonts w:ascii="Trebuchet MS" w:cs="Trebuchet MS" w:eastAsia="Trebuchet MS" w:hAnsi="Trebuchet MS"/>
          <w:sz w:val="22"/>
          <w:szCs w:val="22"/>
          <w:color w:val="auto"/>
        </w:rPr>
        <w:t xml:space="preserve"> day after such notice of removal is first provided and (ii) the appointment of a successor depositary and its acceptance of such appointment as hereinafter provided. Notwithstanding the foregoing, if upon the resignation or removal of the Depositary a successor depositary is not appointed within the applicable 60-day period as specified in paragraph (17) of the form of ADR (</w:t>
      </w:r>
      <w:r>
        <w:rPr>
          <w:rFonts w:ascii="Trebuchet MS" w:cs="Trebuchet MS" w:eastAsia="Trebuchet MS" w:hAnsi="Trebuchet MS"/>
          <w:sz w:val="22"/>
          <w:szCs w:val="22"/>
          <w:i w:val="1"/>
          <w:iCs w:val="1"/>
          <w:color w:val="auto"/>
        </w:rPr>
        <w:t>Termination</w:t>
      </w:r>
      <w:r>
        <w:rPr>
          <w:rFonts w:ascii="Trebuchet MS" w:cs="Trebuchet MS" w:eastAsia="Trebuchet MS" w:hAnsi="Trebuchet MS"/>
          <w:sz w:val="22"/>
          <w:szCs w:val="22"/>
          <w:color w:val="auto"/>
        </w:rPr>
        <w:t>), then the Depositary may elect to terminate this Deposit Agreement and the ADR and the provisions of said paragraph (17) shall thereafter govern the Depositary's obligations hereunder.</w:t>
      </w:r>
    </w:p>
    <w:p>
      <w:pPr>
        <w:spacing w:after="0" w:line="242" w:lineRule="exact"/>
        <w:rPr>
          <w:rFonts w:ascii="Trebuchet MS" w:cs="Trebuchet MS" w:eastAsia="Trebuchet MS" w:hAnsi="Trebuchet MS"/>
          <w:sz w:val="22"/>
          <w:szCs w:val="22"/>
          <w:color w:val="auto"/>
        </w:rPr>
      </w:pPr>
    </w:p>
    <w:p>
      <w:pPr>
        <w:ind w:right="140" w:firstLine="872"/>
        <w:spacing w:after="0" w:line="252" w:lineRule="auto"/>
        <w:tabs>
          <w:tab w:leader="none" w:pos="1777" w:val="left"/>
        </w:tabs>
        <w:numPr>
          <w:ilvl w:val="1"/>
          <w:numId w:val="131"/>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t>Appointment of Successor Depositary</w:t>
      </w:r>
      <w:r>
        <w:rPr>
          <w:rFonts w:ascii="Trebuchet MS" w:cs="Trebuchet MS" w:eastAsia="Trebuchet MS" w:hAnsi="Trebuchet MS"/>
          <w:sz w:val="21"/>
          <w:szCs w:val="21"/>
          <w:color w:val="auto"/>
        </w:rPr>
        <w:t>. In case at any time the Depositary acting hereunder shall</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resign or be removed, the Company shall use its 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only upon payment of all sums due to it and on the written request of the Company, shall (i) execute and deliver an instrument transferring to such successor all rights and powers of such predecessor hereunder (other than its rights to indemnification and fees owing, each of which shall survive any such removal and/or resignation),</w:t>
      </w:r>
    </w:p>
    <w:p>
      <w:pPr>
        <w:spacing w:after="0" w:line="4" w:lineRule="exact"/>
        <w:rPr>
          <w:rFonts w:ascii="Trebuchet MS" w:cs="Trebuchet MS" w:eastAsia="Trebuchet MS" w:hAnsi="Trebuchet MS"/>
          <w:sz w:val="21"/>
          <w:szCs w:val="21"/>
          <w:color w:val="auto"/>
        </w:rPr>
      </w:pPr>
    </w:p>
    <w:p>
      <w:pPr>
        <w:ind w:left="360" w:hanging="352"/>
        <w:spacing w:after="0"/>
        <w:tabs>
          <w:tab w:leader="none" w:pos="360" w:val="left"/>
        </w:tabs>
        <w:numPr>
          <w:ilvl w:val="0"/>
          <w:numId w:val="132"/>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duly assign, transfer and deliver all right, title and interest to the Deposited Securities to such successor, and</w:t>
      </w:r>
    </w:p>
    <w:p>
      <w:pPr>
        <w:spacing w:after="0" w:line="1" w:lineRule="exact"/>
        <w:rPr>
          <w:rFonts w:ascii="Trebuchet MS" w:cs="Trebuchet MS" w:eastAsia="Trebuchet MS" w:hAnsi="Trebuchet MS"/>
          <w:sz w:val="22"/>
          <w:szCs w:val="22"/>
          <w:color w:val="auto"/>
        </w:rPr>
      </w:pPr>
    </w:p>
    <w:p>
      <w:pPr>
        <w:ind w:right="160" w:firstLine="8"/>
        <w:spacing w:after="0" w:line="241" w:lineRule="auto"/>
        <w:tabs>
          <w:tab w:leader="none" w:pos="408" w:val="left"/>
        </w:tabs>
        <w:numPr>
          <w:ilvl w:val="0"/>
          <w:numId w:val="132"/>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deliver to such successor a list of the Holders of all outstanding ADRs. Any such successor depositary shall promptly mail notice of its appointment to such Holders. Any bank or trust company into or with which the Depositary may be merged or consolidated, or to which the Depositary shall transfer substantially all its American depositary receipt business, shall be the successor of the Depositary without the execution or filing of any document or any further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96" w:name="page197"/>
    <w:bookmarkEnd w:id="196"/>
    <w:p>
      <w:pPr>
        <w:ind w:right="60" w:firstLine="872"/>
        <w:spacing w:after="0" w:line="242" w:lineRule="auto"/>
        <w:tabs>
          <w:tab w:leader="none" w:pos="1300" w:val="left"/>
        </w:tabs>
        <w:numPr>
          <w:ilvl w:val="0"/>
          <w:numId w:val="133"/>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 xml:space="preserve">Reports. </w:t>
      </w:r>
      <w:r>
        <w:rPr>
          <w:rFonts w:ascii="Trebuchet MS" w:cs="Trebuchet MS" w:eastAsia="Trebuchet MS" w:hAnsi="Trebuchet MS"/>
          <w:sz w:val="22"/>
          <w:szCs w:val="22"/>
          <w:color w:val="auto"/>
        </w:rPr>
        <w:t>On or before the first date on which the Company makes any communication available to</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holders of Deposited Securities or any securities regulatory authority or stock exchange, by publication or otherwise, the Company shall transmit to the Depositary a copy thereof in English or with an English translation or summary. The Company has delivered to the Depositary, the Custodian and any Transfer Office, a copy of all provisions of or governing the Shares and any other Deposited Securities issued by the Company or any affiliate of the Company and, promptly upon any change thereto, the Company shall deliver to the Depositary, the Custodian and any Transfer Office, a copy (in English or with an English translation) of such provisions as so changed. The Depositary and its agents may rely upon the Company's delivery of all such communications, information and provisions for all purposes of this Deposit Agreement and the Depositary shall have no liability for the accuracy or completeness of any thereof.</w:t>
      </w:r>
    </w:p>
    <w:p>
      <w:pPr>
        <w:spacing w:after="0" w:line="232" w:lineRule="exact"/>
        <w:rPr>
          <w:rFonts w:ascii="Trebuchet MS" w:cs="Trebuchet MS" w:eastAsia="Trebuchet MS" w:hAnsi="Trebuchet MS"/>
          <w:sz w:val="22"/>
          <w:szCs w:val="22"/>
          <w:color w:val="auto"/>
        </w:rPr>
      </w:pPr>
    </w:p>
    <w:p>
      <w:pPr>
        <w:ind w:right="80" w:firstLine="872"/>
        <w:spacing w:after="0" w:line="241" w:lineRule="auto"/>
        <w:tabs>
          <w:tab w:leader="none" w:pos="1300" w:val="left"/>
        </w:tabs>
        <w:numPr>
          <w:ilvl w:val="0"/>
          <w:numId w:val="133"/>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Additional Shares</w:t>
      </w:r>
      <w:r>
        <w:rPr>
          <w:rFonts w:ascii="Trebuchet MS" w:cs="Trebuchet MS" w:eastAsia="Trebuchet MS" w:hAnsi="Trebuchet MS"/>
          <w:sz w:val="22"/>
          <w:szCs w:val="22"/>
          <w:color w:val="auto"/>
        </w:rPr>
        <w:t>. The Company agrees with the Depositary that neither the Company, nor any</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company controlling, controlled by or under common control with the Company, shall (a) issue (i) additional Shares, (ii) rights to subscribe for Shares, (iii) securities convertible into or exchangeable for Shares or (iv) rights to subscribe for any such securities or (b) deposit any Shares under this Deposit Agreement, except, in each case, under circumstances complying in all respects with the Securities Act of 1933. At the reasonable request of the Depositary where it deems necessary, the Company will furnish the Depositary with legal opinions, in forms and from counsels reasonably acceptable to the Depositary, dealing with such issues requested by the Depositary. The Depositary will not knowingly accept for deposit hereunder any Shares required to be registered under the Securities Act of 1933 unless a registration statement is in effect and will use reasonable efforts to comply with written instructions of the Company not to accept for deposit hereunder any Shares identified in such instructions at such times and under such circumstances as may reasonably be specified in such instructions in order to facilitate the Company's compliance with the requirements of the securities laws, rules and regulations in the United States.</w:t>
      </w:r>
    </w:p>
    <w:p>
      <w:pPr>
        <w:spacing w:after="0" w:line="242" w:lineRule="exact"/>
        <w:rPr>
          <w:rFonts w:ascii="Trebuchet MS" w:cs="Trebuchet MS" w:eastAsia="Trebuchet MS" w:hAnsi="Trebuchet MS"/>
          <w:sz w:val="22"/>
          <w:szCs w:val="22"/>
          <w:color w:val="auto"/>
        </w:rPr>
      </w:pPr>
    </w:p>
    <w:p>
      <w:pPr>
        <w:ind w:left="1300" w:hanging="428"/>
        <w:spacing w:after="0"/>
        <w:tabs>
          <w:tab w:leader="none" w:pos="1300" w:val="left"/>
        </w:tabs>
        <w:numPr>
          <w:ilvl w:val="0"/>
          <w:numId w:val="133"/>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Indemnification.</w:t>
      </w:r>
    </w:p>
    <w:p>
      <w:pPr>
        <w:spacing w:after="0" w:line="252" w:lineRule="exact"/>
        <w:rPr>
          <w:sz w:val="20"/>
          <w:szCs w:val="20"/>
          <w:color w:val="auto"/>
        </w:rPr>
      </w:pPr>
    </w:p>
    <w:p>
      <w:pPr>
        <w:ind w:firstLine="872"/>
        <w:spacing w:after="0" w:line="241" w:lineRule="auto"/>
        <w:tabs>
          <w:tab w:leader="none" w:pos="1784" w:val="left"/>
        </w:tabs>
        <w:numPr>
          <w:ilvl w:val="0"/>
          <w:numId w:val="134"/>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Indemnification by the Company</w:t>
      </w:r>
      <w:r>
        <w:rPr>
          <w:rFonts w:ascii="Trebuchet MS" w:cs="Trebuchet MS" w:eastAsia="Trebuchet MS" w:hAnsi="Trebuchet MS"/>
          <w:sz w:val="22"/>
          <w:szCs w:val="22"/>
          <w:color w:val="auto"/>
        </w:rPr>
        <w:t>. Subject to the limitations set forth in Section 15(c) below, the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Company shall indemnify, defend and hold harmless each of the Depositary, the Custodian and their respective directors, officers, employees, agents and affiliates against any loss, liability or expense (including reasonable fees and expenses of counsel) which may arise out of acts performed or omitted in connection with the provisions of this Deposit Agreement and of the ADRs, as the same may be amended, modified or supplemented from time to time in accordance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373" w:right="399" w:bottom="1440" w:gutter="0" w:footer="0" w:header="0"/>
        </w:sectPr>
      </w:pPr>
    </w:p>
    <w:bookmarkStart w:id="197" w:name="page198"/>
    <w:bookmarkEnd w:id="197"/>
    <w:p>
      <w:pPr>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herewith (i) by either the Depositary or a Custodian or their respective directors, officers, employees, agents and affiliates, except for any liability or expense directly arising out of the negligence or willful misconduct of the Depositary or its directors, officers or affiliates acting in their capacities as such hereunder, or (ii) by the Company or any of its directors, officers, employees, agents and affiliates.</w:t>
      </w:r>
    </w:p>
    <w:p>
      <w:pPr>
        <w:spacing w:after="0" w:line="239" w:lineRule="exact"/>
        <w:rPr>
          <w:sz w:val="20"/>
          <w:szCs w:val="20"/>
          <w:color w:val="auto"/>
        </w:rPr>
      </w:pPr>
    </w:p>
    <w:p>
      <w:pPr>
        <w:ind w:right="100" w:firstLine="864"/>
        <w:spacing w:after="0" w:line="241" w:lineRule="auto"/>
        <w:rPr>
          <w:sz w:val="20"/>
          <w:szCs w:val="20"/>
          <w:color w:val="auto"/>
        </w:rPr>
      </w:pPr>
      <w:r>
        <w:rPr>
          <w:rFonts w:ascii="Trebuchet MS" w:cs="Trebuchet MS" w:eastAsia="Trebuchet MS" w:hAnsi="Trebuchet MS"/>
          <w:sz w:val="22"/>
          <w:szCs w:val="22"/>
          <w:color w:val="auto"/>
        </w:rPr>
        <w:t>The indemnities set forth in the preceding paragraph shall also apply to any liability or expense which may arise out of any misstatement or alleged misstatement or omission or alleged omission in any registration statement, proxy statement, prospectus (or placement memorandum), or preliminary prospectus (or preliminary placement memorandum) relating to the offer, issuance, withdrawal or sale of ADSs or the deposit, withdrawal, offer or sale of Shares in connection therewith, except to the extent any such liability or expense arises out of (i) information relating to the Depositary or its agents (other than the Company), as applicable, furnished in writing by the Depositary expressly for use in any of the foregoing documents and not changed or altered by the Company or any other person (other than the Depositary) or (ii) if such information is provided, the failure to state a material fact therein necessary to make the information provided, in the light of the circumstances under which provided, not misleading.</w:t>
      </w:r>
    </w:p>
    <w:p>
      <w:pPr>
        <w:spacing w:after="0" w:line="243" w:lineRule="exact"/>
        <w:rPr>
          <w:sz w:val="20"/>
          <w:szCs w:val="20"/>
          <w:color w:val="auto"/>
        </w:rPr>
      </w:pPr>
    </w:p>
    <w:p>
      <w:pPr>
        <w:ind w:right="200" w:firstLine="872"/>
        <w:spacing w:after="0" w:line="241" w:lineRule="auto"/>
        <w:tabs>
          <w:tab w:leader="none" w:pos="1856" w:val="left"/>
        </w:tabs>
        <w:numPr>
          <w:ilvl w:val="0"/>
          <w:numId w:val="135"/>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 xml:space="preserve">Indemnification by the Depositary. </w:t>
      </w:r>
      <w:r>
        <w:rPr>
          <w:rFonts w:ascii="Trebuchet MS" w:cs="Trebuchet MS" w:eastAsia="Trebuchet MS" w:hAnsi="Trebuchet MS"/>
          <w:sz w:val="22"/>
          <w:szCs w:val="22"/>
          <w:color w:val="auto"/>
        </w:rPr>
        <w:t>Subject to the limitations provided for in Section 15(c)</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below, the Depositary shall indemnify, defend and hold harmless the Company against any direct loss, liability or expense (including reasonable fees and expenses of counsel) incurred by the Company in respect of this Deposit Agreement to the extent such loss, liability or expense is due to the negligence or willful misconduct of the Depositary.</w:t>
      </w:r>
    </w:p>
    <w:p>
      <w:pPr>
        <w:spacing w:after="0" w:line="242" w:lineRule="exact"/>
        <w:rPr>
          <w:rFonts w:ascii="Trebuchet MS" w:cs="Trebuchet MS" w:eastAsia="Trebuchet MS" w:hAnsi="Trebuchet MS"/>
          <w:sz w:val="22"/>
          <w:szCs w:val="22"/>
          <w:color w:val="auto"/>
        </w:rPr>
      </w:pPr>
    </w:p>
    <w:p>
      <w:pPr>
        <w:ind w:right="100" w:firstLine="872"/>
        <w:spacing w:after="0" w:line="256" w:lineRule="auto"/>
        <w:tabs>
          <w:tab w:leader="none" w:pos="1842" w:val="left"/>
        </w:tabs>
        <w:numPr>
          <w:ilvl w:val="0"/>
          <w:numId w:val="135"/>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t>Damages or Lost Profits</w:t>
      </w:r>
      <w:r>
        <w:rPr>
          <w:rFonts w:ascii="Trebuchet MS" w:cs="Trebuchet MS" w:eastAsia="Trebuchet MS" w:hAnsi="Trebuchet MS"/>
          <w:sz w:val="21"/>
          <w:szCs w:val="21"/>
          <w:color w:val="auto"/>
        </w:rPr>
        <w:t>. Notwithstanding any other provision of this Deposit Agreement or the</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ADRs to the contrary,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and Beneficial Owners of ADRs and ADSs), whether or not foreseeable and regardless of the type of action in which such a claim may be brought.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198" w:name="page199"/>
    <w:bookmarkEnd w:id="198"/>
    <w:p>
      <w:pPr>
        <w:ind w:right="40" w:firstLine="872"/>
        <w:spacing w:after="0" w:line="253" w:lineRule="auto"/>
        <w:tabs>
          <w:tab w:leader="none" w:pos="1790" w:val="left"/>
        </w:tabs>
        <w:numPr>
          <w:ilvl w:val="0"/>
          <w:numId w:val="136"/>
        </w:numPr>
        <w:rPr>
          <w:rFonts w:ascii="Trebuchet MS" w:cs="Trebuchet MS" w:eastAsia="Trebuchet MS" w:hAnsi="Trebuchet MS"/>
          <w:sz w:val="21"/>
          <w:szCs w:val="21"/>
          <w:i w:val="1"/>
          <w:iCs w:val="1"/>
          <w:color w:val="auto"/>
        </w:rPr>
      </w:pPr>
      <w:r>
        <w:rPr>
          <w:rFonts w:ascii="Trebuchet MS" w:cs="Trebuchet MS" w:eastAsia="Trebuchet MS" w:hAnsi="Trebuchet MS"/>
          <w:sz w:val="21"/>
          <w:szCs w:val="21"/>
          <w:i w:val="1"/>
          <w:iCs w:val="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Notification</w:t>
      </w:r>
      <w:r>
        <w:rPr>
          <w:rFonts w:ascii="Trebuchet MS" w:cs="Trebuchet MS" w:eastAsia="Trebuchet MS" w:hAnsi="Trebuchet MS"/>
          <w:sz w:val="21"/>
          <w:szCs w:val="21"/>
          <w:color w:val="auto"/>
        </w:rPr>
        <w:t>. In case any proceeding shall be instituted involving any person in respect of which</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indemnity may be sought under this Section 15, such person (an “</w:t>
      </w:r>
      <w:r>
        <w:rPr>
          <w:rFonts w:ascii="Trebuchet MS" w:cs="Trebuchet MS" w:eastAsia="Trebuchet MS" w:hAnsi="Trebuchet MS"/>
          <w:sz w:val="21"/>
          <w:szCs w:val="21"/>
          <w:b w:val="1"/>
          <w:bCs w:val="1"/>
          <w:color w:val="auto"/>
        </w:rPr>
        <w:t>indemnified person</w:t>
      </w:r>
      <w:r>
        <w:rPr>
          <w:rFonts w:ascii="Trebuchet MS" w:cs="Trebuchet MS" w:eastAsia="Trebuchet MS" w:hAnsi="Trebuchet MS"/>
          <w:sz w:val="21"/>
          <w:szCs w:val="21"/>
          <w:color w:val="auto"/>
        </w:rPr>
        <w:t>”) shall promptly notify the person against whom such indemnity may be sought (the “</w:t>
      </w:r>
      <w:r>
        <w:rPr>
          <w:rFonts w:ascii="Trebuchet MS" w:cs="Trebuchet MS" w:eastAsia="Trebuchet MS" w:hAnsi="Trebuchet MS"/>
          <w:sz w:val="21"/>
          <w:szCs w:val="21"/>
          <w:b w:val="1"/>
          <w:bCs w:val="1"/>
          <w:color w:val="auto"/>
        </w:rPr>
        <w:t>indemnifying person”</w:t>
      </w:r>
      <w:r>
        <w:rPr>
          <w:rFonts w:ascii="Trebuchet MS" w:cs="Trebuchet MS" w:eastAsia="Trebuchet MS" w:hAnsi="Trebuchet MS"/>
          <w:sz w:val="21"/>
          <w:szCs w:val="21"/>
          <w:color w:val="auto"/>
        </w:rPr>
        <w:t xml:space="preserve">); </w:t>
      </w:r>
      <w:r>
        <w:rPr>
          <w:rFonts w:ascii="Trebuchet MS" w:cs="Trebuchet MS" w:eastAsia="Trebuchet MS" w:hAnsi="Trebuchet MS"/>
          <w:sz w:val="21"/>
          <w:szCs w:val="21"/>
          <w:i w:val="1"/>
          <w:iCs w:val="1"/>
          <w:color w:val="auto"/>
        </w:rPr>
        <w:t>provided, however</w:t>
      </w:r>
      <w:r>
        <w:rPr>
          <w:rFonts w:ascii="Trebuchet MS" w:cs="Trebuchet MS" w:eastAsia="Trebuchet MS" w:hAnsi="Trebuchet MS"/>
          <w:sz w:val="21"/>
          <w:szCs w:val="21"/>
          <w:color w:val="auto"/>
        </w:rPr>
        <w:t xml:space="preserve">, that the failure to notify the indemnifying party shall not relieve the indemnifying party from liability that it may have under this Section 15 except and only to the limited extent the indemnifying person is materially prejudiced by such failure through the forfeiture of substantive rights or defenses) by such failure; and </w:t>
      </w:r>
      <w:r>
        <w:rPr>
          <w:rFonts w:ascii="Trebuchet MS" w:cs="Trebuchet MS" w:eastAsia="Trebuchet MS" w:hAnsi="Trebuchet MS"/>
          <w:sz w:val="21"/>
          <w:szCs w:val="21"/>
          <w:i w:val="1"/>
          <w:iCs w:val="1"/>
          <w:color w:val="auto"/>
        </w:rPr>
        <w:t>provided, further</w:t>
      </w:r>
      <w:r>
        <w:rPr>
          <w:rFonts w:ascii="Trebuchet MS" w:cs="Trebuchet MS" w:eastAsia="Trebuchet MS" w:hAnsi="Trebuchet MS"/>
          <w:sz w:val="21"/>
          <w:szCs w:val="21"/>
          <w:color w:val="auto"/>
        </w:rPr>
        <w:t>, that the failure to notify the indemnifying party shall not relieve the indemnifying party from any liability that it may have to an indemnified party otherwise than under this Section 15. No indemnifying person shall be liable for any settlement of any proceeding effected without its written consent (which consent shall not be unreasonably withheld, delayed or conditioned), but if settled with such indemnifying person’s written consent or if there is a final and non-appealable judgment by a court of competent jurisdiction in any such proceeding, the indemnifying person agrees to indemnify and hold harmless each indemnified person from and against any and all losses, claims, damages, liabilities and reasonable legal or other out-of-pocket expenses by reason of such settlement or judgment in accordance with and to the extent provided in the other provisions herein. No indemnifying person shall, without the prior written consent of any indemnified person, effect any settlement of any pending or threatened proceedings in respect of which indemnity could have been sought hereunder by such indemnified person unless such settlement (i) includes an unconditional release of such indemnified person in form and substance reasonably satisfactory to such indemnified person from all liability or claims that are the subject matter of such proceedings and (ii) does not include any statement as to or any admission of fault, culpability, wrong doing or a failure to act by or on behalf of any indemnified person.</w:t>
      </w:r>
    </w:p>
    <w:p>
      <w:pPr>
        <w:spacing w:after="0" w:line="231" w:lineRule="exact"/>
        <w:rPr>
          <w:rFonts w:ascii="Trebuchet MS" w:cs="Trebuchet MS" w:eastAsia="Trebuchet MS" w:hAnsi="Trebuchet MS"/>
          <w:sz w:val="21"/>
          <w:szCs w:val="21"/>
          <w:i w:val="1"/>
          <w:iCs w:val="1"/>
          <w:color w:val="auto"/>
        </w:rPr>
      </w:pPr>
    </w:p>
    <w:p>
      <w:pPr>
        <w:ind w:right="20" w:firstLine="872"/>
        <w:spacing w:after="0" w:line="244" w:lineRule="auto"/>
        <w:tabs>
          <w:tab w:leader="none" w:pos="1788" w:val="left"/>
        </w:tabs>
        <w:numPr>
          <w:ilvl w:val="0"/>
          <w:numId w:val="136"/>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 xml:space="preserve">Survival. </w:t>
      </w:r>
      <w:r>
        <w:rPr>
          <w:rFonts w:ascii="Trebuchet MS" w:cs="Trebuchet MS" w:eastAsia="Trebuchet MS" w:hAnsi="Trebuchet MS"/>
          <w:sz w:val="22"/>
          <w:szCs w:val="22"/>
          <w:color w:val="auto"/>
        </w:rPr>
        <w:t>The obligations set forth in this Section 15 shall survive the termination of this Deposit</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Agreement and the succession or substitution of any indemnified person.</w:t>
      </w:r>
    </w:p>
    <w:p>
      <w:pPr>
        <w:spacing w:after="0" w:line="229" w:lineRule="exact"/>
        <w:rPr>
          <w:sz w:val="20"/>
          <w:szCs w:val="20"/>
          <w:color w:val="auto"/>
        </w:rPr>
      </w:pPr>
    </w:p>
    <w:p>
      <w:pPr>
        <w:ind w:left="1300" w:hanging="428"/>
        <w:spacing w:after="0"/>
        <w:tabs>
          <w:tab w:leader="none" w:pos="1300" w:val="left"/>
        </w:tabs>
        <w:numPr>
          <w:ilvl w:val="0"/>
          <w:numId w:val="137"/>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Notices</w:t>
      </w:r>
      <w:r>
        <w:rPr>
          <w:rFonts w:ascii="Trebuchet MS" w:cs="Trebuchet MS" w:eastAsia="Trebuchet MS" w:hAnsi="Trebuchet MS"/>
          <w:sz w:val="22"/>
          <w:szCs w:val="22"/>
          <w:color w:val="auto"/>
        </w:rPr>
        <w:t>.</w:t>
      </w:r>
    </w:p>
    <w:p>
      <w:pPr>
        <w:spacing w:after="0" w:line="252" w:lineRule="exact"/>
        <w:rPr>
          <w:sz w:val="20"/>
          <w:szCs w:val="20"/>
          <w:color w:val="auto"/>
        </w:rPr>
      </w:pPr>
    </w:p>
    <w:p>
      <w:pPr>
        <w:ind w:firstLine="864"/>
        <w:spacing w:after="0" w:line="241" w:lineRule="auto"/>
        <w:rPr>
          <w:sz w:val="20"/>
          <w:szCs w:val="20"/>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i w:val="1"/>
          <w:iCs w:val="1"/>
          <w:color w:val="auto"/>
        </w:rPr>
        <w:t>a</w:t>
      </w:r>
      <w:r>
        <w:rPr>
          <w:rFonts w:ascii="Trebuchet MS" w:cs="Trebuchet MS" w:eastAsia="Trebuchet MS" w:hAnsi="Trebuchet MS"/>
          <w:sz w:val="22"/>
          <w:szCs w:val="22"/>
          <w:color w:val="auto"/>
        </w:rPr>
        <w:t xml:space="preserve">) </w:t>
      </w:r>
      <w:r>
        <w:rPr>
          <w:rFonts w:ascii="Trebuchet MS" w:cs="Trebuchet MS" w:eastAsia="Trebuchet MS" w:hAnsi="Trebuchet MS"/>
          <w:sz w:val="22"/>
          <w:szCs w:val="22"/>
          <w:i w:val="1"/>
          <w:iCs w:val="1"/>
          <w:color w:val="auto"/>
        </w:rPr>
        <w:t>Notice to Holders</w:t>
      </w:r>
      <w:r>
        <w:rPr>
          <w:rFonts w:ascii="Trebuchet MS" w:cs="Trebuchet MS" w:eastAsia="Trebuchet MS" w:hAnsi="Trebuchet MS"/>
          <w:sz w:val="22"/>
          <w:szCs w:val="22"/>
          <w:color w:val="auto"/>
        </w:rPr>
        <w:t>. Notice to any Holder shall be deemed given when first mailed, first class postage prepaid, to the address of such Holder on the ADR Register or received by such Holder. Failure to notify a Holder or any defect in the notification to a Holder shall not affect the sufficiency of notification to other Holders or to the Beneficial Owners of the ADSs as evidenced by the ADRs held by such other Holders. The Depositary's only notification obligations under this Deposit Agreement and the ADRs shall be to Holders. Notice to a Holder shall be deemed, for all purposes of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199" w:name="page200"/>
    <w:bookmarkEnd w:id="199"/>
    <w:p>
      <w:pPr>
        <w:ind w:right="240"/>
        <w:spacing w:after="0" w:line="244"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Deposit Agreement and the ADRs, to constitute notice to any and all Beneficial Owners of the ADSs evidenced by such Holder’s ADRs.</w:t>
      </w:r>
    </w:p>
    <w:p>
      <w:pPr>
        <w:spacing w:after="0" w:line="250" w:lineRule="exact"/>
        <w:rPr>
          <w:sz w:val="20"/>
          <w:szCs w:val="20"/>
          <w:color w:val="auto"/>
        </w:rPr>
      </w:pPr>
    </w:p>
    <w:p>
      <w:pPr>
        <w:ind w:firstLine="872"/>
        <w:spacing w:after="0" w:line="242" w:lineRule="auto"/>
        <w:tabs>
          <w:tab w:leader="none" w:pos="1855" w:val="left"/>
        </w:tabs>
        <w:numPr>
          <w:ilvl w:val="0"/>
          <w:numId w:val="138"/>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Notice to the Depositary or the Company</w:t>
      </w:r>
      <w:r>
        <w:rPr>
          <w:rFonts w:ascii="Trebuchet MS" w:cs="Trebuchet MS" w:eastAsia="Trebuchet MS" w:hAnsi="Trebuchet MS"/>
          <w:sz w:val="22"/>
          <w:szCs w:val="22"/>
          <w:color w:val="auto"/>
        </w:rPr>
        <w:t>. Notice to the Depositary or the Company shall be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deemed given when first received by it at the address, facsimile transmission number or by electronic transmission to the e-mail address set forth below in (i) or (ii), respectively, or at such other address, e-mail address or facsimile transmission number as either may specify to the other by written notice:</w:t>
      </w:r>
    </w:p>
    <w:p>
      <w:pPr>
        <w:spacing w:after="0" w:line="238" w:lineRule="exact"/>
        <w:rPr>
          <w:rFonts w:ascii="Trebuchet MS" w:cs="Trebuchet MS" w:eastAsia="Trebuchet MS" w:hAnsi="Trebuchet MS"/>
          <w:sz w:val="22"/>
          <w:szCs w:val="22"/>
          <w:color w:val="auto"/>
        </w:rPr>
      </w:pPr>
    </w:p>
    <w:p>
      <w:pPr>
        <w:ind w:left="3460" w:hanging="860"/>
        <w:spacing w:after="0"/>
        <w:tabs>
          <w:tab w:leader="none" w:pos="3460" w:val="left"/>
        </w:tabs>
        <w:numPr>
          <w:ilvl w:val="1"/>
          <w:numId w:val="13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JPMorgan Chase Bank, N.A.</w:t>
      </w:r>
    </w:p>
    <w:p>
      <w:pPr>
        <w:spacing w:after="0" w:line="1" w:lineRule="exact"/>
        <w:rPr>
          <w:rFonts w:ascii="Trebuchet MS" w:cs="Trebuchet MS" w:eastAsia="Trebuchet MS" w:hAnsi="Trebuchet MS"/>
          <w:sz w:val="22"/>
          <w:szCs w:val="22"/>
          <w:color w:val="auto"/>
        </w:rPr>
      </w:pPr>
    </w:p>
    <w:p>
      <w:pPr>
        <w:ind w:left="3460" w:right="4120"/>
        <w:spacing w:after="0"/>
        <w:rPr>
          <w:rFonts w:ascii="Trebuchet MS" w:cs="Trebuchet MS" w:eastAsia="Trebuchet MS" w:hAnsi="Trebuchet MS"/>
          <w:sz w:val="22"/>
          <w:szCs w:val="22"/>
          <w:color w:val="auto"/>
        </w:rPr>
      </w:pPr>
      <w:r>
        <w:rPr>
          <w:rFonts w:ascii="Trebuchet MS" w:cs="Trebuchet MS" w:eastAsia="Trebuchet MS" w:hAnsi="Trebuchet MS"/>
          <w:sz w:val="22"/>
          <w:szCs w:val="22"/>
          <w:color w:val="auto"/>
        </w:rPr>
        <w:t>383 Madison Avenue, Floor 11 New York, New York, 10179 Attention: Depositary Receipts Group Fax: (302) 220-4591</w:t>
      </w:r>
    </w:p>
    <w:p>
      <w:pPr>
        <w:spacing w:after="0" w:line="4" w:lineRule="exact"/>
        <w:rPr>
          <w:rFonts w:ascii="Trebuchet MS" w:cs="Trebuchet MS" w:eastAsia="Trebuchet MS" w:hAnsi="Trebuchet MS"/>
          <w:sz w:val="22"/>
          <w:szCs w:val="22"/>
          <w:color w:val="auto"/>
        </w:rPr>
      </w:pPr>
    </w:p>
    <w:p>
      <w:pPr>
        <w:ind w:left="3460"/>
        <w:spacing w:after="0"/>
        <w:rPr>
          <w:rFonts w:ascii="Trebuchet MS" w:cs="Trebuchet MS" w:eastAsia="Trebuchet MS" w:hAnsi="Trebuchet MS"/>
          <w:sz w:val="22"/>
          <w:szCs w:val="22"/>
          <w:color w:val="auto"/>
        </w:rPr>
      </w:pPr>
      <w:r>
        <w:rPr>
          <w:rFonts w:ascii="Trebuchet MS" w:cs="Trebuchet MS" w:eastAsia="Trebuchet MS" w:hAnsi="Trebuchet MS"/>
          <w:sz w:val="22"/>
          <w:szCs w:val="22"/>
          <w:color w:val="auto"/>
        </w:rPr>
        <w:t xml:space="preserve">E-mail Address: </w:t>
      </w:r>
      <w:r>
        <w:rPr>
          <w:rFonts w:ascii="Trebuchet MS" w:cs="Trebuchet MS" w:eastAsia="Trebuchet MS" w:hAnsi="Trebuchet MS"/>
          <w:sz w:val="22"/>
          <w:szCs w:val="22"/>
          <w:u w:val="single" w:color="auto"/>
          <w:color w:val="auto"/>
        </w:rPr>
        <w:t>DR_Global_CSM@jpmorgan.com</w:t>
      </w:r>
    </w:p>
    <w:p>
      <w:pPr>
        <w:spacing w:after="0" w:line="244" w:lineRule="exact"/>
        <w:rPr>
          <w:rFonts w:ascii="Trebuchet MS" w:cs="Trebuchet MS" w:eastAsia="Trebuchet MS" w:hAnsi="Trebuchet MS"/>
          <w:sz w:val="22"/>
          <w:szCs w:val="22"/>
          <w:color w:val="auto"/>
        </w:rPr>
      </w:pPr>
    </w:p>
    <w:p>
      <w:pPr>
        <w:jc w:val="both"/>
        <w:ind w:left="3460" w:right="6280" w:hanging="860"/>
        <w:spacing w:after="0" w:line="252" w:lineRule="auto"/>
        <w:tabs>
          <w:tab w:leader="none" w:pos="3446" w:val="left"/>
        </w:tabs>
        <w:numPr>
          <w:ilvl w:val="1"/>
          <w:numId w:val="138"/>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Oatly Group AB Jagaregatan 4,</w:t>
      </w:r>
    </w:p>
    <w:p>
      <w:pPr>
        <w:ind w:left="3460"/>
        <w:spacing w:after="0"/>
        <w:rPr>
          <w:rFonts w:ascii="Trebuchet MS" w:cs="Trebuchet MS" w:eastAsia="Trebuchet MS" w:hAnsi="Trebuchet MS"/>
          <w:sz w:val="21"/>
          <w:szCs w:val="21"/>
          <w:color w:val="auto"/>
        </w:rPr>
      </w:pPr>
      <w:r>
        <w:rPr>
          <w:rFonts w:ascii="Trebuchet MS" w:cs="Trebuchet MS" w:eastAsia="Trebuchet MS" w:hAnsi="Trebuchet MS"/>
          <w:sz w:val="22"/>
          <w:szCs w:val="22"/>
          <w:color w:val="auto"/>
        </w:rPr>
        <w:t>211 19 Malmö, Sweden</w:t>
      </w:r>
    </w:p>
    <w:p>
      <w:pPr>
        <w:spacing w:after="0" w:line="1" w:lineRule="exact"/>
        <w:rPr>
          <w:rFonts w:ascii="Trebuchet MS" w:cs="Trebuchet MS" w:eastAsia="Trebuchet MS" w:hAnsi="Trebuchet MS"/>
          <w:sz w:val="21"/>
          <w:szCs w:val="21"/>
          <w:color w:val="auto"/>
        </w:rPr>
      </w:pPr>
    </w:p>
    <w:p>
      <w:pPr>
        <w:ind w:left="3460"/>
        <w:spacing w:after="0"/>
        <w:rPr>
          <w:rFonts w:ascii="Trebuchet MS" w:cs="Trebuchet MS" w:eastAsia="Trebuchet MS" w:hAnsi="Trebuchet MS"/>
          <w:sz w:val="21"/>
          <w:szCs w:val="21"/>
          <w:color w:val="auto"/>
        </w:rPr>
      </w:pPr>
      <w:r>
        <w:rPr>
          <w:rFonts w:ascii="Trebuchet MS" w:cs="Trebuchet MS" w:eastAsia="Trebuchet MS" w:hAnsi="Trebuchet MS"/>
          <w:sz w:val="22"/>
          <w:szCs w:val="22"/>
          <w:color w:val="auto"/>
        </w:rPr>
        <w:t>Attention: Zach Miller, General Counsel</w:t>
      </w:r>
    </w:p>
    <w:p>
      <w:pPr>
        <w:spacing w:after="0" w:line="1" w:lineRule="exact"/>
        <w:rPr>
          <w:rFonts w:ascii="Trebuchet MS" w:cs="Trebuchet MS" w:eastAsia="Trebuchet MS" w:hAnsi="Trebuchet MS"/>
          <w:sz w:val="21"/>
          <w:szCs w:val="21"/>
          <w:color w:val="auto"/>
        </w:rPr>
      </w:pPr>
    </w:p>
    <w:p>
      <w:pPr>
        <w:ind w:left="3460"/>
        <w:spacing w:after="0"/>
        <w:rPr>
          <w:rFonts w:ascii="Trebuchet MS" w:cs="Trebuchet MS" w:eastAsia="Trebuchet MS" w:hAnsi="Trebuchet MS"/>
          <w:sz w:val="21"/>
          <w:szCs w:val="21"/>
          <w:color w:val="auto"/>
        </w:rPr>
      </w:pPr>
      <w:r>
        <w:rPr>
          <w:rFonts w:ascii="Trebuchet MS" w:cs="Trebuchet MS" w:eastAsia="Trebuchet MS" w:hAnsi="Trebuchet MS"/>
          <w:sz w:val="22"/>
          <w:szCs w:val="22"/>
          <w:color w:val="auto"/>
        </w:rPr>
        <w:t xml:space="preserve">E-mail Address: </w:t>
      </w:r>
      <w:r>
        <w:rPr>
          <w:rFonts w:ascii="Trebuchet MS" w:cs="Trebuchet MS" w:eastAsia="Trebuchet MS" w:hAnsi="Trebuchet MS"/>
          <w:sz w:val="22"/>
          <w:szCs w:val="22"/>
          <w:u w:val="single" w:color="auto"/>
          <w:color w:val="auto"/>
        </w:rPr>
        <w:t>legal@oatly.com</w:t>
      </w:r>
    </w:p>
    <w:p>
      <w:pPr>
        <w:spacing w:after="0" w:line="244" w:lineRule="exact"/>
        <w:rPr>
          <w:sz w:val="20"/>
          <w:szCs w:val="20"/>
          <w:color w:val="auto"/>
        </w:rPr>
      </w:pPr>
    </w:p>
    <w:p>
      <w:pPr>
        <w:ind w:right="140" w:firstLine="864"/>
        <w:spacing w:after="0" w:line="241" w:lineRule="auto"/>
        <w:rPr>
          <w:sz w:val="20"/>
          <w:szCs w:val="20"/>
          <w:color w:val="auto"/>
        </w:rPr>
      </w:pPr>
      <w:r>
        <w:rPr>
          <w:rFonts w:ascii="Trebuchet MS" w:cs="Trebuchet MS" w:eastAsia="Trebuchet MS" w:hAnsi="Trebuchet MS"/>
          <w:sz w:val="22"/>
          <w:szCs w:val="22"/>
          <w:color w:val="auto"/>
        </w:rPr>
        <w:t>Delivery of a notice by means of electronic messaging shall be deemed to be effective at the time of the initiation of the transmission by the sender (as shown on the sender’s records) to the e-mail address set forth above,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235" w:lineRule="exact"/>
        <w:rPr>
          <w:sz w:val="20"/>
          <w:szCs w:val="20"/>
          <w:color w:val="auto"/>
        </w:rPr>
      </w:pPr>
    </w:p>
    <w:p>
      <w:pPr>
        <w:ind w:right="140" w:firstLine="872"/>
        <w:spacing w:after="0" w:line="244" w:lineRule="auto"/>
        <w:tabs>
          <w:tab w:leader="none" w:pos="1300" w:val="left"/>
        </w:tabs>
        <w:numPr>
          <w:ilvl w:val="0"/>
          <w:numId w:val="139"/>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 xml:space="preserve">Counterparts. </w:t>
      </w:r>
      <w:r>
        <w:rPr>
          <w:rFonts w:ascii="Trebuchet MS" w:cs="Trebuchet MS" w:eastAsia="Trebuchet MS" w:hAnsi="Trebuchet MS"/>
          <w:sz w:val="22"/>
          <w:szCs w:val="22"/>
          <w:color w:val="auto"/>
        </w:rPr>
        <w:t>This Deposit Agreement may be executed in any number of counterparts, each of</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which shall be deemed an original and all of which shall constitute one instrument. Delivery of an executed signature page of this Deposit Agreement by facsimile or other electronic transmission (including “.pdf”, “.tif” or similar format) shall be effective as delivery of a manually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14</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65" w:right="379" w:bottom="1440" w:gutter="0" w:footer="0" w:header="0"/>
        </w:sectPr>
      </w:pPr>
    </w:p>
    <w:bookmarkStart w:id="200" w:name="page201"/>
    <w:bookmarkEnd w:id="200"/>
    <w:p>
      <w:pPr>
        <w:ind w:right="200" w:firstLine="872"/>
        <w:spacing w:after="0" w:line="256" w:lineRule="auto"/>
        <w:tabs>
          <w:tab w:leader="none" w:pos="1300" w:val="left"/>
        </w:tabs>
        <w:numPr>
          <w:ilvl w:val="0"/>
          <w:numId w:val="140"/>
        </w:numPr>
        <w:rPr>
          <w:rFonts w:ascii="Trebuchet MS" w:cs="Trebuchet MS" w:eastAsia="Trebuchet MS" w:hAnsi="Trebuchet MS"/>
          <w:sz w:val="21"/>
          <w:szCs w:val="21"/>
          <w:color w:val="auto"/>
        </w:rPr>
      </w:pPr>
      <w:r>
        <w:rPr>
          <w:rFonts w:ascii="Trebuchet MS" w:cs="Trebuchet MS" w:eastAsia="Trebuchet MS" w:hAnsi="Trebuchet MS"/>
          <w:sz w:val="21"/>
          <w:szCs w:val="21"/>
          <w:b w:val="1"/>
          <w:bCs w:val="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No Third-Party Beneficiaries; Holders and Beneficial Owners as Parties; Binding Effect</w:t>
      </w:r>
      <w:r>
        <w:rPr>
          <w:rFonts w:ascii="Trebuchet MS" w:cs="Trebuchet MS" w:eastAsia="Trebuchet MS" w:hAnsi="Trebuchet MS"/>
          <w:sz w:val="21"/>
          <w:szCs w:val="21"/>
          <w:color w:val="auto"/>
        </w:rPr>
        <w:t>. This</w:t>
      </w:r>
      <w:r>
        <w:rPr>
          <w:rFonts w:ascii="Trebuchet MS" w:cs="Trebuchet MS" w:eastAsia="Trebuchet MS" w:hAnsi="Trebuchet MS"/>
          <w:sz w:val="21"/>
          <w:szCs w:val="21"/>
          <w:b w:val="1"/>
          <w:bCs w:val="1"/>
          <w:color w:val="auto"/>
        </w:rPr>
        <w:t xml:space="preserve"> </w:t>
      </w:r>
      <w:r>
        <w:rPr>
          <w:rFonts w:ascii="Trebuchet MS" w:cs="Trebuchet MS" w:eastAsia="Trebuchet MS" w:hAnsi="Trebuchet MS"/>
          <w:sz w:val="21"/>
          <w:szCs w:val="21"/>
          <w:color w:val="auto"/>
        </w:rPr>
        <w:t>Deposit Agreement is for the exclusive benefit of the Company, the Depositary, the Holders, and their respective successors hereunder, and, except to the extent specifically set forth in Section 15 of this Deposit Agreement, shall not give any legal or equitable right, remedy or claim whatsoever to any other person. The Holders and Beneficial Owners from time to time shall be parties to this Deposit Agreement and shall be bound by all of the provisions hereof. A Beneficial Owner shall only be able to exercise any right or receive any benefit hereunder solely through the Holder of the ADR(s) evidencing the ADSs owned by such Beneficial Owner.</w:t>
      </w:r>
    </w:p>
    <w:p>
      <w:pPr>
        <w:spacing w:after="0" w:line="217" w:lineRule="exact"/>
        <w:rPr>
          <w:rFonts w:ascii="Trebuchet MS" w:cs="Trebuchet MS" w:eastAsia="Trebuchet MS" w:hAnsi="Trebuchet MS"/>
          <w:sz w:val="21"/>
          <w:szCs w:val="21"/>
          <w:color w:val="auto"/>
        </w:rPr>
      </w:pPr>
    </w:p>
    <w:p>
      <w:pPr>
        <w:ind w:firstLine="872"/>
        <w:spacing w:after="0" w:line="246" w:lineRule="auto"/>
        <w:tabs>
          <w:tab w:leader="none" w:pos="1300" w:val="left"/>
        </w:tabs>
        <w:numPr>
          <w:ilvl w:val="0"/>
          <w:numId w:val="140"/>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Severability</w:t>
      </w:r>
      <w:r>
        <w:rPr>
          <w:rFonts w:ascii="Trebuchet MS" w:cs="Trebuchet MS" w:eastAsia="Trebuchet MS" w:hAnsi="Trebuchet MS"/>
          <w:sz w:val="22"/>
          <w:szCs w:val="22"/>
          <w:color w:val="auto"/>
        </w:rPr>
        <w:t>. If any provision of this Deposit Agreement or the ADRs is, or becomes, invalid, illegal or</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unenforceable in any respect, the remaining provisions contained herein and therein shall in no way be affected thereby.</w:t>
      </w:r>
    </w:p>
    <w:p>
      <w:pPr>
        <w:spacing w:after="0" w:line="227" w:lineRule="exact"/>
        <w:rPr>
          <w:rFonts w:ascii="Trebuchet MS" w:cs="Trebuchet MS" w:eastAsia="Trebuchet MS" w:hAnsi="Trebuchet MS"/>
          <w:sz w:val="22"/>
          <w:szCs w:val="22"/>
          <w:color w:val="auto"/>
        </w:rPr>
      </w:pPr>
    </w:p>
    <w:p>
      <w:pPr>
        <w:ind w:left="1300" w:hanging="428"/>
        <w:spacing w:after="0"/>
        <w:tabs>
          <w:tab w:leader="none" w:pos="1300" w:val="left"/>
        </w:tabs>
        <w:numPr>
          <w:ilvl w:val="0"/>
          <w:numId w:val="140"/>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Governing Law; Consent to Jurisdiction</w:t>
      </w:r>
      <w:r>
        <w:rPr>
          <w:rFonts w:ascii="Trebuchet MS" w:cs="Trebuchet MS" w:eastAsia="Trebuchet MS" w:hAnsi="Trebuchet MS"/>
          <w:sz w:val="22"/>
          <w:szCs w:val="22"/>
          <w:color w:val="auto"/>
        </w:rPr>
        <w:t>.</w:t>
      </w:r>
    </w:p>
    <w:p>
      <w:pPr>
        <w:spacing w:after="0" w:line="252" w:lineRule="exact"/>
        <w:rPr>
          <w:sz w:val="20"/>
          <w:szCs w:val="20"/>
          <w:color w:val="auto"/>
        </w:rPr>
      </w:pPr>
    </w:p>
    <w:p>
      <w:pPr>
        <w:ind w:right="120" w:firstLine="872"/>
        <w:spacing w:after="0" w:line="242" w:lineRule="auto"/>
        <w:tabs>
          <w:tab w:leader="none" w:pos="1784" w:val="left"/>
        </w:tabs>
        <w:numPr>
          <w:ilvl w:val="0"/>
          <w:numId w:val="141"/>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Deposit Agreement, the ADSs and the ADRs shall be governed by and construed in accordance with the internal laws of the State of New York without giving effect to the application of the conflict of law principles thereof.</w:t>
      </w:r>
    </w:p>
    <w:p>
      <w:pPr>
        <w:spacing w:after="0" w:line="239" w:lineRule="exact"/>
        <w:rPr>
          <w:rFonts w:ascii="Trebuchet MS" w:cs="Trebuchet MS" w:eastAsia="Trebuchet MS" w:hAnsi="Trebuchet MS"/>
          <w:sz w:val="22"/>
          <w:szCs w:val="22"/>
          <w:color w:val="auto"/>
        </w:rPr>
      </w:pPr>
    </w:p>
    <w:p>
      <w:pPr>
        <w:ind w:right="40" w:firstLine="872"/>
        <w:spacing w:after="0" w:line="254" w:lineRule="auto"/>
        <w:tabs>
          <w:tab w:leader="none" w:pos="1790" w:val="left"/>
        </w:tabs>
        <w:numPr>
          <w:ilvl w:val="0"/>
          <w:numId w:val="141"/>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t xml:space="preserve">Company. </w:t>
      </w:r>
      <w:r>
        <w:rPr>
          <w:rFonts w:ascii="Trebuchet MS" w:cs="Trebuchet MS" w:eastAsia="Trebuchet MS" w:hAnsi="Trebuchet MS"/>
          <w:sz w:val="21"/>
          <w:szCs w:val="21"/>
          <w:color w:val="auto"/>
        </w:rPr>
        <w:t>The Company irrevocably agrees that any legal suit, action or proceeding against or</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involving the Company brought by the Depositary or any Holder or Beneficial Owner, arising out of or based upon this Deposit Agreement, the ADSs, the ADRs or the transactions contemplated herein, therein, hereby or thereby, may be instituted in any state or federal court in New York, New York, and irrevocably waives any objection which it may now or hereafter have to the laying of venue of any such proceeding, and irrevocably submits to the non-exclusive jurisdiction of such courts in any such suit, action or proceeding. The Company also irrevocably agrees that any legal suit, action or proceeding against or involving the Depositary brought by the Company, arising out of or based upon this Deposit Agreement, the ADSs, the ADRs or the transactions contemplated herein, therein, hereby or thereby, may only be instituted in a state or federal court in New York, New York.</w:t>
      </w:r>
    </w:p>
    <w:p>
      <w:pPr>
        <w:spacing w:after="0" w:line="228" w:lineRule="exact"/>
        <w:rPr>
          <w:rFonts w:ascii="Trebuchet MS" w:cs="Trebuchet MS" w:eastAsia="Trebuchet MS" w:hAnsi="Trebuchet MS"/>
          <w:sz w:val="21"/>
          <w:szCs w:val="21"/>
          <w:color w:val="auto"/>
        </w:rPr>
      </w:pPr>
    </w:p>
    <w:p>
      <w:pPr>
        <w:ind w:right="20" w:firstLine="872"/>
        <w:spacing w:after="0" w:line="241" w:lineRule="auto"/>
        <w:tabs>
          <w:tab w:leader="none" w:pos="1777" w:val="left"/>
        </w:tabs>
        <w:numPr>
          <w:ilvl w:val="0"/>
          <w:numId w:val="141"/>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 xml:space="preserve">Holders and Beneficial Owners. </w:t>
      </w:r>
      <w:r>
        <w:rPr>
          <w:rFonts w:ascii="Trebuchet MS" w:cs="Trebuchet MS" w:eastAsia="Trebuchet MS" w:hAnsi="Trebuchet MS"/>
          <w:sz w:val="22"/>
          <w:szCs w:val="22"/>
          <w:color w:val="auto"/>
        </w:rPr>
        <w:t>By holding or owning an ADR or ADS or an interest therein,</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Holders and Beneficial Owners each irrevocably agree that any legal suit, action or proceeding against or involving Holders or Beneficial Owners brought by the Company or the Depositary, arising out of or based upon this Deposit Agreement, the ADSs, the ADRs or the transactions contemplated herein, therein, hereby or thereby, may be instituted in a state or federal court in New York, New York, and by holding or owning an ADR or ADS or an interest therein each irrevocably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201" w:name="page202"/>
    <w:bookmarkEnd w:id="201"/>
    <w:p>
      <w:pPr>
        <w:ind w:right="80"/>
        <w:spacing w:after="0" w:line="241"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waives any objection which it may now or hereafter have to the laying of venue of any such proceeding, and irrevocably submits to the non-exclusive jurisdiction of such courts in any such suit, action or proceeding. By holding or owning an ADR or ADS or an interest therein, Holders and Beneficial Owners each also irrevocably agree that any legal suit, action or proceeding against or involving the Company or Depositary brought by Holders or Beneficial Owners, arising out of or based upon this Deposit Agreement, the ADSs, the ADRs or the transactions contemplated herein, therein, hereby or thereby, may only be instituted in a state or federal court in New York, New York.</w:t>
      </w:r>
    </w:p>
    <w:p>
      <w:pPr>
        <w:spacing w:after="0" w:line="243" w:lineRule="exact"/>
        <w:rPr>
          <w:sz w:val="20"/>
          <w:szCs w:val="20"/>
          <w:color w:val="auto"/>
        </w:rPr>
      </w:pPr>
    </w:p>
    <w:p>
      <w:pPr>
        <w:ind w:firstLine="872"/>
        <w:spacing w:after="0" w:line="242" w:lineRule="auto"/>
        <w:tabs>
          <w:tab w:leader="none" w:pos="1790" w:val="left"/>
        </w:tabs>
        <w:numPr>
          <w:ilvl w:val="0"/>
          <w:numId w:val="142"/>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Notwithstanding the foregoing, any suit, action or proceeding against the Company based on this Deposit Agreement, the ADSs or the ADRs or the transactions contemplated hereby or thereby, may be instituted by the Depositary in any competent court in the Kingdom of Sweden and/or the United States.</w:t>
      </w:r>
    </w:p>
    <w:p>
      <w:pPr>
        <w:spacing w:after="0" w:line="232" w:lineRule="exact"/>
        <w:rPr>
          <w:sz w:val="20"/>
          <w:szCs w:val="20"/>
          <w:color w:val="auto"/>
        </w:rPr>
      </w:pPr>
    </w:p>
    <w:p>
      <w:pPr>
        <w:ind w:left="1240" w:hanging="368"/>
        <w:spacing w:after="0"/>
        <w:tabs>
          <w:tab w:leader="none" w:pos="1240" w:val="left"/>
        </w:tabs>
        <w:numPr>
          <w:ilvl w:val="0"/>
          <w:numId w:val="143"/>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Agent for Service.</w:t>
      </w:r>
    </w:p>
    <w:p>
      <w:pPr>
        <w:spacing w:after="0" w:line="266" w:lineRule="exact"/>
        <w:rPr>
          <w:sz w:val="20"/>
          <w:szCs w:val="20"/>
          <w:color w:val="auto"/>
        </w:rPr>
      </w:pPr>
    </w:p>
    <w:p>
      <w:pPr>
        <w:ind w:right="60" w:firstLine="872"/>
        <w:spacing w:after="0" w:line="254" w:lineRule="auto"/>
        <w:tabs>
          <w:tab w:leader="none" w:pos="1784" w:val="left"/>
        </w:tabs>
        <w:numPr>
          <w:ilvl w:val="0"/>
          <w:numId w:val="144"/>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t>Appointment</w:t>
      </w:r>
      <w:r>
        <w:rPr>
          <w:rFonts w:ascii="Trebuchet MS" w:cs="Trebuchet MS" w:eastAsia="Trebuchet MS" w:hAnsi="Trebuchet MS"/>
          <w:sz w:val="21"/>
          <w:szCs w:val="21"/>
          <w:color w:val="auto"/>
        </w:rPr>
        <w:t>. The Company has appointed Oatly Inc., 220 E. 42</w:t>
      </w:r>
      <w:r>
        <w:rPr>
          <w:rFonts w:ascii="Trebuchet MS" w:cs="Trebuchet MS" w:eastAsia="Trebuchet MS" w:hAnsi="Trebuchet MS"/>
          <w:sz w:val="17"/>
          <w:szCs w:val="17"/>
          <w:color w:val="auto"/>
        </w:rPr>
        <w:t>nd</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Street, Suite 409A, New York,</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New York, 10017, as its authorized agent (the "</w:t>
      </w:r>
      <w:r>
        <w:rPr>
          <w:rFonts w:ascii="Trebuchet MS" w:cs="Trebuchet MS" w:eastAsia="Trebuchet MS" w:hAnsi="Trebuchet MS"/>
          <w:sz w:val="21"/>
          <w:szCs w:val="21"/>
          <w:b w:val="1"/>
          <w:bCs w:val="1"/>
          <w:color w:val="auto"/>
        </w:rPr>
        <w:t>Authorized Agent</w:t>
      </w:r>
      <w:r>
        <w:rPr>
          <w:rFonts w:ascii="Trebuchet MS" w:cs="Trebuchet MS" w:eastAsia="Trebuchet MS" w:hAnsi="Trebuchet MS"/>
          <w:sz w:val="21"/>
          <w:szCs w:val="21"/>
          <w:color w:val="auto"/>
        </w:rPr>
        <w:t>") upon which process may be served in any such suit, action or proceeding arising out of or based on this Deposit Agreement, the ADSs, the ADRs or the transactions contemplated hereby or thereby which may be instituted in any state or federal court in New York, New York by the Depositary or any Holder, and waives any other requirements of or objections to personal jurisdiction with respect thereto. Subject to the Company’s rights to replace the Authorized Agent with another entity in the manner required were the Authorized Agent to have resigned, such appointment shall be irrevocable.</w:t>
      </w:r>
    </w:p>
    <w:p>
      <w:pPr>
        <w:spacing w:after="0" w:line="232" w:lineRule="exact"/>
        <w:rPr>
          <w:rFonts w:ascii="Trebuchet MS" w:cs="Trebuchet MS" w:eastAsia="Trebuchet MS" w:hAnsi="Trebuchet MS"/>
          <w:sz w:val="21"/>
          <w:szCs w:val="21"/>
          <w:color w:val="auto"/>
        </w:rPr>
      </w:pPr>
    </w:p>
    <w:p>
      <w:pPr>
        <w:ind w:right="60" w:firstLine="872"/>
        <w:spacing w:after="0" w:line="241" w:lineRule="auto"/>
        <w:tabs>
          <w:tab w:leader="none" w:pos="1790" w:val="left"/>
        </w:tabs>
        <w:numPr>
          <w:ilvl w:val="0"/>
          <w:numId w:val="144"/>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Agent for Service of Process</w:t>
      </w:r>
      <w:r>
        <w:rPr>
          <w:rFonts w:ascii="Trebuchet MS" w:cs="Trebuchet MS" w:eastAsia="Trebuchet MS" w:hAnsi="Trebuchet MS"/>
          <w:sz w:val="22"/>
          <w:szCs w:val="22"/>
          <w:color w:val="auto"/>
        </w:rPr>
        <w:t>. The Company represents and warrants that the Authorized Agent</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has agreed to act as said agent for service of process, and the Company agrees to take any and all action, including the filing of any and all documents and instruments, that may be necessary to continue such appointment in full force and effect as aforesaid. The Company further hereby irrevocably consents and agrees to the service of any and all legal process, summons, notices and documents in any suit, action or proceeding against the Company, by service by mail of a copy thereof upon the Authorized Agent (whether or not the appointment of such Authorized Agent shall for any reason prove to be ineffective or such Authorized Agent shall fail to accept or acknowledge such service), with a copy mailed to the Company by registered or certified air mail, postage prepaid, to its address provided in Section 16(b) hereof. The Company agrees that the failure of the Authorized Agent to give any notice of such service to it shall not impair or affect in any way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02" w:name="page203"/>
    <w:bookmarkEnd w:id="202"/>
    <w:p>
      <w:pPr>
        <w:ind w:right="100"/>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validity of such service or any judgment rendered in any suit, action or proceeding based thereon. If, for any reason, the Authorized Agent named above or its successor shall no longer serve as agent of the Company to receive service of process in New York, the Company shall promptly appoint a successor that is a legal entity with offices in New York, New York, so as to serve and will promptly advise the Depositary thereof.</w:t>
      </w:r>
    </w:p>
    <w:p>
      <w:pPr>
        <w:spacing w:after="0" w:line="239" w:lineRule="exact"/>
        <w:rPr>
          <w:sz w:val="20"/>
          <w:szCs w:val="20"/>
          <w:color w:val="auto"/>
        </w:rPr>
      </w:pPr>
    </w:p>
    <w:p>
      <w:pPr>
        <w:ind w:firstLine="872"/>
        <w:spacing w:after="0" w:line="241" w:lineRule="auto"/>
        <w:tabs>
          <w:tab w:leader="none" w:pos="1777" w:val="left"/>
        </w:tabs>
        <w:numPr>
          <w:ilvl w:val="0"/>
          <w:numId w:val="145"/>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Waiver of Personal Service of Process</w:t>
      </w:r>
      <w:r>
        <w:rPr>
          <w:rFonts w:ascii="Trebuchet MS" w:cs="Trebuchet MS" w:eastAsia="Trebuchet MS" w:hAnsi="Trebuchet MS"/>
          <w:sz w:val="22"/>
          <w:szCs w:val="22"/>
          <w:color w:val="auto"/>
        </w:rPr>
        <w:t>. In the event the Company fails to continue such</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designation and appointment in full force and effect, the Company hereby waives personal service of process upon it and consents that any such service of process may be made by certified or registered mail, return receipt requested, directed to the Company at its address last specified for notices hereunder, and service so made shall be deemed completed five (5) days after the same shall have been so mailed.</w:t>
      </w:r>
    </w:p>
    <w:p>
      <w:pPr>
        <w:spacing w:after="0" w:line="235" w:lineRule="exact"/>
        <w:rPr>
          <w:sz w:val="20"/>
          <w:szCs w:val="20"/>
          <w:color w:val="auto"/>
        </w:rPr>
      </w:pPr>
    </w:p>
    <w:p>
      <w:pPr>
        <w:ind w:right="40" w:firstLine="872"/>
        <w:spacing w:after="0" w:line="242" w:lineRule="auto"/>
        <w:tabs>
          <w:tab w:leader="none" w:pos="1300" w:val="left"/>
        </w:tabs>
        <w:numPr>
          <w:ilvl w:val="0"/>
          <w:numId w:val="146"/>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 xml:space="preserve">Waiver of Immunities. </w:t>
      </w:r>
      <w:r>
        <w:rPr>
          <w:rFonts w:ascii="Trebuchet MS" w:cs="Trebuchet MS" w:eastAsia="Trebuchet MS" w:hAnsi="Trebuchet MS"/>
          <w:sz w:val="22"/>
          <w:szCs w:val="22"/>
          <w:color w:val="auto"/>
        </w:rPr>
        <w:t>To the extent that the Company or any of its properties, assets or revenues</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may have or may hereafter be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other matters under or arising out of or in connection with the Shares or Deposited Securities, the ADSs, the ADRs or this Deposit Agreement, the Company, to the fullest extent permitted by law, hereby irrevocably and unconditionally waives, and agrees not to plead or claim, any such immunity and consents to such relief and enforcement.</w:t>
      </w:r>
    </w:p>
    <w:p>
      <w:pPr>
        <w:spacing w:after="0" w:line="231" w:lineRule="exact"/>
        <w:rPr>
          <w:rFonts w:ascii="Trebuchet MS" w:cs="Trebuchet MS" w:eastAsia="Trebuchet MS" w:hAnsi="Trebuchet MS"/>
          <w:sz w:val="22"/>
          <w:szCs w:val="22"/>
          <w:color w:val="auto"/>
        </w:rPr>
      </w:pPr>
    </w:p>
    <w:p>
      <w:pPr>
        <w:ind w:right="40" w:firstLine="872"/>
        <w:spacing w:after="0" w:line="242" w:lineRule="auto"/>
        <w:tabs>
          <w:tab w:leader="none" w:pos="1234" w:val="left"/>
        </w:tabs>
        <w:numPr>
          <w:ilvl w:val="0"/>
          <w:numId w:val="146"/>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Waiver of Jury Trial</w:t>
      </w:r>
      <w:r>
        <w:rPr>
          <w:rFonts w:ascii="Trebuchet MS" w:cs="Trebuchet MS" w:eastAsia="Trebuchet MS" w:hAnsi="Trebuchet MS"/>
          <w:sz w:val="22"/>
          <w:szCs w:val="22"/>
          <w:color w:val="auto"/>
        </w:rPr>
        <w:t>. EACH PARTY TO THIS DEPOSIT AGREEMENT (INCLUDING, FOR AVOIDANCE OF</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DOUBT, 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 INCLUDING, WITHOUT LIMITATION, ANY SUIT, ACTION OR PROCEEDING UNDER THE UNITED STATES FEDERAL SECURITIES LAWS. No provision 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17</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165" w:right="399" w:bottom="1440" w:gutter="0" w:footer="0" w:header="0"/>
        </w:sectPr>
      </w:pPr>
    </w:p>
    <w:bookmarkStart w:id="203" w:name="page204"/>
    <w:bookmarkEnd w:id="203"/>
    <w:p>
      <w:pPr>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this Deposit Agreement or any ADR is intended to constitute a waiver or limitation of any rights which Holders or Beneficial Owners may have under the Securities Act of 1933 or the Securities Exchange Act of 1934, to the extent applicable.</w:t>
      </w:r>
    </w:p>
    <w:p>
      <w:pPr>
        <w:spacing w:after="0" w:line="240" w:lineRule="exact"/>
        <w:rPr>
          <w:sz w:val="20"/>
          <w:szCs w:val="20"/>
          <w:color w:val="auto"/>
        </w:rPr>
      </w:pPr>
    </w:p>
    <w:p>
      <w:pPr>
        <w:jc w:val="center"/>
        <w:ind w:right="-99"/>
        <w:spacing w:after="0"/>
        <w:rPr>
          <w:sz w:val="20"/>
          <w:szCs w:val="20"/>
          <w:color w:val="auto"/>
        </w:rPr>
      </w:pPr>
      <w:r>
        <w:rPr>
          <w:rFonts w:ascii="Trebuchet MS" w:cs="Trebuchet MS" w:eastAsia="Trebuchet MS" w:hAnsi="Trebuchet MS"/>
          <w:sz w:val="22"/>
          <w:szCs w:val="22"/>
          <w:color w:val="auto"/>
        </w:rPr>
        <w:t>[</w:t>
      </w:r>
      <w:r>
        <w:rPr>
          <w:rFonts w:ascii="Trebuchet MS" w:cs="Trebuchet MS" w:eastAsia="Trebuchet MS" w:hAnsi="Trebuchet MS"/>
          <w:sz w:val="22"/>
          <w:szCs w:val="22"/>
          <w:i w:val="1"/>
          <w:iCs w:val="1"/>
          <w:color w:val="auto"/>
        </w:rPr>
        <w:t>Signature Page Follows.</w:t>
      </w:r>
      <w:r>
        <w:rPr>
          <w:rFonts w:ascii="Trebuchet MS" w:cs="Trebuchet MS" w:eastAsia="Trebuchet MS" w:hAnsi="Trebuchet MS"/>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18</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1165" w:right="439" w:bottom="1440" w:gutter="0" w:footer="0" w:header="0"/>
        </w:sectPr>
      </w:pPr>
    </w:p>
    <w:bookmarkStart w:id="204" w:name="page205"/>
    <w:bookmarkEnd w:id="204"/>
    <w:p>
      <w:pPr>
        <w:ind w:right="260" w:firstLine="1727"/>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IN WITNESS WHEREOF, OATLY GROUP AB and JPMORGAN CHASE BANK, N.A. have duly executed this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200" w:lineRule="exact"/>
        <w:rPr>
          <w:sz w:val="20"/>
          <w:szCs w:val="20"/>
          <w:color w:val="auto"/>
        </w:rPr>
      </w:pPr>
    </w:p>
    <w:p>
      <w:pPr>
        <w:spacing w:after="0" w:line="282" w:lineRule="exact"/>
        <w:rPr>
          <w:sz w:val="20"/>
          <w:szCs w:val="20"/>
          <w:color w:val="auto"/>
        </w:rPr>
      </w:pPr>
    </w:p>
    <w:p>
      <w:pPr>
        <w:ind w:left="6760"/>
        <w:spacing w:after="0"/>
        <w:rPr>
          <w:sz w:val="20"/>
          <w:szCs w:val="20"/>
          <w:color w:val="auto"/>
        </w:rPr>
      </w:pPr>
      <w:r>
        <w:rPr>
          <w:rFonts w:ascii="Trebuchet MS" w:cs="Trebuchet MS" w:eastAsia="Trebuchet MS" w:hAnsi="Trebuchet MS"/>
          <w:sz w:val="22"/>
          <w:szCs w:val="22"/>
          <w:color w:val="auto"/>
        </w:rPr>
        <w:t>Oatly Group AB</w:t>
      </w:r>
    </w:p>
    <w:p>
      <w:pPr>
        <w:spacing w:after="0" w:line="200" w:lineRule="exact"/>
        <w:rPr>
          <w:sz w:val="20"/>
          <w:szCs w:val="20"/>
          <w:color w:val="auto"/>
        </w:rPr>
      </w:pPr>
    </w:p>
    <w:p>
      <w:pPr>
        <w:spacing w:after="0" w:line="287" w:lineRule="exact"/>
        <w:rPr>
          <w:sz w:val="20"/>
          <w:szCs w:val="20"/>
          <w:color w:val="auto"/>
        </w:rPr>
      </w:pPr>
    </w:p>
    <w:p>
      <w:pPr>
        <w:ind w:left="6760"/>
        <w:spacing w:after="0"/>
        <w:rPr>
          <w:sz w:val="20"/>
          <w:szCs w:val="20"/>
          <w:color w:val="auto"/>
        </w:rPr>
      </w:pPr>
      <w:r>
        <w:rPr>
          <w:rFonts w:ascii="Trebuchet MS" w:cs="Trebuchet MS" w:eastAsia="Trebuchet MS" w:hAnsi="Trebuchet MS"/>
          <w:sz w:val="22"/>
          <w:szCs w:val="22"/>
          <w:color w:val="auto"/>
        </w:rPr>
        <w:t>By:  /s/ Toni Petersson</w:t>
      </w:r>
    </w:p>
    <w:p>
      <w:pPr>
        <w:spacing w:after="0" w:line="1" w:lineRule="exact"/>
        <w:rPr>
          <w:sz w:val="20"/>
          <w:szCs w:val="20"/>
          <w:color w:val="auto"/>
        </w:rPr>
      </w:pPr>
    </w:p>
    <w:tbl>
      <w:tblPr>
        <w:tblLayout w:type="fixed"/>
        <w:tblInd w:w="7220" w:type="dxa"/>
        <w:tblCellMar>
          <w:top w:w="0" w:type="dxa"/>
          <w:left w:w="0" w:type="dxa"/>
          <w:bottom w:w="0" w:type="dxa"/>
          <w:right w:w="0" w:type="dxa"/>
        </w:tblCellMar>
      </w:tblPr>
      <w:tr>
        <w:trPr>
          <w:trHeight w:val="250"/>
        </w:trPr>
        <w:tc>
          <w:tcPr>
            <w:tcW w:w="760" w:type="dxa"/>
            <w:vAlign w:val="bottom"/>
            <w:tcBorders>
              <w:top w:val="single" w:sz="8" w:color="auto"/>
            </w:tcBorders>
          </w:tcPr>
          <w:p>
            <w:pPr>
              <w:spacing w:after="0" w:line="250" w:lineRule="exact"/>
              <w:rPr>
                <w:sz w:val="20"/>
                <w:szCs w:val="20"/>
                <w:color w:val="auto"/>
              </w:rPr>
            </w:pPr>
            <w:r>
              <w:rPr>
                <w:rFonts w:ascii="Trebuchet MS" w:cs="Trebuchet MS" w:eastAsia="Trebuchet MS" w:hAnsi="Trebuchet MS"/>
                <w:sz w:val="22"/>
                <w:szCs w:val="22"/>
                <w:color w:val="auto"/>
              </w:rPr>
              <w:t>Name:</w:t>
            </w:r>
          </w:p>
        </w:tc>
        <w:tc>
          <w:tcPr>
            <w:tcW w:w="3260" w:type="dxa"/>
            <w:vAlign w:val="bottom"/>
            <w:tcBorders>
              <w:top w:val="single" w:sz="8" w:color="auto"/>
            </w:tcBorders>
          </w:tcPr>
          <w:p>
            <w:pPr>
              <w:ind w:left="120"/>
              <w:spacing w:after="0" w:line="250" w:lineRule="exact"/>
              <w:rPr>
                <w:sz w:val="20"/>
                <w:szCs w:val="20"/>
                <w:color w:val="auto"/>
              </w:rPr>
            </w:pPr>
            <w:r>
              <w:rPr>
                <w:rFonts w:ascii="Trebuchet MS" w:cs="Trebuchet MS" w:eastAsia="Trebuchet MS" w:hAnsi="Trebuchet MS"/>
                <w:sz w:val="22"/>
                <w:szCs w:val="22"/>
                <w:color w:val="auto"/>
              </w:rPr>
              <w:t>Toni Petersson</w:t>
            </w:r>
          </w:p>
        </w:tc>
      </w:tr>
      <w:tr>
        <w:trPr>
          <w:trHeight w:val="259"/>
        </w:trPr>
        <w:tc>
          <w:tcPr>
            <w:tcW w:w="760" w:type="dxa"/>
            <w:vAlign w:val="bottom"/>
          </w:tcPr>
          <w:p>
            <w:pPr>
              <w:spacing w:after="0"/>
              <w:rPr>
                <w:sz w:val="20"/>
                <w:szCs w:val="20"/>
                <w:color w:val="auto"/>
              </w:rPr>
            </w:pPr>
            <w:r>
              <w:rPr>
                <w:rFonts w:ascii="Trebuchet MS" w:cs="Trebuchet MS" w:eastAsia="Trebuchet MS" w:hAnsi="Trebuchet MS"/>
                <w:sz w:val="22"/>
                <w:szCs w:val="22"/>
                <w:color w:val="auto"/>
              </w:rPr>
              <w:t>Title</w:t>
            </w:r>
          </w:p>
        </w:tc>
        <w:tc>
          <w:tcPr>
            <w:tcW w:w="3260" w:type="dxa"/>
            <w:vAlign w:val="bottom"/>
          </w:tcPr>
          <w:p>
            <w:pPr>
              <w:ind w:left="120"/>
              <w:spacing w:after="0"/>
              <w:rPr>
                <w:sz w:val="20"/>
                <w:szCs w:val="20"/>
                <w:color w:val="auto"/>
              </w:rPr>
            </w:pPr>
            <w:r>
              <w:rPr>
                <w:rFonts w:ascii="Trebuchet MS" w:cs="Trebuchet MS" w:eastAsia="Trebuchet MS" w:hAnsi="Trebuchet MS"/>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760"/>
        <w:spacing w:after="0"/>
        <w:rPr>
          <w:sz w:val="20"/>
          <w:szCs w:val="20"/>
          <w:color w:val="auto"/>
        </w:rPr>
      </w:pPr>
      <w:r>
        <w:rPr>
          <w:rFonts w:ascii="Trebuchet MS" w:cs="Trebuchet MS" w:eastAsia="Trebuchet MS" w:hAnsi="Trebuchet MS"/>
          <w:sz w:val="22"/>
          <w:szCs w:val="22"/>
          <w:color w:val="auto"/>
        </w:rPr>
        <w:t>JPMORGAN CHASE BANK, N.A.</w:t>
      </w:r>
    </w:p>
    <w:p>
      <w:pPr>
        <w:spacing w:after="0" w:line="200" w:lineRule="exact"/>
        <w:rPr>
          <w:sz w:val="20"/>
          <w:szCs w:val="20"/>
          <w:color w:val="auto"/>
        </w:rPr>
      </w:pPr>
    </w:p>
    <w:p>
      <w:pPr>
        <w:spacing w:after="0" w:line="287" w:lineRule="exact"/>
        <w:rPr>
          <w:sz w:val="20"/>
          <w:szCs w:val="20"/>
          <w:color w:val="auto"/>
        </w:rPr>
      </w:pPr>
    </w:p>
    <w:p>
      <w:pPr>
        <w:ind w:left="6760"/>
        <w:spacing w:after="0"/>
        <w:rPr>
          <w:sz w:val="20"/>
          <w:szCs w:val="20"/>
          <w:color w:val="auto"/>
        </w:rPr>
      </w:pPr>
      <w:r>
        <w:rPr>
          <w:rFonts w:ascii="Trebuchet MS" w:cs="Trebuchet MS" w:eastAsia="Trebuchet MS" w:hAnsi="Trebuchet MS"/>
          <w:sz w:val="22"/>
          <w:szCs w:val="22"/>
          <w:color w:val="auto"/>
        </w:rPr>
        <w:t>By:  /s/ Timothy 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wp:posOffset>
            </wp:positionV>
            <wp:extent cx="25546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7220"/>
        <w:spacing w:after="0"/>
        <w:tabs>
          <w:tab w:leader="none" w:pos="8080" w:val="left"/>
        </w:tabs>
        <w:rPr>
          <w:sz w:val="20"/>
          <w:szCs w:val="20"/>
          <w:color w:val="auto"/>
        </w:rPr>
      </w:pPr>
      <w:r>
        <w:rPr>
          <w:rFonts w:ascii="Trebuchet MS" w:cs="Trebuchet MS" w:eastAsia="Trebuchet MS" w:hAnsi="Trebuchet MS"/>
          <w:sz w:val="22"/>
          <w:szCs w:val="22"/>
          <w:color w:val="auto"/>
        </w:rPr>
        <w:t>Name:</w:t>
        <w:tab/>
        <w:t>Timothy E. Green</w:t>
      </w:r>
    </w:p>
    <w:p>
      <w:pPr>
        <w:spacing w:after="0" w:line="1" w:lineRule="exact"/>
        <w:rPr>
          <w:sz w:val="20"/>
          <w:szCs w:val="20"/>
          <w:color w:val="auto"/>
        </w:rPr>
      </w:pPr>
    </w:p>
    <w:p>
      <w:pPr>
        <w:ind w:left="7220"/>
        <w:spacing w:after="0"/>
        <w:tabs>
          <w:tab w:leader="none" w:pos="8080" w:val="left"/>
        </w:tabs>
        <w:rPr>
          <w:sz w:val="20"/>
          <w:szCs w:val="20"/>
          <w:color w:val="auto"/>
        </w:rPr>
      </w:pPr>
      <w:r>
        <w:rPr>
          <w:rFonts w:ascii="Trebuchet MS" w:cs="Trebuchet MS" w:eastAsia="Trebuchet MS" w:hAnsi="Trebuchet MS"/>
          <w:sz w:val="22"/>
          <w:szCs w:val="22"/>
          <w:color w:val="auto"/>
        </w:rPr>
        <w:t>Title:</w:t>
      </w:r>
      <w:r>
        <w:rPr>
          <w:sz w:val="20"/>
          <w:szCs w:val="20"/>
          <w:color w:val="auto"/>
        </w:rPr>
        <w:tab/>
      </w:r>
      <w:r>
        <w:rPr>
          <w:rFonts w:ascii="Trebuchet MS" w:cs="Trebuchet MS" w:eastAsia="Trebuchet MS" w:hAnsi="Trebuchet MS"/>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color w:val="auto"/>
        </w:rPr>
        <w:t>[Signature Page to Deposit Agreement.]</w:t>
      </w:r>
    </w:p>
    <w:p>
      <w:pPr>
        <w:spacing w:after="0" w:line="221" w:lineRule="exact"/>
        <w:rPr>
          <w:sz w:val="20"/>
          <w:szCs w:val="20"/>
          <w:color w:val="auto"/>
        </w:rPr>
      </w:pPr>
    </w:p>
    <w:p>
      <w:pPr>
        <w:jc w:val="center"/>
        <w:spacing w:after="0"/>
        <w:rPr>
          <w:sz w:val="20"/>
          <w:szCs w:val="20"/>
          <w:color w:val="auto"/>
        </w:rPr>
      </w:pPr>
      <w:r>
        <w:rPr>
          <w:rFonts w:ascii="Trebuchet MS" w:cs="Trebuchet MS" w:eastAsia="Trebuchet MS" w:hAnsi="Trebuchet MS"/>
          <w:sz w:val="20"/>
          <w:szCs w:val="20"/>
          <w:color w:val="auto"/>
        </w:rPr>
        <w:t>19</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05" w:name="page206"/>
    <w:bookmarkEnd w:id="205"/>
    <w:p>
      <w:pPr>
        <w:jc w:val="center"/>
        <w:ind w:right="-239"/>
        <w:spacing w:after="0"/>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EXHIBIT A</w:t>
      </w:r>
    </w:p>
    <w:p>
      <w:pPr>
        <w:spacing w:after="0" w:line="1" w:lineRule="exact"/>
        <w:rPr>
          <w:sz w:val="20"/>
          <w:szCs w:val="20"/>
          <w:color w:val="auto"/>
        </w:rPr>
      </w:pPr>
    </w:p>
    <w:p>
      <w:pPr>
        <w:jc w:val="center"/>
        <w:ind w:right="-239"/>
        <w:spacing w:after="0"/>
        <w:rPr>
          <w:sz w:val="20"/>
          <w:szCs w:val="20"/>
          <w:color w:val="auto"/>
        </w:rPr>
      </w:pPr>
      <w:r>
        <w:rPr>
          <w:rFonts w:ascii="Trebuchet MS" w:cs="Trebuchet MS" w:eastAsia="Trebuchet MS" w:hAnsi="Trebuchet MS"/>
          <w:sz w:val="22"/>
          <w:szCs w:val="22"/>
          <w:color w:val="auto"/>
        </w:rPr>
        <w:t>ANNEXED TO AND INCORPORATED IN</w:t>
      </w:r>
    </w:p>
    <w:p>
      <w:pPr>
        <w:spacing w:after="0" w:line="1" w:lineRule="exact"/>
        <w:rPr>
          <w:sz w:val="20"/>
          <w:szCs w:val="20"/>
          <w:color w:val="auto"/>
        </w:rPr>
      </w:pPr>
    </w:p>
    <w:p>
      <w:pPr>
        <w:jc w:val="center"/>
        <w:ind w:right="-239"/>
        <w:spacing w:after="0"/>
        <w:rPr>
          <w:sz w:val="20"/>
          <w:szCs w:val="20"/>
          <w:color w:val="auto"/>
        </w:rPr>
      </w:pPr>
      <w:r>
        <w:rPr>
          <w:rFonts w:ascii="Trebuchet MS" w:cs="Trebuchet MS" w:eastAsia="Trebuchet MS" w:hAnsi="Trebuchet MS"/>
          <w:sz w:val="22"/>
          <w:szCs w:val="22"/>
          <w:u w:val="single" w:color="auto"/>
          <w:color w:val="auto"/>
        </w:rPr>
        <w:t>DEPOSIT AGREEMENT</w:t>
      </w:r>
    </w:p>
    <w:p>
      <w:pPr>
        <w:spacing w:after="0" w:line="244" w:lineRule="exact"/>
        <w:rPr>
          <w:sz w:val="20"/>
          <w:szCs w:val="20"/>
          <w:color w:val="auto"/>
        </w:rPr>
      </w:pPr>
    </w:p>
    <w:p>
      <w:pPr>
        <w:jc w:val="center"/>
        <w:ind w:right="-239"/>
        <w:spacing w:after="0"/>
        <w:rPr>
          <w:sz w:val="20"/>
          <w:szCs w:val="20"/>
          <w:color w:val="auto"/>
        </w:rPr>
      </w:pPr>
      <w:r>
        <w:rPr>
          <w:rFonts w:ascii="Trebuchet MS" w:cs="Trebuchet MS" w:eastAsia="Trebuchet MS" w:hAnsi="Trebuchet MS"/>
          <w:sz w:val="22"/>
          <w:szCs w:val="22"/>
          <w:color w:val="auto"/>
        </w:rPr>
        <w:t>[FORM OF FACE OF ADR]</w:t>
      </w:r>
    </w:p>
    <w:p>
      <w:pPr>
        <w:spacing w:after="0" w:line="244" w:lineRule="exact"/>
        <w:rPr>
          <w:sz w:val="20"/>
          <w:szCs w:val="20"/>
          <w:color w:val="auto"/>
        </w:rPr>
      </w:pPr>
    </w:p>
    <w:p>
      <w:pPr>
        <w:spacing w:after="0"/>
        <w:rPr>
          <w:sz w:val="20"/>
          <w:szCs w:val="20"/>
          <w:color w:val="auto"/>
        </w:rPr>
      </w:pPr>
      <w:r>
        <w:rPr>
          <w:rFonts w:ascii="Trebuchet MS" w:cs="Trebuchet MS" w:eastAsia="Trebuchet MS" w:hAnsi="Trebuchet MS"/>
          <w:sz w:val="22"/>
          <w:szCs w:val="22"/>
          <w:color w:val="auto"/>
        </w:rPr>
        <w:t>No. of ADSs:</w:t>
      </w:r>
    </w:p>
    <w:p>
      <w:pPr>
        <w:spacing w:after="0" w:line="1" w:lineRule="exact"/>
        <w:rPr>
          <w:sz w:val="20"/>
          <w:szCs w:val="20"/>
          <w:color w:val="auto"/>
        </w:rPr>
      </w:pPr>
    </w:p>
    <w:p>
      <w:pPr>
        <w:spacing w:after="0"/>
        <w:rPr>
          <w:sz w:val="20"/>
          <w:szCs w:val="20"/>
          <w:color w:val="auto"/>
        </w:rPr>
      </w:pPr>
      <w:r>
        <w:rPr>
          <w:rFonts w:ascii="Trebuchet MS" w:cs="Trebuchet MS" w:eastAsia="Trebuchet MS" w:hAnsi="Trebuchet MS"/>
          <w:sz w:val="22"/>
          <w:szCs w:val="22"/>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137795</wp:posOffset>
            </wp:positionV>
            <wp:extent cx="8261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300" w:type="dxa"/>
            <w:vAlign w:val="bottom"/>
            <w:gridSpan w:val="3"/>
          </w:tcPr>
          <w:p>
            <w:pPr>
              <w:ind w:left="3280"/>
              <w:spacing w:after="0"/>
              <w:rPr>
                <w:sz w:val="20"/>
                <w:szCs w:val="20"/>
                <w:color w:val="auto"/>
              </w:rPr>
            </w:pPr>
            <w:r>
              <w:rPr>
                <w:rFonts w:ascii="Trebuchet MS" w:cs="Trebuchet MS" w:eastAsia="Trebuchet MS" w:hAnsi="Trebuchet MS"/>
                <w:sz w:val="22"/>
                <w:szCs w:val="22"/>
                <w:color w:val="auto"/>
                <w:w w:val="99"/>
              </w:rPr>
              <w:t>Each ADS represents</w:t>
            </w: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9"/>
        </w:trPr>
        <w:tc>
          <w:tcPr>
            <w:tcW w:w="3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300" w:type="dxa"/>
            <w:vAlign w:val="bottom"/>
            <w:gridSpan w:val="3"/>
          </w:tcPr>
          <w:p>
            <w:pPr>
              <w:ind w:left="3280"/>
              <w:spacing w:after="0"/>
              <w:rPr>
                <w:sz w:val="20"/>
                <w:szCs w:val="20"/>
                <w:color w:val="auto"/>
              </w:rPr>
            </w:pPr>
            <w:r>
              <w:rPr>
                <w:rFonts w:ascii="Trebuchet MS" w:cs="Trebuchet MS" w:eastAsia="Trebuchet MS" w:hAnsi="Trebuchet MS"/>
                <w:sz w:val="22"/>
                <w:szCs w:val="22"/>
                <w:color w:val="auto"/>
              </w:rPr>
              <w:t>One (1) Share</w:t>
            </w: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500"/>
        </w:trPr>
        <w:tc>
          <w:tcPr>
            <w:tcW w:w="3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gridSpan w:val="3"/>
          </w:tcPr>
          <w:p>
            <w:pPr>
              <w:ind w:left="3280"/>
              <w:spacing w:after="0"/>
              <w:rPr>
                <w:sz w:val="20"/>
                <w:szCs w:val="20"/>
                <w:color w:val="auto"/>
              </w:rPr>
            </w:pPr>
            <w:r>
              <w:rPr>
                <w:rFonts w:ascii="Trebuchet MS" w:cs="Trebuchet MS" w:eastAsia="Trebuchet MS" w:hAnsi="Trebuchet MS"/>
                <w:sz w:val="22"/>
                <w:szCs w:val="22"/>
                <w:color w:val="auto"/>
              </w:rPr>
              <w:t>CUSIP:</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99"/>
        </w:trPr>
        <w:tc>
          <w:tcPr>
            <w:tcW w:w="3200" w:type="dxa"/>
            <w:vAlign w:val="bottom"/>
          </w:tcPr>
          <w:p>
            <w:pPr>
              <w:spacing w:after="0"/>
              <w:rPr>
                <w:sz w:val="24"/>
                <w:szCs w:val="24"/>
                <w:color w:val="auto"/>
              </w:rPr>
            </w:pPr>
          </w:p>
        </w:tc>
        <w:tc>
          <w:tcPr>
            <w:tcW w:w="6600" w:type="dxa"/>
            <w:vAlign w:val="bottom"/>
            <w:gridSpan w:val="4"/>
          </w:tcPr>
          <w:p>
            <w:pPr>
              <w:jc w:val="center"/>
              <w:ind w:right="1760"/>
              <w:spacing w:after="0"/>
              <w:rPr>
                <w:sz w:val="20"/>
                <w:szCs w:val="20"/>
                <w:color w:val="auto"/>
              </w:rPr>
            </w:pPr>
            <w:r>
              <w:rPr>
                <w:rFonts w:ascii="Trebuchet MS" w:cs="Trebuchet MS" w:eastAsia="Trebuchet MS" w:hAnsi="Trebuchet MS"/>
                <w:sz w:val="22"/>
                <w:szCs w:val="22"/>
                <w:color w:val="auto"/>
                <w:w w:val="98"/>
              </w:rPr>
              <w:t>AMERICAN DEPOSITARY RECEIPT</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99"/>
        </w:trPr>
        <w:tc>
          <w:tcPr>
            <w:tcW w:w="3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gridSpan w:val="3"/>
          </w:tcPr>
          <w:p>
            <w:pPr>
              <w:jc w:val="center"/>
              <w:ind w:right="3060"/>
              <w:spacing w:after="0"/>
              <w:rPr>
                <w:sz w:val="20"/>
                <w:szCs w:val="20"/>
                <w:color w:val="auto"/>
              </w:rPr>
            </w:pPr>
            <w:r>
              <w:rPr>
                <w:rFonts w:ascii="Trebuchet MS" w:cs="Trebuchet MS" w:eastAsia="Trebuchet MS" w:hAnsi="Trebuchet MS"/>
                <w:sz w:val="22"/>
                <w:szCs w:val="22"/>
                <w:color w:val="auto"/>
                <w:w w:val="98"/>
              </w:rPr>
              <w:t>evidencing</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00"/>
        </w:trPr>
        <w:tc>
          <w:tcPr>
            <w:tcW w:w="3200" w:type="dxa"/>
            <w:vAlign w:val="bottom"/>
          </w:tcPr>
          <w:p>
            <w:pPr>
              <w:spacing w:after="0"/>
              <w:rPr>
                <w:sz w:val="24"/>
                <w:szCs w:val="24"/>
                <w:color w:val="auto"/>
              </w:rPr>
            </w:pPr>
          </w:p>
        </w:tc>
        <w:tc>
          <w:tcPr>
            <w:tcW w:w="6600" w:type="dxa"/>
            <w:vAlign w:val="bottom"/>
            <w:gridSpan w:val="4"/>
          </w:tcPr>
          <w:p>
            <w:pPr>
              <w:jc w:val="center"/>
              <w:ind w:right="1760"/>
              <w:spacing w:after="0"/>
              <w:rPr>
                <w:sz w:val="20"/>
                <w:szCs w:val="20"/>
                <w:color w:val="auto"/>
              </w:rPr>
            </w:pPr>
            <w:r>
              <w:rPr>
                <w:rFonts w:ascii="Trebuchet MS" w:cs="Trebuchet MS" w:eastAsia="Trebuchet MS" w:hAnsi="Trebuchet MS"/>
                <w:sz w:val="22"/>
                <w:szCs w:val="22"/>
                <w:color w:val="auto"/>
                <w:w w:val="98"/>
              </w:rPr>
              <w:t>AMERICAN DEPOSITARY SHARES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99"/>
        </w:trPr>
        <w:tc>
          <w:tcPr>
            <w:tcW w:w="3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gridSpan w:val="3"/>
          </w:tcPr>
          <w:p>
            <w:pPr>
              <w:jc w:val="center"/>
              <w:ind w:right="3040"/>
              <w:spacing w:after="0"/>
              <w:rPr>
                <w:sz w:val="20"/>
                <w:szCs w:val="20"/>
                <w:color w:val="auto"/>
              </w:rPr>
            </w:pPr>
            <w:r>
              <w:rPr>
                <w:rFonts w:ascii="Trebuchet MS" w:cs="Trebuchet MS" w:eastAsia="Trebuchet MS" w:hAnsi="Trebuchet MS"/>
                <w:sz w:val="22"/>
                <w:szCs w:val="22"/>
                <w:color w:val="auto"/>
                <w:w w:val="98"/>
              </w:rPr>
              <w:t>representing</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00"/>
        </w:trPr>
        <w:tc>
          <w:tcPr>
            <w:tcW w:w="3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gridSpan w:val="3"/>
          </w:tcPr>
          <w:p>
            <w:pPr>
              <w:jc w:val="center"/>
              <w:ind w:right="3060"/>
              <w:spacing w:after="0"/>
              <w:rPr>
                <w:sz w:val="20"/>
                <w:szCs w:val="20"/>
                <w:color w:val="auto"/>
              </w:rPr>
            </w:pPr>
            <w:r>
              <w:rPr>
                <w:rFonts w:ascii="Trebuchet MS" w:cs="Trebuchet MS" w:eastAsia="Trebuchet MS" w:hAnsi="Trebuchet MS"/>
                <w:sz w:val="22"/>
                <w:szCs w:val="22"/>
                <w:color w:val="auto"/>
                <w:w w:val="98"/>
              </w:rPr>
              <w:t>ORDINARY SHARES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00"/>
        </w:trPr>
        <w:tc>
          <w:tcPr>
            <w:tcW w:w="3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gridSpan w:val="3"/>
          </w:tcPr>
          <w:p>
            <w:pPr>
              <w:jc w:val="center"/>
              <w:ind w:right="3060"/>
              <w:spacing w:after="0"/>
              <w:rPr>
                <w:sz w:val="20"/>
                <w:szCs w:val="20"/>
                <w:color w:val="auto"/>
              </w:rPr>
            </w:pPr>
            <w:r>
              <w:rPr>
                <w:rFonts w:ascii="Trebuchet MS" w:cs="Trebuchet MS" w:eastAsia="Trebuchet MS" w:hAnsi="Trebuchet MS"/>
                <w:sz w:val="22"/>
                <w:szCs w:val="22"/>
                <w:color w:val="auto"/>
                <w:w w:val="99"/>
              </w:rPr>
              <w:t>of</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99"/>
        </w:trPr>
        <w:tc>
          <w:tcPr>
            <w:tcW w:w="3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gridSpan w:val="3"/>
          </w:tcPr>
          <w:p>
            <w:pPr>
              <w:jc w:val="center"/>
              <w:ind w:right="3060"/>
              <w:spacing w:after="0"/>
              <w:rPr>
                <w:sz w:val="20"/>
                <w:szCs w:val="20"/>
                <w:color w:val="auto"/>
              </w:rPr>
            </w:pPr>
            <w:r>
              <w:rPr>
                <w:rFonts w:ascii="Trebuchet MS" w:cs="Trebuchet MS" w:eastAsia="Trebuchet MS" w:hAnsi="Trebuchet MS"/>
                <w:sz w:val="22"/>
                <w:szCs w:val="22"/>
                <w:color w:val="auto"/>
                <w:w w:val="97"/>
              </w:rPr>
              <w:t>OATLY GROUP AB</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00"/>
        </w:trPr>
        <w:tc>
          <w:tcPr>
            <w:tcW w:w="9800" w:type="dxa"/>
            <w:vAlign w:val="bottom"/>
            <w:gridSpan w:val="5"/>
          </w:tcPr>
          <w:p>
            <w:pPr>
              <w:jc w:val="center"/>
              <w:ind w:left="1352"/>
              <w:spacing w:after="0"/>
              <w:rPr>
                <w:sz w:val="20"/>
                <w:szCs w:val="20"/>
                <w:color w:val="auto"/>
              </w:rPr>
            </w:pPr>
            <w:r>
              <w:rPr>
                <w:rFonts w:ascii="Trebuchet MS" w:cs="Trebuchet MS" w:eastAsia="Trebuchet MS" w:hAnsi="Trebuchet MS"/>
                <w:sz w:val="22"/>
                <w:szCs w:val="22"/>
                <w:color w:val="auto"/>
                <w:w w:val="98"/>
              </w:rPr>
              <w:t>(Incorporated under the laws of the Kingdom of Sweden)</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9"/>
        </w:trPr>
        <w:tc>
          <w:tcPr>
            <w:tcW w:w="10920" w:type="dxa"/>
            <w:vAlign w:val="bottom"/>
            <w:gridSpan w:val="7"/>
          </w:tcPr>
          <w:p>
            <w:pPr>
              <w:ind w:left="1740"/>
              <w:spacing w:after="0"/>
              <w:rPr>
                <w:sz w:val="20"/>
                <w:szCs w:val="20"/>
                <w:color w:val="auto"/>
              </w:rPr>
            </w:pPr>
            <w:r>
              <w:rPr>
                <w:rFonts w:ascii="Trebuchet MS" w:cs="Trebuchet MS" w:eastAsia="Trebuchet MS" w:hAnsi="Trebuchet MS"/>
                <w:sz w:val="22"/>
                <w:szCs w:val="22"/>
                <w:color w:val="auto"/>
                <w:w w:val="98"/>
              </w:rPr>
              <w:t>JPMORGAN CHASE BANK, N.A., a national banking association organized under the laws of the</w:t>
            </w:r>
          </w:p>
        </w:tc>
      </w:tr>
      <w:tr>
        <w:trPr>
          <w:trHeight w:val="224"/>
        </w:trPr>
        <w:tc>
          <w:tcPr>
            <w:tcW w:w="8940" w:type="dxa"/>
            <w:vAlign w:val="bottom"/>
            <w:gridSpan w:val="3"/>
          </w:tcPr>
          <w:p>
            <w:pPr>
              <w:spacing w:after="0" w:line="224" w:lineRule="exact"/>
              <w:rPr>
                <w:sz w:val="20"/>
                <w:szCs w:val="20"/>
                <w:color w:val="auto"/>
              </w:rPr>
            </w:pPr>
            <w:r>
              <w:rPr>
                <w:rFonts w:ascii="Trebuchet MS" w:cs="Trebuchet MS" w:eastAsia="Trebuchet MS" w:hAnsi="Trebuchet MS"/>
                <w:sz w:val="22"/>
                <w:szCs w:val="22"/>
                <w:color w:val="auto"/>
                <w:w w:val="98"/>
              </w:rPr>
              <w:t>United States of America, as depositary hereunder (the "</w:t>
            </w:r>
            <w:r>
              <w:rPr>
                <w:rFonts w:ascii="Trebuchet MS" w:cs="Trebuchet MS" w:eastAsia="Trebuchet MS" w:hAnsi="Trebuchet MS"/>
                <w:sz w:val="22"/>
                <w:szCs w:val="22"/>
                <w:b w:val="1"/>
                <w:bCs w:val="1"/>
                <w:color w:val="auto"/>
                <w:w w:val="98"/>
              </w:rPr>
              <w:t>Depositary</w:t>
            </w:r>
            <w:r>
              <w:rPr>
                <w:rFonts w:ascii="Trebuchet MS" w:cs="Trebuchet MS" w:eastAsia="Trebuchet MS" w:hAnsi="Trebuchet MS"/>
                <w:sz w:val="22"/>
                <w:szCs w:val="22"/>
                <w:color w:val="auto"/>
                <w:w w:val="98"/>
              </w:rPr>
              <w:t>"), hereby certifies that</w:t>
            </w:r>
          </w:p>
        </w:tc>
        <w:tc>
          <w:tcPr>
            <w:tcW w:w="2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Pr>
          <w:p>
            <w:pPr>
              <w:ind w:left="60"/>
              <w:spacing w:after="0" w:line="224" w:lineRule="exact"/>
              <w:rPr>
                <w:sz w:val="20"/>
                <w:szCs w:val="20"/>
                <w:color w:val="auto"/>
              </w:rPr>
            </w:pPr>
            <w:r>
              <w:rPr>
                <w:rFonts w:ascii="Trebuchet MS" w:cs="Trebuchet MS" w:eastAsia="Trebuchet MS" w:hAnsi="Trebuchet MS"/>
                <w:sz w:val="22"/>
                <w:szCs w:val="22"/>
                <w:color w:val="auto"/>
                <w:w w:val="95"/>
              </w:rPr>
              <w:t>is the</w:t>
            </w:r>
          </w:p>
        </w:tc>
      </w:tr>
      <w:tr>
        <w:trPr>
          <w:trHeight w:val="236"/>
        </w:trPr>
        <w:tc>
          <w:tcPr>
            <w:tcW w:w="3200" w:type="dxa"/>
            <w:vAlign w:val="bottom"/>
          </w:tcPr>
          <w:p>
            <w:pPr>
              <w:spacing w:after="0" w:line="237" w:lineRule="exact"/>
              <w:rPr>
                <w:sz w:val="20"/>
                <w:szCs w:val="20"/>
                <w:color w:val="auto"/>
              </w:rPr>
            </w:pPr>
            <w:r>
              <w:rPr>
                <w:rFonts w:ascii="Trebuchet MS" w:cs="Trebuchet MS" w:eastAsia="Trebuchet MS" w:hAnsi="Trebuchet MS"/>
                <w:sz w:val="22"/>
                <w:szCs w:val="22"/>
                <w:color w:val="auto"/>
                <w:w w:val="99"/>
              </w:rPr>
              <w:t>registered owner (a "</w:t>
            </w:r>
            <w:r>
              <w:rPr>
                <w:rFonts w:ascii="Trebuchet MS" w:cs="Trebuchet MS" w:eastAsia="Trebuchet MS" w:hAnsi="Trebuchet MS"/>
                <w:sz w:val="22"/>
                <w:szCs w:val="22"/>
                <w:b w:val="1"/>
                <w:bCs w:val="1"/>
                <w:color w:val="auto"/>
                <w:w w:val="99"/>
              </w:rPr>
              <w:t>Holder</w:t>
            </w:r>
            <w:r>
              <w:rPr>
                <w:rFonts w:ascii="Trebuchet MS" w:cs="Trebuchet MS" w:eastAsia="Trebuchet MS" w:hAnsi="Trebuchet MS"/>
                <w:sz w:val="22"/>
                <w:szCs w:val="22"/>
                <w:color w:val="auto"/>
                <w:w w:val="99"/>
              </w:rPr>
              <w:t>") of</w:t>
            </w:r>
          </w:p>
        </w:tc>
        <w:tc>
          <w:tcPr>
            <w:tcW w:w="1300" w:type="dxa"/>
            <w:vAlign w:val="bottom"/>
            <w:tcBorders>
              <w:bottom w:val="single" w:sz="8" w:color="auto"/>
            </w:tcBorders>
          </w:tcPr>
          <w:p>
            <w:pPr>
              <w:spacing w:after="0"/>
              <w:rPr>
                <w:sz w:val="20"/>
                <w:szCs w:val="20"/>
                <w:color w:val="auto"/>
              </w:rPr>
            </w:pPr>
          </w:p>
        </w:tc>
        <w:tc>
          <w:tcPr>
            <w:tcW w:w="6420" w:type="dxa"/>
            <w:vAlign w:val="bottom"/>
            <w:gridSpan w:val="5"/>
          </w:tcPr>
          <w:p>
            <w:pPr>
              <w:spacing w:after="0" w:line="237" w:lineRule="exact"/>
              <w:rPr>
                <w:sz w:val="20"/>
                <w:szCs w:val="20"/>
                <w:color w:val="auto"/>
              </w:rPr>
            </w:pPr>
            <w:r>
              <w:rPr>
                <w:rFonts w:ascii="Trebuchet MS" w:cs="Trebuchet MS" w:eastAsia="Trebuchet MS" w:hAnsi="Trebuchet MS"/>
                <w:sz w:val="22"/>
                <w:szCs w:val="22"/>
                <w:color w:val="auto"/>
                <w:w w:val="99"/>
              </w:rPr>
              <w:t>American Depositary Shares ("</w:t>
            </w:r>
            <w:r>
              <w:rPr>
                <w:rFonts w:ascii="Trebuchet MS" w:cs="Trebuchet MS" w:eastAsia="Trebuchet MS" w:hAnsi="Trebuchet MS"/>
                <w:sz w:val="22"/>
                <w:szCs w:val="22"/>
                <w:b w:val="1"/>
                <w:bCs w:val="1"/>
                <w:color w:val="auto"/>
                <w:w w:val="99"/>
              </w:rPr>
              <w:t>ADSs</w:t>
            </w:r>
            <w:r>
              <w:rPr>
                <w:rFonts w:ascii="Trebuchet MS" w:cs="Trebuchet MS" w:eastAsia="Trebuchet MS" w:hAnsi="Trebuchet MS"/>
                <w:sz w:val="22"/>
                <w:szCs w:val="22"/>
                <w:color w:val="auto"/>
                <w:w w:val="99"/>
              </w:rPr>
              <w:t>"), each (subject to paragraph</w:t>
            </w:r>
          </w:p>
        </w:tc>
      </w:tr>
    </w:tbl>
    <w:p>
      <w:pPr>
        <w:spacing w:after="0" w:line="27" w:lineRule="exact"/>
        <w:rPr>
          <w:sz w:val="20"/>
          <w:szCs w:val="20"/>
          <w:color w:val="auto"/>
        </w:rPr>
      </w:pPr>
    </w:p>
    <w:p>
      <w:pPr>
        <w:jc w:val="both"/>
        <w:ind w:firstLine="8"/>
        <w:spacing w:after="0" w:line="256" w:lineRule="auto"/>
        <w:tabs>
          <w:tab w:leader="none" w:pos="450" w:val="left"/>
        </w:tabs>
        <w:numPr>
          <w:ilvl w:val="0"/>
          <w:numId w:val="147"/>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w:t>
      </w:r>
      <w:r>
        <w:rPr>
          <w:rFonts w:ascii="Trebuchet MS" w:cs="Trebuchet MS" w:eastAsia="Trebuchet MS" w:hAnsi="Trebuchet MS"/>
          <w:sz w:val="21"/>
          <w:szCs w:val="21"/>
          <w:i w:val="1"/>
          <w:iCs w:val="1"/>
          <w:color w:val="auto"/>
        </w:rPr>
        <w:t>Changes Affecting Deposited Securities</w:t>
      </w:r>
      <w:r>
        <w:rPr>
          <w:rFonts w:ascii="Trebuchet MS" w:cs="Trebuchet MS" w:eastAsia="Trebuchet MS" w:hAnsi="Trebuchet MS"/>
          <w:sz w:val="21"/>
          <w:szCs w:val="21"/>
          <w:color w:val="auto"/>
        </w:rPr>
        <w:t>)) representing one (1) ordinary share, par value $0.00017 per share (including the rights to receive Shares described in paragraph (1) (</w:t>
      </w:r>
      <w:r>
        <w:rPr>
          <w:rFonts w:ascii="Trebuchet MS" w:cs="Trebuchet MS" w:eastAsia="Trebuchet MS" w:hAnsi="Trebuchet MS"/>
          <w:sz w:val="21"/>
          <w:szCs w:val="21"/>
          <w:i w:val="1"/>
          <w:iCs w:val="1"/>
          <w:color w:val="auto"/>
        </w:rPr>
        <w:t>Issuance of ADSs</w:t>
      </w:r>
      <w:r>
        <w:rPr>
          <w:rFonts w:ascii="Trebuchet MS" w:cs="Trebuchet MS" w:eastAsia="Trebuchet MS" w:hAnsi="Trebuchet MS"/>
          <w:sz w:val="21"/>
          <w:szCs w:val="21"/>
          <w:color w:val="auto"/>
        </w:rPr>
        <w:t>), "</w:t>
      </w:r>
      <w:r>
        <w:rPr>
          <w:rFonts w:ascii="Trebuchet MS" w:cs="Trebuchet MS" w:eastAsia="Trebuchet MS" w:hAnsi="Trebuchet MS"/>
          <w:sz w:val="21"/>
          <w:szCs w:val="21"/>
          <w:b w:val="1"/>
          <w:bCs w:val="1"/>
          <w:color w:val="auto"/>
        </w:rPr>
        <w:t>Shares</w:t>
      </w:r>
      <w:r>
        <w:rPr>
          <w:rFonts w:ascii="Trebuchet MS" w:cs="Trebuchet MS" w:eastAsia="Trebuchet MS" w:hAnsi="Trebuchet MS"/>
          <w:sz w:val="21"/>
          <w:szCs w:val="21"/>
          <w:color w:val="auto"/>
        </w:rPr>
        <w:t>" and, together with any other securities, cash or property from time to time held by the Depositary in respect or in lieu of deposited Shares, the "</w:t>
      </w:r>
      <w:r>
        <w:rPr>
          <w:rFonts w:ascii="Trebuchet MS" w:cs="Trebuchet MS" w:eastAsia="Trebuchet MS" w:hAnsi="Trebuchet MS"/>
          <w:sz w:val="21"/>
          <w:szCs w:val="21"/>
          <w:b w:val="1"/>
          <w:bCs w:val="1"/>
          <w:color w:val="auto"/>
        </w:rPr>
        <w:t>Deposited Securities</w:t>
      </w:r>
      <w:r>
        <w:rPr>
          <w:rFonts w:ascii="Trebuchet MS" w:cs="Trebuchet MS" w:eastAsia="Trebuchet MS" w:hAnsi="Trebuchet MS"/>
          <w:sz w:val="21"/>
          <w:szCs w:val="21"/>
          <w:color w:val="auto"/>
        </w:rPr>
        <w:t>"), of OATLY GROUP AB, a public limited entity organized under the laws of the Kingdom of Sweden (the "</w:t>
      </w:r>
      <w:r>
        <w:rPr>
          <w:rFonts w:ascii="Trebuchet MS" w:cs="Trebuchet MS" w:eastAsia="Trebuchet MS" w:hAnsi="Trebuchet MS"/>
          <w:sz w:val="21"/>
          <w:szCs w:val="21"/>
          <w:b w:val="1"/>
          <w:bCs w:val="1"/>
          <w:color w:val="auto"/>
        </w:rPr>
        <w:t>Company</w:t>
      </w:r>
      <w:r>
        <w:rPr>
          <w:rFonts w:ascii="Trebuchet MS" w:cs="Trebuchet MS" w:eastAsia="Trebuchet MS" w:hAnsi="Trebuchet MS"/>
          <w:sz w:val="21"/>
          <w:szCs w:val="21"/>
          <w:color w:val="auto"/>
        </w:rPr>
        <w:t>"), deposited under the Deposit Agreement dated as of __________________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A-1</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1381" w:right="579" w:bottom="1440" w:gutter="0" w:footer="0" w:header="0"/>
        </w:sectPr>
      </w:pPr>
    </w:p>
    <w:bookmarkStart w:id="206" w:name="page207"/>
    <w:bookmarkEnd w:id="206"/>
    <w:p>
      <w:pPr>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___, 2021 (as amended from time to time, the "</w:t>
      </w:r>
      <w:r>
        <w:rPr>
          <w:rFonts w:ascii="Trebuchet MS" w:cs="Trebuchet MS" w:eastAsia="Trebuchet MS" w:hAnsi="Trebuchet MS"/>
          <w:sz w:val="22"/>
          <w:szCs w:val="22"/>
          <w:b w:val="1"/>
          <w:bCs w:val="1"/>
          <w:color w:val="auto"/>
        </w:rPr>
        <w:t>Deposit Agreement</w:t>
      </w:r>
      <w:r>
        <w:rPr>
          <w:rFonts w:ascii="Trebuchet MS" w:cs="Trebuchet MS" w:eastAsia="Trebuchet MS" w:hAnsi="Trebuchet MS"/>
          <w:sz w:val="22"/>
          <w:szCs w:val="22"/>
          <w:color w:val="auto"/>
        </w:rPr>
        <w:t>") among the Company, the Depositary and all Holders and Beneficial Owners from time to time of American Depositary Receipts issued thereunder ("</w:t>
      </w:r>
      <w:r>
        <w:rPr>
          <w:rFonts w:ascii="Trebuchet MS" w:cs="Trebuchet MS" w:eastAsia="Trebuchet MS" w:hAnsi="Trebuchet MS"/>
          <w:sz w:val="22"/>
          <w:szCs w:val="22"/>
          <w:b w:val="1"/>
          <w:bCs w:val="1"/>
          <w:color w:val="auto"/>
        </w:rPr>
        <w:t>ADRs</w:t>
      </w:r>
      <w:r>
        <w:rPr>
          <w:rFonts w:ascii="Trebuchet MS" w:cs="Trebuchet MS" w:eastAsia="Trebuchet MS" w:hAnsi="Trebuchet MS"/>
          <w:sz w:val="22"/>
          <w:szCs w:val="22"/>
          <w:color w:val="auto"/>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207" w:name="page208"/>
    <w:bookmarkEnd w:id="207"/>
    <w:p>
      <w:pPr>
        <w:ind w:left="1800" w:hanging="928"/>
        <w:spacing w:after="0"/>
        <w:tabs>
          <w:tab w:leader="none" w:pos="1800" w:val="left"/>
        </w:tabs>
        <w:numPr>
          <w:ilvl w:val="0"/>
          <w:numId w:val="148"/>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Issuance of ADSs</w:t>
      </w:r>
      <w:r>
        <w:rPr>
          <w:rFonts w:ascii="Trebuchet MS" w:cs="Trebuchet MS" w:eastAsia="Trebuchet MS" w:hAnsi="Trebuchet MS"/>
          <w:sz w:val="22"/>
          <w:szCs w:val="22"/>
          <w:color w:val="auto"/>
        </w:rPr>
        <w:t>.</w:t>
      </w:r>
    </w:p>
    <w:p>
      <w:pPr>
        <w:spacing w:after="0" w:line="252" w:lineRule="exact"/>
        <w:rPr>
          <w:rFonts w:ascii="Trebuchet MS" w:cs="Trebuchet MS" w:eastAsia="Trebuchet MS" w:hAnsi="Trebuchet MS"/>
          <w:sz w:val="22"/>
          <w:szCs w:val="22"/>
          <w:color w:val="auto"/>
        </w:rPr>
      </w:pPr>
    </w:p>
    <w:p>
      <w:pPr>
        <w:ind w:right="140" w:firstLine="1735"/>
        <w:spacing w:after="0" w:line="241" w:lineRule="auto"/>
        <w:tabs>
          <w:tab w:leader="none" w:pos="2130" w:val="left"/>
        </w:tabs>
        <w:numPr>
          <w:ilvl w:val="2"/>
          <w:numId w:val="148"/>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Issuance</w:t>
      </w:r>
      <w:r>
        <w:rPr>
          <w:rFonts w:ascii="Trebuchet MS" w:cs="Trebuchet MS" w:eastAsia="Trebuchet MS" w:hAnsi="Trebuchet MS"/>
          <w:sz w:val="22"/>
          <w:szCs w:val="22"/>
          <w:color w:val="auto"/>
        </w:rPr>
        <w:t>. This ADR is one of the ADRs issued under the Deposit Agreement. Subject to the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other provisions hereof, the Depositary may so issue ADRs for delivery at the Transfer Office (as hereinafter defined) only against deposit of: (i) Shares in a form satisfactory to the Custodian; or (ii) rights to receive Shares from the Company or any registrar, transfer agent, clearing agent or other entity recording Share ownership or transactions.</w:t>
      </w:r>
    </w:p>
    <w:p>
      <w:pPr>
        <w:spacing w:after="0" w:line="242" w:lineRule="exact"/>
        <w:rPr>
          <w:rFonts w:ascii="Trebuchet MS" w:cs="Trebuchet MS" w:eastAsia="Trebuchet MS" w:hAnsi="Trebuchet MS"/>
          <w:sz w:val="22"/>
          <w:szCs w:val="22"/>
          <w:color w:val="auto"/>
        </w:rPr>
      </w:pPr>
    </w:p>
    <w:p>
      <w:pPr>
        <w:ind w:left="2140" w:hanging="405"/>
        <w:spacing w:after="0"/>
        <w:tabs>
          <w:tab w:leader="none" w:pos="2140" w:val="left"/>
        </w:tabs>
        <w:numPr>
          <w:ilvl w:val="2"/>
          <w:numId w:val="148"/>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Lending</w:t>
      </w:r>
      <w:r>
        <w:rPr>
          <w:rFonts w:ascii="Trebuchet MS" w:cs="Trebuchet MS" w:eastAsia="Trebuchet MS" w:hAnsi="Trebuchet MS"/>
          <w:sz w:val="22"/>
          <w:szCs w:val="22"/>
          <w:color w:val="auto"/>
        </w:rPr>
        <w:t>. In its capacity as Depositary, the Depositary shall not lend Shares or ADSs.</w:t>
      </w:r>
    </w:p>
    <w:p>
      <w:pPr>
        <w:spacing w:after="0" w:line="244" w:lineRule="exact"/>
        <w:rPr>
          <w:rFonts w:ascii="Trebuchet MS" w:cs="Trebuchet MS" w:eastAsia="Trebuchet MS" w:hAnsi="Trebuchet MS"/>
          <w:sz w:val="22"/>
          <w:szCs w:val="22"/>
          <w:color w:val="auto"/>
        </w:rPr>
      </w:pPr>
    </w:p>
    <w:p>
      <w:pPr>
        <w:ind w:right="300" w:firstLine="1735"/>
        <w:spacing w:after="0" w:line="244" w:lineRule="auto"/>
        <w:tabs>
          <w:tab w:leader="none" w:pos="2123" w:val="left"/>
        </w:tabs>
        <w:numPr>
          <w:ilvl w:val="2"/>
          <w:numId w:val="148"/>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Representations and Warranties of Depositors</w:t>
      </w:r>
      <w:r>
        <w:rPr>
          <w:rFonts w:ascii="Trebuchet MS" w:cs="Trebuchet MS" w:eastAsia="Trebuchet MS" w:hAnsi="Trebuchet MS"/>
          <w:sz w:val="22"/>
          <w:szCs w:val="22"/>
          <w:color w:val="auto"/>
        </w:rPr>
        <w:t>. Every person depositing Shares under the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Deposit Agreement represents and warrants that:</w:t>
      </w:r>
    </w:p>
    <w:p>
      <w:pPr>
        <w:spacing w:after="0" w:line="250" w:lineRule="exact"/>
        <w:rPr>
          <w:rFonts w:ascii="Trebuchet MS" w:cs="Trebuchet MS" w:eastAsia="Trebuchet MS" w:hAnsi="Trebuchet MS"/>
          <w:sz w:val="22"/>
          <w:szCs w:val="22"/>
          <w:color w:val="auto"/>
        </w:rPr>
      </w:pPr>
    </w:p>
    <w:p>
      <w:pPr>
        <w:ind w:left="2580" w:right="780" w:hanging="858"/>
        <w:spacing w:after="0" w:line="267" w:lineRule="auto"/>
        <w:tabs>
          <w:tab w:leader="none" w:pos="2580" w:val="left"/>
        </w:tabs>
        <w:numPr>
          <w:ilvl w:val="1"/>
          <w:numId w:val="148"/>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such Shares and the certificates therefor are duly authorized, validly issued and outstanding, fully paid, nonassessable and legally obtained by such person,</w:t>
      </w:r>
    </w:p>
    <w:p>
      <w:pPr>
        <w:spacing w:after="0" w:line="213" w:lineRule="exact"/>
        <w:rPr>
          <w:rFonts w:ascii="Trebuchet MS" w:cs="Trebuchet MS" w:eastAsia="Trebuchet MS" w:hAnsi="Trebuchet MS"/>
          <w:sz w:val="21"/>
          <w:szCs w:val="21"/>
          <w:color w:val="auto"/>
        </w:rPr>
      </w:pPr>
    </w:p>
    <w:p>
      <w:pPr>
        <w:ind w:left="2580" w:right="280" w:hanging="858"/>
        <w:spacing w:after="0" w:line="244" w:lineRule="auto"/>
        <w:tabs>
          <w:tab w:leader="none" w:pos="2580" w:val="left"/>
        </w:tabs>
        <w:numPr>
          <w:ilvl w:val="1"/>
          <w:numId w:val="14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all pre-emptive and comparable rights, if any, with respect to such Shares have been validly waived or exercised,</w:t>
      </w:r>
    </w:p>
    <w:p>
      <w:pPr>
        <w:spacing w:after="0" w:line="236" w:lineRule="exact"/>
        <w:rPr>
          <w:rFonts w:ascii="Trebuchet MS" w:cs="Trebuchet MS" w:eastAsia="Trebuchet MS" w:hAnsi="Trebuchet MS"/>
          <w:sz w:val="22"/>
          <w:szCs w:val="22"/>
          <w:color w:val="auto"/>
        </w:rPr>
      </w:pPr>
    </w:p>
    <w:p>
      <w:pPr>
        <w:ind w:left="2580" w:hanging="858"/>
        <w:spacing w:after="0"/>
        <w:tabs>
          <w:tab w:leader="none" w:pos="2580" w:val="left"/>
        </w:tabs>
        <w:numPr>
          <w:ilvl w:val="1"/>
          <w:numId w:val="14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person making such deposit is duly authorized so to do,</w:t>
      </w:r>
    </w:p>
    <w:p>
      <w:pPr>
        <w:spacing w:after="0" w:line="244" w:lineRule="exact"/>
        <w:rPr>
          <w:rFonts w:ascii="Trebuchet MS" w:cs="Trebuchet MS" w:eastAsia="Trebuchet MS" w:hAnsi="Trebuchet MS"/>
          <w:sz w:val="22"/>
          <w:szCs w:val="22"/>
          <w:color w:val="auto"/>
        </w:rPr>
      </w:pPr>
    </w:p>
    <w:p>
      <w:pPr>
        <w:ind w:left="2580" w:right="120" w:hanging="858"/>
        <w:spacing w:after="0" w:line="244" w:lineRule="auto"/>
        <w:tabs>
          <w:tab w:leader="none" w:pos="2580" w:val="left"/>
        </w:tabs>
        <w:numPr>
          <w:ilvl w:val="1"/>
          <w:numId w:val="148"/>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Shares presented for deposit are free and clear of any lien, encumbrance, security interest, charge, mortgage or adverse claim and</w:t>
      </w:r>
    </w:p>
    <w:p>
      <w:pPr>
        <w:spacing w:after="0" w:line="236" w:lineRule="exact"/>
        <w:rPr>
          <w:rFonts w:ascii="Trebuchet MS" w:cs="Trebuchet MS" w:eastAsia="Trebuchet MS" w:hAnsi="Trebuchet MS"/>
          <w:sz w:val="22"/>
          <w:szCs w:val="22"/>
          <w:color w:val="auto"/>
        </w:rPr>
      </w:pPr>
    </w:p>
    <w:p>
      <w:pPr>
        <w:ind w:left="2580" w:hanging="858"/>
        <w:spacing w:after="0" w:line="254" w:lineRule="auto"/>
        <w:tabs>
          <w:tab w:leader="none" w:pos="2580" w:val="left"/>
        </w:tabs>
        <w:numPr>
          <w:ilvl w:val="1"/>
          <w:numId w:val="148"/>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such Shares (A) are not “restricted securities” as such term is defined in Rule 144 under the Securities Act of 1933 (“</w:t>
      </w:r>
      <w:r>
        <w:rPr>
          <w:rFonts w:ascii="Trebuchet MS" w:cs="Trebuchet MS" w:eastAsia="Trebuchet MS" w:hAnsi="Trebuchet MS"/>
          <w:sz w:val="21"/>
          <w:szCs w:val="21"/>
          <w:b w:val="1"/>
          <w:bCs w:val="1"/>
          <w:color w:val="auto"/>
        </w:rPr>
        <w:t>Restricted Securities”</w:t>
      </w:r>
      <w:r>
        <w:rPr>
          <w:rFonts w:ascii="Trebuchet MS" w:cs="Trebuchet MS" w:eastAsia="Trebuchet MS" w:hAnsi="Trebuchet MS"/>
          <w:sz w:val="21"/>
          <w:szCs w:val="21"/>
          <w:color w:val="auto"/>
        </w:rPr>
        <w:t>)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373" w:right="459" w:bottom="1440" w:gutter="0" w:footer="0" w:header="0"/>
        </w:sectPr>
      </w:pPr>
    </w:p>
    <w:bookmarkStart w:id="208" w:name="page209"/>
    <w:bookmarkEnd w:id="208"/>
    <w:p>
      <w:pPr>
        <w:ind w:right="20" w:firstLine="1727"/>
        <w:spacing w:after="0" w:line="241"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Such representations and warranties shall survive the deposit and withdrawal of Shares and the issuance and cancellation of ADSs in respect thereof and the transfer of such ADSs. If any of the representations or warranties are incorrect in any respect, the Company and the Depositary may, at the cost of the breaching Holder and/or Beneficial Owner, and each of them, take any and all actions necessary to correct the consequences of such misrepresentation.</w:t>
      </w:r>
    </w:p>
    <w:p>
      <w:pPr>
        <w:spacing w:after="0" w:line="243" w:lineRule="exact"/>
        <w:rPr>
          <w:sz w:val="20"/>
          <w:szCs w:val="20"/>
          <w:color w:val="auto"/>
        </w:rPr>
      </w:pPr>
    </w:p>
    <w:p>
      <w:pPr>
        <w:jc w:val="both"/>
        <w:ind w:right="120" w:firstLine="1735"/>
        <w:spacing w:after="0" w:line="242" w:lineRule="auto"/>
        <w:tabs>
          <w:tab w:leader="none" w:pos="2136" w:val="left"/>
        </w:tabs>
        <w:numPr>
          <w:ilvl w:val="1"/>
          <w:numId w:val="14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Depositary may refuse to accept for such deposit any Shares identified by the Company in order to facilitate compliance with the requirements of the Securities Act of 1933 and the rules and regulations promulgated thereunder.</w:t>
      </w:r>
    </w:p>
    <w:p>
      <w:pPr>
        <w:spacing w:after="0" w:line="200" w:lineRule="exact"/>
        <w:rPr>
          <w:rFonts w:ascii="Trebuchet MS" w:cs="Trebuchet MS" w:eastAsia="Trebuchet MS" w:hAnsi="Trebuchet MS"/>
          <w:sz w:val="22"/>
          <w:szCs w:val="22"/>
          <w:color w:val="auto"/>
        </w:rPr>
      </w:pPr>
    </w:p>
    <w:p>
      <w:pPr>
        <w:spacing w:after="0" w:line="274" w:lineRule="exact"/>
        <w:rPr>
          <w:rFonts w:ascii="Trebuchet MS" w:cs="Trebuchet MS" w:eastAsia="Trebuchet MS" w:hAnsi="Trebuchet MS"/>
          <w:sz w:val="22"/>
          <w:szCs w:val="22"/>
          <w:color w:val="auto"/>
        </w:rPr>
      </w:pPr>
    </w:p>
    <w:p>
      <w:pPr>
        <w:ind w:right="20" w:firstLine="872"/>
        <w:spacing w:after="0" w:line="242" w:lineRule="auto"/>
        <w:tabs>
          <w:tab w:leader="none" w:pos="1783" w:val="left"/>
        </w:tabs>
        <w:numPr>
          <w:ilvl w:val="0"/>
          <w:numId w:val="150"/>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Withdrawal of Deposited Securities</w:t>
      </w:r>
      <w:r>
        <w:rPr>
          <w:rFonts w:ascii="Trebuchet MS" w:cs="Trebuchet MS" w:eastAsia="Trebuchet MS" w:hAnsi="Trebuchet MS"/>
          <w:sz w:val="22"/>
          <w:szCs w:val="22"/>
          <w:color w:val="auto"/>
        </w:rPr>
        <w:t>. Subject to paragraphs (4) (</w:t>
      </w:r>
      <w:r>
        <w:rPr>
          <w:rFonts w:ascii="Trebuchet MS" w:cs="Trebuchet MS" w:eastAsia="Trebuchet MS" w:hAnsi="Trebuchet MS"/>
          <w:sz w:val="22"/>
          <w:szCs w:val="22"/>
          <w:i w:val="1"/>
          <w:iCs w:val="1"/>
          <w:color w:val="auto"/>
        </w:rPr>
        <w:t>Certain Limitations to</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i w:val="1"/>
          <w:iCs w:val="1"/>
          <w:color w:val="auto"/>
        </w:rPr>
        <w:t xml:space="preserve">Registration, Transfer etc.) </w:t>
      </w:r>
      <w:r>
        <w:rPr>
          <w:rFonts w:ascii="Trebuchet MS" w:cs="Trebuchet MS" w:eastAsia="Trebuchet MS" w:hAnsi="Trebuchet MS"/>
          <w:sz w:val="22"/>
          <w:szCs w:val="22"/>
          <w:color w:val="auto"/>
        </w:rPr>
        <w:t>and (5) (</w:t>
      </w:r>
      <w:r>
        <w:rPr>
          <w:rFonts w:ascii="Trebuchet MS" w:cs="Trebuchet MS" w:eastAsia="Trebuchet MS" w:hAnsi="Trebuchet MS"/>
          <w:sz w:val="22"/>
          <w:szCs w:val="22"/>
          <w:i w:val="1"/>
          <w:iCs w:val="1"/>
          <w:color w:val="auto"/>
        </w:rPr>
        <w:t>Liability for Taxes, Duties and Other Charges</w:t>
      </w:r>
      <w:r>
        <w:rPr>
          <w:rFonts w:ascii="Trebuchet MS" w:cs="Trebuchet MS" w:eastAsia="Trebuchet MS" w:hAnsi="Trebuchet MS"/>
          <w:sz w:val="22"/>
          <w:szCs w:val="22"/>
          <w:color w:val="auto"/>
        </w:rPr>
        <w:t>), upon surrender of (a) a</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certificated ADR in a form satisfactory to the Depositary at the Transfer Office or (b) proper instructions and documentation in the case of a Direct Registration ADR, the Holder hereof is entitled to delivery at, or to the extent in dematerialized form from, the Custodian's office of the Deposited Securities at the time represented by the ADSs evidenced by this ADR.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232" w:lineRule="exact"/>
        <w:rPr>
          <w:rFonts w:ascii="Trebuchet MS" w:cs="Trebuchet MS" w:eastAsia="Trebuchet MS" w:hAnsi="Trebuchet MS"/>
          <w:sz w:val="22"/>
          <w:szCs w:val="22"/>
          <w:color w:val="auto"/>
        </w:rPr>
      </w:pPr>
    </w:p>
    <w:p>
      <w:pPr>
        <w:ind w:firstLine="872"/>
        <w:spacing w:after="0" w:line="241" w:lineRule="auto"/>
        <w:tabs>
          <w:tab w:leader="none" w:pos="1783" w:val="left"/>
        </w:tabs>
        <w:numPr>
          <w:ilvl w:val="0"/>
          <w:numId w:val="150"/>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Transfers, Split-Ups and Combinations of ADRs</w:t>
      </w:r>
      <w:r>
        <w:rPr>
          <w:rFonts w:ascii="Trebuchet MS" w:cs="Trebuchet MS" w:eastAsia="Trebuchet MS" w:hAnsi="Trebuchet MS"/>
          <w:sz w:val="22"/>
          <w:szCs w:val="22"/>
          <w:color w:val="auto"/>
        </w:rPr>
        <w:t>. The Depositary or its agent will keep, at a</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designated transfer office (the "</w:t>
      </w:r>
      <w:r>
        <w:rPr>
          <w:rFonts w:ascii="Trebuchet MS" w:cs="Trebuchet MS" w:eastAsia="Trebuchet MS" w:hAnsi="Trebuchet MS"/>
          <w:sz w:val="22"/>
          <w:szCs w:val="22"/>
          <w:b w:val="1"/>
          <w:bCs w:val="1"/>
          <w:color w:val="auto"/>
        </w:rPr>
        <w:t>Transfer Office</w:t>
      </w:r>
      <w:r>
        <w:rPr>
          <w:rFonts w:ascii="Trebuchet MS" w:cs="Trebuchet MS" w:eastAsia="Trebuchet MS" w:hAnsi="Trebuchet MS"/>
          <w:sz w:val="22"/>
          <w:szCs w:val="22"/>
          <w:color w:val="auto"/>
        </w:rPr>
        <w:t>"), (i) a register (the "</w:t>
      </w:r>
      <w:r>
        <w:rPr>
          <w:rFonts w:ascii="Trebuchet MS" w:cs="Trebuchet MS" w:eastAsia="Trebuchet MS" w:hAnsi="Trebuchet MS"/>
          <w:sz w:val="22"/>
          <w:szCs w:val="22"/>
          <w:b w:val="1"/>
          <w:bCs w:val="1"/>
          <w:color w:val="auto"/>
        </w:rPr>
        <w:t>ADR Register</w:t>
      </w:r>
      <w:r>
        <w:rPr>
          <w:rFonts w:ascii="Trebuchet MS" w:cs="Trebuchet MS" w:eastAsia="Trebuchet MS" w:hAnsi="Trebuchet MS"/>
          <w:sz w:val="22"/>
          <w:szCs w:val="22"/>
          <w:color w:val="auto"/>
        </w:rPr>
        <w:t xml:space="preserve">")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(ii) facilities for the delivery and receipt of ADRs. The term ADR Register includes the Direct Registration System. Title to this ADR (and to the Deposited Securities represented by the ADSs evidenced 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Trebuchet MS" w:cs="Trebuchet MS" w:eastAsia="Trebuchet MS" w:hAnsi="Trebuchet MS"/>
          <w:sz w:val="22"/>
          <w:szCs w:val="22"/>
          <w:u w:val="single" w:color="auto"/>
          <w:color w:val="auto"/>
        </w:rPr>
        <w:t>provided</w:t>
      </w:r>
      <w:r>
        <w:rPr>
          <w:rFonts w:ascii="Trebuchet MS" w:cs="Trebuchet MS" w:eastAsia="Trebuchet MS" w:hAnsi="Trebuchet MS"/>
          <w:sz w:val="22"/>
          <w:szCs w:val="22"/>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or any ADR to any Beneficial Owner, unless such Beneficial Owner is the Holder hereof. Subject to paragraphs (4) and (5), this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09" w:name="page210"/>
    <w:bookmarkEnd w:id="209"/>
    <w:p>
      <w:pPr>
        <w:ind w:right="40"/>
        <w:spacing w:after="0" w:line="253" w:lineRule="auto"/>
        <w:rPr>
          <w:sz w:val="20"/>
          <w:szCs w:val="20"/>
          <w:color w:val="auto"/>
        </w:rPr>
      </w:pPr>
      <w:r>
        <w:rPr>
          <w:rFonts w:ascii="Trebuchet MS" w:cs="Trebuchet MS" w:eastAsia="Trebuchet MS" w:hAnsi="Trebuchet MS"/>
          <w:sz w:val="21"/>
          <w:szCs w:val="2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 xml:space="preserve">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Trebuchet MS" w:cs="Trebuchet MS" w:eastAsia="Trebuchet MS" w:hAnsi="Trebuchet MS"/>
          <w:sz w:val="21"/>
          <w:szCs w:val="21"/>
          <w:u w:val="single" w:color="auto"/>
          <w:color w:val="auto"/>
        </w:rPr>
        <w:t>provided</w:t>
      </w:r>
      <w:r>
        <w:rPr>
          <w:rFonts w:ascii="Trebuchet MS" w:cs="Trebuchet MS" w:eastAsia="Trebuchet MS" w:hAnsi="Trebuchet MS"/>
          <w:sz w:val="21"/>
          <w:szCs w:val="21"/>
          <w:color w:val="auto"/>
        </w:rPr>
        <w:t xml:space="preserve"> that the Depositary may close the ADR Register at any time or from time to time when deemed expedient by it or, in the case of the issuance book portion of the ADR Register, when reasonably requested by the Company solely in order to enable the Company to comply with applicable law; </w:t>
      </w:r>
      <w:r>
        <w:rPr>
          <w:rFonts w:ascii="Trebuchet MS" w:cs="Trebuchet MS" w:eastAsia="Trebuchet MS" w:hAnsi="Trebuchet MS"/>
          <w:sz w:val="21"/>
          <w:szCs w:val="21"/>
          <w:u w:val="single" w:color="auto"/>
          <w:color w:val="auto"/>
        </w:rPr>
        <w:t>provided further</w:t>
      </w:r>
      <w:r>
        <w:rPr>
          <w:rFonts w:ascii="Trebuchet MS" w:cs="Trebuchet MS" w:eastAsia="Trebuchet MS" w:hAnsi="Trebuchet MS"/>
          <w:sz w:val="21"/>
          <w:szCs w:val="21"/>
          <w:color w:val="auto"/>
        </w:rPr>
        <w:t>, that the Depositary shall have no liability and shall be indemnified by the Company in such event.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200" w:lineRule="exact"/>
        <w:rPr>
          <w:sz w:val="20"/>
          <w:szCs w:val="20"/>
          <w:color w:val="auto"/>
        </w:rPr>
      </w:pPr>
    </w:p>
    <w:p>
      <w:pPr>
        <w:spacing w:after="0" w:line="271" w:lineRule="exact"/>
        <w:rPr>
          <w:sz w:val="20"/>
          <w:szCs w:val="20"/>
          <w:color w:val="auto"/>
        </w:rPr>
      </w:pPr>
    </w:p>
    <w:p>
      <w:pPr>
        <w:ind w:firstLine="872"/>
        <w:spacing w:after="0" w:line="243" w:lineRule="auto"/>
        <w:tabs>
          <w:tab w:leader="none" w:pos="1783" w:val="left"/>
        </w:tabs>
        <w:numPr>
          <w:ilvl w:val="0"/>
          <w:numId w:val="151"/>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Certain Limitations to Registration, Transfer etc</w:t>
      </w:r>
      <w:r>
        <w:rPr>
          <w:rFonts w:ascii="Trebuchet MS" w:cs="Trebuchet MS" w:eastAsia="Trebuchet MS" w:hAnsi="Trebuchet MS"/>
          <w:sz w:val="22"/>
          <w:szCs w:val="22"/>
          <w:color w:val="auto"/>
        </w:rPr>
        <w:t>. Prior to the issue, registration, registration</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of transfer, split-up or combination of any ADR, the delivery of any distribution in respect thereof, or, subject to the last sentence of paragraph (2) (</w:t>
      </w:r>
      <w:r>
        <w:rPr>
          <w:rFonts w:ascii="Trebuchet MS" w:cs="Trebuchet MS" w:eastAsia="Trebuchet MS" w:hAnsi="Trebuchet MS"/>
          <w:sz w:val="22"/>
          <w:szCs w:val="22"/>
          <w:i w:val="1"/>
          <w:iCs w:val="1"/>
          <w:color w:val="auto"/>
        </w:rPr>
        <w:t>Withdrawal of Deposited Securities</w:t>
      </w:r>
      <w:r>
        <w:rPr>
          <w:rFonts w:ascii="Trebuchet MS" w:cs="Trebuchet MS" w:eastAsia="Trebuchet MS" w:hAnsi="Trebuchet MS"/>
          <w:sz w:val="22"/>
          <w:szCs w:val="22"/>
          <w:color w:val="auto"/>
        </w:rPr>
        <w:t>), the withdrawal of any Deposited Securities, and from time to time in the case of clause (b)(ii) of this paragraph (4), the Company, the Depositary or the Custodian may require:</w:t>
      </w:r>
    </w:p>
    <w:p>
      <w:pPr>
        <w:spacing w:after="0" w:line="240" w:lineRule="exact"/>
        <w:rPr>
          <w:rFonts w:ascii="Trebuchet MS" w:cs="Trebuchet MS" w:eastAsia="Trebuchet MS" w:hAnsi="Trebuchet MS"/>
          <w:sz w:val="22"/>
          <w:szCs w:val="22"/>
          <w:color w:val="auto"/>
        </w:rPr>
      </w:pPr>
    </w:p>
    <w:p>
      <w:pPr>
        <w:ind w:right="360" w:firstLine="1735"/>
        <w:spacing w:after="0" w:line="242" w:lineRule="auto"/>
        <w:tabs>
          <w:tab w:leader="none" w:pos="2129" w:val="left"/>
        </w:tabs>
        <w:numPr>
          <w:ilvl w:val="1"/>
          <w:numId w:val="151"/>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Trebuchet MS" w:cs="Trebuchet MS" w:eastAsia="Trebuchet MS" w:hAnsi="Trebuchet MS"/>
          <w:sz w:val="22"/>
          <w:szCs w:val="22"/>
          <w:i w:val="1"/>
          <w:iCs w:val="1"/>
          <w:color w:val="auto"/>
        </w:rPr>
        <w:t>Charges of Depositary</w:t>
      </w:r>
      <w:r>
        <w:rPr>
          <w:rFonts w:ascii="Trebuchet MS" w:cs="Trebuchet MS" w:eastAsia="Trebuchet MS" w:hAnsi="Trebuchet MS"/>
          <w:sz w:val="22"/>
          <w:szCs w:val="22"/>
          <w:color w:val="auto"/>
        </w:rPr>
        <w:t>) of this ADR;</w:t>
      </w:r>
    </w:p>
    <w:p>
      <w:pPr>
        <w:spacing w:after="0" w:line="238" w:lineRule="exact"/>
        <w:rPr>
          <w:rFonts w:ascii="Trebuchet MS" w:cs="Trebuchet MS" w:eastAsia="Trebuchet MS" w:hAnsi="Trebuchet MS"/>
          <w:sz w:val="22"/>
          <w:szCs w:val="22"/>
          <w:color w:val="auto"/>
        </w:rPr>
      </w:pPr>
    </w:p>
    <w:p>
      <w:pPr>
        <w:ind w:right="120" w:firstLine="1735"/>
        <w:spacing w:after="0" w:line="241" w:lineRule="auto"/>
        <w:tabs>
          <w:tab w:leader="none" w:pos="2136" w:val="left"/>
        </w:tabs>
        <w:numPr>
          <w:ilvl w:val="1"/>
          <w:numId w:val="151"/>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w:t>
      </w:r>
    </w:p>
    <w:p>
      <w:pPr>
        <w:spacing w:after="0" w:line="256" w:lineRule="exact"/>
        <w:rPr>
          <w:rFonts w:ascii="Trebuchet MS" w:cs="Trebuchet MS" w:eastAsia="Trebuchet MS" w:hAnsi="Trebuchet MS"/>
          <w:sz w:val="22"/>
          <w:szCs w:val="22"/>
          <w:color w:val="auto"/>
        </w:rPr>
      </w:pPr>
    </w:p>
    <w:p>
      <w:pPr>
        <w:ind w:left="2140" w:hanging="405"/>
        <w:spacing w:after="0"/>
        <w:tabs>
          <w:tab w:leader="none" w:pos="2140" w:val="left"/>
        </w:tabs>
        <w:numPr>
          <w:ilvl w:val="1"/>
          <w:numId w:val="151"/>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compliance with such regulations as the Depositary may establish consistent with the Deposit</w:t>
      </w:r>
    </w:p>
    <w:p>
      <w:pPr>
        <w:spacing w:after="0" w:line="12" w:lineRule="exact"/>
        <w:rPr>
          <w:rFonts w:ascii="Trebuchet MS" w:cs="Trebuchet MS" w:eastAsia="Trebuchet MS" w:hAnsi="Trebuchet MS"/>
          <w:sz w:val="21"/>
          <w:szCs w:val="21"/>
          <w:color w:val="auto"/>
        </w:rPr>
      </w:pPr>
    </w:p>
    <w:p>
      <w:pPr>
        <w:spacing w:after="0"/>
        <w:rPr>
          <w:rFonts w:ascii="Trebuchet MS" w:cs="Trebuchet MS" w:eastAsia="Trebuchet MS" w:hAnsi="Trebuchet MS"/>
          <w:sz w:val="21"/>
          <w:szCs w:val="21"/>
          <w:color w:val="auto"/>
        </w:rPr>
      </w:pPr>
      <w:r>
        <w:rPr>
          <w:rFonts w:ascii="Trebuchet MS" w:cs="Trebuchet MS" w:eastAsia="Trebuchet MS" w:hAnsi="Trebuchet MS"/>
          <w:sz w:val="22"/>
          <w:szCs w:val="22"/>
          <w:color w:val="auto"/>
        </w:rPr>
        <w:t>Agreement.</w:t>
      </w:r>
    </w:p>
    <w:p>
      <w:pPr>
        <w:spacing w:after="0" w:line="244" w:lineRule="exact"/>
        <w:rPr>
          <w:sz w:val="20"/>
          <w:szCs w:val="20"/>
          <w:color w:val="auto"/>
        </w:rPr>
      </w:pPr>
    </w:p>
    <w:p>
      <w:pPr>
        <w:ind w:right="240" w:firstLine="864"/>
        <w:spacing w:after="0" w:line="242" w:lineRule="auto"/>
        <w:rPr>
          <w:sz w:val="20"/>
          <w:szCs w:val="20"/>
          <w:color w:val="auto"/>
        </w:rPr>
      </w:pPr>
      <w:r>
        <w:rPr>
          <w:rFonts w:ascii="Trebuchet MS" w:cs="Trebuchet MS" w:eastAsia="Trebuchet MS" w:hAnsi="Trebuchet MS"/>
          <w:sz w:val="22"/>
          <w:szCs w:val="22"/>
          <w:color w:val="auto"/>
        </w:rPr>
        <w:t>The issuance of ADRs, the acceptance of deposits of Shares, the registration, registration of transfer, split-up or combination of ADRs or, subject to the last sentence of paragraph (2) (</w:t>
      </w:r>
      <w:r>
        <w:rPr>
          <w:rFonts w:ascii="Trebuchet MS" w:cs="Trebuchet MS" w:eastAsia="Trebuchet MS" w:hAnsi="Trebuchet MS"/>
          <w:sz w:val="22"/>
          <w:szCs w:val="22"/>
          <w:i w:val="1"/>
          <w:iCs w:val="1"/>
          <w:color w:val="auto"/>
        </w:rPr>
        <w:t>Withdrawal of Deposited</w:t>
      </w:r>
      <w:r>
        <w:rPr>
          <w:rFonts w:ascii="Trebuchet MS" w:cs="Trebuchet MS" w:eastAsia="Trebuchet MS" w:hAnsi="Trebuchet MS"/>
          <w:sz w:val="22"/>
          <w:szCs w:val="22"/>
          <w:color w:val="auto"/>
        </w:rPr>
        <w:t xml:space="preserve"> </w:t>
      </w:r>
      <w:r>
        <w:rPr>
          <w:rFonts w:ascii="Trebuchet MS" w:cs="Trebuchet MS" w:eastAsia="Trebuchet MS" w:hAnsi="Trebuchet MS"/>
          <w:sz w:val="22"/>
          <w:szCs w:val="22"/>
          <w:i w:val="1"/>
          <w:iCs w:val="1"/>
          <w:color w:val="auto"/>
        </w:rPr>
        <w:t>Securities</w:t>
      </w:r>
      <w:r>
        <w:rPr>
          <w:rFonts w:ascii="Trebuchet MS" w:cs="Trebuchet MS" w:eastAsia="Trebuchet MS" w:hAnsi="Trebuchet MS"/>
          <w:sz w:val="22"/>
          <w:szCs w:val="22"/>
          <w:color w:val="auto"/>
        </w:rPr>
        <w:t>), the withdrawal of Deposited Securities may be suspended, generally or in particular instances, when</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10" w:name="page211"/>
    <w:bookmarkEnd w:id="210"/>
    <w:p>
      <w:pPr>
        <w:ind w:right="120"/>
        <w:spacing w:after="0" w:line="244"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ADR Register or any register for Deposited Securities is closed or when any such action is deemed advisable by the Depositary.</w:t>
      </w:r>
    </w:p>
    <w:p>
      <w:pPr>
        <w:spacing w:after="0" w:line="229" w:lineRule="exact"/>
        <w:rPr>
          <w:sz w:val="20"/>
          <w:szCs w:val="20"/>
          <w:color w:val="auto"/>
        </w:rPr>
      </w:pPr>
    </w:p>
    <w:p>
      <w:pPr>
        <w:ind w:firstLine="872"/>
        <w:spacing w:after="0" w:line="241" w:lineRule="auto"/>
        <w:tabs>
          <w:tab w:leader="none" w:pos="1783" w:val="left"/>
        </w:tabs>
        <w:numPr>
          <w:ilvl w:val="0"/>
          <w:numId w:val="152"/>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Liability for Taxes, Duties and Other Charges</w:t>
      </w:r>
      <w:r>
        <w:rPr>
          <w:rFonts w:ascii="Trebuchet MS" w:cs="Trebuchet MS" w:eastAsia="Trebuchet MS" w:hAnsi="Trebuchet MS"/>
          <w:sz w:val="22"/>
          <w:szCs w:val="22"/>
          <w:color w:val="auto"/>
        </w:rPr>
        <w:t>. If any tax or other governmental charges</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(including any penalties and/or interest) shall become payable by or on behalf of the Custodian or the Depositary with respect to this ADR, any Deposited Securities represented by the ADSs evidenced hereby or any distribution thereon, such tax or other governmental charge shall be paid by the Holder hereof to the Depositary and by holding or having held this ADR or any ADSs evidenced hereby, the Holder and all Beneficial Owners hereof and thereof, and all prior Holders and Beneficial Owners hereof and thereof, jointly and severally, agree to indemnify, defend and save harmless each of the Depositary, the Company and their respective agents in respect of such tax or other governmental charge. Neither the Company nor the Depositary shall be liable to Holders or Beneficial Owners of the ADSs and ADRs for failure of any of them to comply with applicable tax laws, rules and/or regulations. Each Holder of this ADR and Beneficial Owner of the ADSs evidenced hereby, and each prior Holder and Beneficial Owner hereof and thereof (collectively, the "</w:t>
      </w:r>
      <w:r>
        <w:rPr>
          <w:rFonts w:ascii="Trebuchet MS" w:cs="Trebuchet MS" w:eastAsia="Trebuchet MS" w:hAnsi="Trebuchet MS"/>
          <w:sz w:val="22"/>
          <w:szCs w:val="22"/>
          <w:b w:val="1"/>
          <w:bCs w:val="1"/>
          <w:color w:val="auto"/>
        </w:rPr>
        <w:t>Tax Indemnitors</w:t>
      </w:r>
      <w:r>
        <w:rPr>
          <w:rFonts w:ascii="Trebuchet MS" w:cs="Trebuchet MS" w:eastAsia="Trebuchet MS" w:hAnsi="Trebuchet MS"/>
          <w:sz w:val="22"/>
          <w:szCs w:val="22"/>
          <w:color w:val="auto"/>
        </w:rPr>
        <w:t>"), by holding or having held an ADR or an interest in ADSs, acknowledges and agrees that the Depositary shall have the right to seek payment of amounts owing with respect to this ADR under this paragraph (5) from any one or more Tax Indemnitor(s) as determined by the Depositary in its sole discretion, without any obligation to seek payment from any other Tax Indemnitor(s).The Depositary may refuse to effect any registration, registration of transfer, split-up or combination hereof or, subject to the last sentence of paragraph (2) (</w:t>
      </w:r>
      <w:r>
        <w:rPr>
          <w:rFonts w:ascii="Trebuchet MS" w:cs="Trebuchet MS" w:eastAsia="Trebuchet MS" w:hAnsi="Trebuchet MS"/>
          <w:sz w:val="22"/>
          <w:szCs w:val="22"/>
          <w:i w:val="1"/>
          <w:iCs w:val="1"/>
          <w:color w:val="auto"/>
        </w:rPr>
        <w:t>Withdrawal of Deposited Securities</w:t>
      </w:r>
      <w:r>
        <w:rPr>
          <w:rFonts w:ascii="Trebuchet MS" w:cs="Trebuchet MS" w:eastAsia="Trebuchet MS" w:hAnsi="Trebuchet MS"/>
          <w:sz w:val="22"/>
          <w:szCs w:val="22"/>
          <w:color w:val="auto"/>
        </w:rPr>
        <w:t>),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11" w:name="page212"/>
    <w:bookmarkEnd w:id="211"/>
    <w:p>
      <w:pPr>
        <w:spacing w:after="0" w:line="241"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such property after deduction of such taxes to the Holders entitled thereto. Each Holder and Beneficial Owner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200" w:lineRule="exact"/>
        <w:rPr>
          <w:sz w:val="20"/>
          <w:szCs w:val="20"/>
          <w:color w:val="auto"/>
        </w:rPr>
      </w:pPr>
    </w:p>
    <w:p>
      <w:pPr>
        <w:spacing w:after="0" w:line="278" w:lineRule="exact"/>
        <w:rPr>
          <w:sz w:val="20"/>
          <w:szCs w:val="20"/>
          <w:color w:val="auto"/>
        </w:rPr>
      </w:pPr>
    </w:p>
    <w:p>
      <w:pPr>
        <w:ind w:left="1800" w:hanging="928"/>
        <w:spacing w:after="0"/>
        <w:tabs>
          <w:tab w:leader="none" w:pos="1800" w:val="left"/>
        </w:tabs>
        <w:numPr>
          <w:ilvl w:val="0"/>
          <w:numId w:val="153"/>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Disclosure of Interests</w:t>
      </w:r>
      <w:r>
        <w:rPr>
          <w:rFonts w:ascii="Trebuchet MS" w:cs="Trebuchet MS" w:eastAsia="Trebuchet MS" w:hAnsi="Trebuchet MS"/>
          <w:sz w:val="22"/>
          <w:szCs w:val="22"/>
          <w:color w:val="auto"/>
        </w:rPr>
        <w:t>.</w:t>
      </w:r>
    </w:p>
    <w:p>
      <w:pPr>
        <w:spacing w:after="0" w:line="252" w:lineRule="exact"/>
        <w:rPr>
          <w:rFonts w:ascii="Trebuchet MS" w:cs="Trebuchet MS" w:eastAsia="Trebuchet MS" w:hAnsi="Trebuchet MS"/>
          <w:sz w:val="22"/>
          <w:szCs w:val="22"/>
          <w:color w:val="auto"/>
        </w:rPr>
      </w:pPr>
    </w:p>
    <w:p>
      <w:pPr>
        <w:ind w:right="40" w:firstLine="1735"/>
        <w:spacing w:after="0" w:line="241" w:lineRule="auto"/>
        <w:tabs>
          <w:tab w:leader="none" w:pos="2130" w:val="left"/>
        </w:tabs>
        <w:numPr>
          <w:ilvl w:val="1"/>
          <w:numId w:val="153"/>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General</w:t>
      </w:r>
      <w:r>
        <w:rPr>
          <w:rFonts w:ascii="Trebuchet MS" w:cs="Trebuchet MS" w:eastAsia="Trebuchet MS" w:hAnsi="Trebuchet MS"/>
          <w:sz w:val="22"/>
          <w:szCs w:val="22"/>
          <w:color w:val="auto"/>
        </w:rPr>
        <w:t>. To the extent that the provisions of or governing any Deposited Securities may</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require disclosure of or impose limits on beneficial or other ownership of, or interests in, Deposited Securities, other Shares and other securities and may provide for blocking transfer, voting or other rights to enforce such disclosure or limits, Holders and Beneficial Owners agree to comply with all such disclosure requirements and ownership limitations and to comply with any reasonable Company instructions in respect thereof. The Company reserves the right to instruct Holders (and through any such Holder, the Beneficial Owners of ADSs evidenced by the ADRs registered in such Holder's name) to deliver their ADSs for cancellation and withdrawal of the Deposited Securities so as to permit the Company to deal directly with the Holder and/or Beneficial Owner thereof as a holder of Shares and Holders and Beneficial Owners agree to comply with such instructions. The Depositary agrees to cooperate with the Company in its efforts to inform Holders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w:t>
      </w:r>
    </w:p>
    <w:p>
      <w:pPr>
        <w:spacing w:after="0" w:line="242" w:lineRule="exact"/>
        <w:rPr>
          <w:rFonts w:ascii="Trebuchet MS" w:cs="Trebuchet MS" w:eastAsia="Trebuchet MS" w:hAnsi="Trebuchet MS"/>
          <w:sz w:val="22"/>
          <w:szCs w:val="22"/>
          <w:color w:val="auto"/>
        </w:rPr>
      </w:pPr>
    </w:p>
    <w:p>
      <w:pPr>
        <w:ind w:left="2140" w:hanging="405"/>
        <w:spacing w:after="0"/>
        <w:tabs>
          <w:tab w:leader="none" w:pos="2140" w:val="left"/>
        </w:tabs>
        <w:numPr>
          <w:ilvl w:val="1"/>
          <w:numId w:val="153"/>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Jurisdiction Specific</w:t>
      </w:r>
      <w:r>
        <w:rPr>
          <w:rFonts w:ascii="Trebuchet MS" w:cs="Trebuchet MS" w:eastAsia="Trebuchet MS" w:hAnsi="Trebuchet MS"/>
          <w:sz w:val="22"/>
          <w:szCs w:val="22"/>
          <w:color w:val="auto"/>
        </w:rPr>
        <w:t>.</w:t>
      </w:r>
    </w:p>
    <w:p>
      <w:pPr>
        <w:spacing w:after="0" w:line="244" w:lineRule="exact"/>
        <w:rPr>
          <w:sz w:val="20"/>
          <w:szCs w:val="20"/>
          <w:color w:val="auto"/>
        </w:rPr>
      </w:pPr>
    </w:p>
    <w:p>
      <w:pPr>
        <w:ind w:right="160" w:firstLine="1727"/>
        <w:spacing w:after="0" w:line="241" w:lineRule="auto"/>
        <w:rPr>
          <w:sz w:val="20"/>
          <w:szCs w:val="20"/>
          <w:color w:val="auto"/>
        </w:rPr>
      </w:pPr>
      <w:r>
        <w:rPr>
          <w:rFonts w:ascii="Trebuchet MS" w:cs="Trebuchet MS" w:eastAsia="Trebuchet MS" w:hAnsi="Trebuchet MS"/>
          <w:sz w:val="22"/>
          <w:szCs w:val="22"/>
          <w:color w:val="auto"/>
        </w:rPr>
        <w:t>Any summary of the laws and regulations of the Kingdom of Sweden and of the terms of the Company's constituent documents has been provided by the Company solely for the convenience of Holders, Beneficial Owners and the Depositary. Such summaries are summaries current as of the date of the Deposit Agreement, and as such, may not include all aspects of the materials summarized applicable to a Holder or Beneficial Owner, and these laws and regulations and the Company's constituent documents may change after the date of the Deposit Agreement. Neither the Depositary nor the Company has any obligation to update any such summaries.</w:t>
      </w:r>
    </w:p>
    <w:p>
      <w:pPr>
        <w:spacing w:after="0" w:line="235" w:lineRule="exact"/>
        <w:rPr>
          <w:sz w:val="20"/>
          <w:szCs w:val="20"/>
          <w:color w:val="auto"/>
        </w:rPr>
      </w:pPr>
    </w:p>
    <w:p>
      <w:pPr>
        <w:ind w:left="1800" w:hanging="928"/>
        <w:spacing w:after="0"/>
        <w:tabs>
          <w:tab w:leader="none" w:pos="1800" w:val="left"/>
        </w:tabs>
        <w:numPr>
          <w:ilvl w:val="0"/>
          <w:numId w:val="154"/>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Charges of Depositary</w:t>
      </w:r>
      <w:r>
        <w:rPr>
          <w:rFonts w:ascii="Trebuchet MS" w:cs="Trebuchet MS" w:eastAsia="Trebuchet MS" w:hAnsi="Trebuchet MS"/>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12" w:name="page213"/>
    <w:bookmarkEnd w:id="212"/>
    <w:p>
      <w:pPr>
        <w:ind w:firstLine="1735"/>
        <w:spacing w:after="0" w:line="254" w:lineRule="auto"/>
        <w:tabs>
          <w:tab w:leader="none" w:pos="2130" w:val="left"/>
        </w:tabs>
        <w:numPr>
          <w:ilvl w:val="1"/>
          <w:numId w:val="155"/>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Rights of the Depositary</w:t>
      </w:r>
      <w:r>
        <w:rPr>
          <w:rFonts w:ascii="Trebuchet MS" w:cs="Trebuchet MS" w:eastAsia="Trebuchet MS" w:hAnsi="Trebuchet MS"/>
          <w:sz w:val="21"/>
          <w:szCs w:val="21"/>
          <w:color w:val="auto"/>
        </w:rPr>
        <w:t>. The Depositary may charge, and collect from, (i) each person to</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whom ADSs are issued, including, without limitation, issuances against deposits of Shares, issuances in respect of Share Distributions, Rights and Other Distributions (as such terms are defined in paragraph (10) (</w:t>
      </w:r>
      <w:r>
        <w:rPr>
          <w:rFonts w:ascii="Trebuchet MS" w:cs="Trebuchet MS" w:eastAsia="Trebuchet MS" w:hAnsi="Trebuchet MS"/>
          <w:sz w:val="21"/>
          <w:szCs w:val="21"/>
          <w:i w:val="1"/>
          <w:iCs w:val="1"/>
          <w:color w:val="auto"/>
        </w:rPr>
        <w:t>Distributions on</w:t>
      </w:r>
      <w:r>
        <w:rPr>
          <w:rFonts w:ascii="Trebuchet MS" w:cs="Trebuchet MS" w:eastAsia="Trebuchet MS" w:hAnsi="Trebuchet MS"/>
          <w:sz w:val="21"/>
          <w:szCs w:val="21"/>
          <w:color w:val="auto"/>
        </w:rPr>
        <w:t xml:space="preserve"> </w:t>
      </w:r>
      <w:r>
        <w:rPr>
          <w:rFonts w:ascii="Trebuchet MS" w:cs="Trebuchet MS" w:eastAsia="Trebuchet MS" w:hAnsi="Trebuchet MS"/>
          <w:sz w:val="21"/>
          <w:szCs w:val="21"/>
          <w:i w:val="1"/>
          <w:iCs w:val="1"/>
          <w:color w:val="auto"/>
        </w:rPr>
        <w:t>Deposited Securities</w:t>
      </w:r>
      <w:r>
        <w:rPr>
          <w:rFonts w:ascii="Trebuchet MS" w:cs="Trebuchet MS" w:eastAsia="Trebuchet MS" w:hAnsi="Trebuchet MS"/>
          <w:sz w:val="21"/>
          <w:szCs w:val="21"/>
          <w:color w:val="auto"/>
        </w:rPr>
        <w:t>)), issuances pursuant to a stock dividend or stock split declared by the Company, or issuances</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or upon which a Share Distribution or elective distribution is made or offered (as the case may be). The Depositary may sell (by public or private sale) sufficient securities and property received in respect of Share Distributions, Rights and Other Distributions prior to such deposit to pay such charge.</w:t>
      </w:r>
    </w:p>
    <w:p>
      <w:pPr>
        <w:spacing w:after="0" w:line="227" w:lineRule="exact"/>
        <w:rPr>
          <w:rFonts w:ascii="Trebuchet MS" w:cs="Trebuchet MS" w:eastAsia="Trebuchet MS" w:hAnsi="Trebuchet MS"/>
          <w:sz w:val="21"/>
          <w:szCs w:val="21"/>
          <w:color w:val="auto"/>
        </w:rPr>
      </w:pPr>
    </w:p>
    <w:p>
      <w:pPr>
        <w:ind w:right="20" w:firstLine="1735"/>
        <w:spacing w:after="0" w:line="241" w:lineRule="auto"/>
        <w:tabs>
          <w:tab w:leader="none" w:pos="2136" w:val="left"/>
        </w:tabs>
        <w:numPr>
          <w:ilvl w:val="1"/>
          <w:numId w:val="155"/>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Additional Charges by the Depositary</w:t>
      </w:r>
      <w:r>
        <w:rPr>
          <w:rFonts w:ascii="Trebuchet MS" w:cs="Trebuchet MS" w:eastAsia="Trebuchet MS" w:hAnsi="Trebuchet MS"/>
          <w:sz w:val="22"/>
          <w:szCs w:val="22"/>
          <w:color w:val="auto"/>
        </w:rPr>
        <w:t>. The following additional charges shall also be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incurred by the Holders, the Beneficial Owners, by any party depositing or 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Trebuchet MS" w:cs="Trebuchet MS" w:eastAsia="Trebuchet MS" w:hAnsi="Trebuchet MS"/>
          <w:sz w:val="22"/>
          <w:szCs w:val="22"/>
          <w:i w:val="1"/>
          <w:iCs w:val="1"/>
          <w:color w:val="auto"/>
        </w:rPr>
        <w:t>Distributions on Deposited Securities</w:t>
      </w:r>
      <w:r>
        <w:rPr>
          <w:rFonts w:ascii="Trebuchet MS" w:cs="Trebuchet MS" w:eastAsia="Trebuchet MS" w:hAnsi="Trebuchet MS"/>
          <w:sz w:val="22"/>
          <w:szCs w:val="22"/>
          <w:color w:val="auto"/>
        </w:rPr>
        <w:t>), whichever is applicable:</w:t>
      </w:r>
    </w:p>
    <w:p>
      <w:pPr>
        <w:spacing w:after="0" w:line="242" w:lineRule="exact"/>
        <w:rPr>
          <w:rFonts w:ascii="Trebuchet MS" w:cs="Trebuchet MS" w:eastAsia="Trebuchet MS" w:hAnsi="Trebuchet MS"/>
          <w:sz w:val="22"/>
          <w:szCs w:val="22"/>
          <w:color w:val="auto"/>
        </w:rPr>
      </w:pPr>
    </w:p>
    <w:p>
      <w:pPr>
        <w:ind w:left="2580" w:right="780" w:hanging="858"/>
        <w:spacing w:after="0" w:line="244" w:lineRule="auto"/>
        <w:tabs>
          <w:tab w:leader="none" w:pos="2580" w:val="left"/>
        </w:tabs>
        <w:numPr>
          <w:ilvl w:val="0"/>
          <w:numId w:val="156"/>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a fee of U.S.$0.05 or less per ADS held for any Cash distribution made, or for any elective cash/stock dividend offered, pursuant to the Deposit Agreement,</w:t>
      </w:r>
    </w:p>
    <w:p>
      <w:pPr>
        <w:spacing w:after="0" w:line="236" w:lineRule="exact"/>
        <w:rPr>
          <w:rFonts w:ascii="Trebuchet MS" w:cs="Trebuchet MS" w:eastAsia="Trebuchet MS" w:hAnsi="Trebuchet MS"/>
          <w:sz w:val="22"/>
          <w:szCs w:val="22"/>
          <w:color w:val="auto"/>
        </w:rPr>
      </w:pPr>
    </w:p>
    <w:p>
      <w:pPr>
        <w:ind w:left="2580" w:right="20" w:hanging="858"/>
        <w:spacing w:after="0" w:line="241" w:lineRule="auto"/>
        <w:tabs>
          <w:tab w:leader="none" w:pos="2580" w:val="left"/>
        </w:tabs>
        <w:numPr>
          <w:ilvl w:val="0"/>
          <w:numId w:val="156"/>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w:t>
      </w:r>
    </w:p>
    <w:p>
      <w:pPr>
        <w:spacing w:after="0" w:line="242" w:lineRule="exact"/>
        <w:rPr>
          <w:rFonts w:ascii="Trebuchet MS" w:cs="Trebuchet MS" w:eastAsia="Trebuchet MS" w:hAnsi="Trebuchet MS"/>
          <w:sz w:val="22"/>
          <w:szCs w:val="22"/>
          <w:color w:val="auto"/>
        </w:rPr>
      </w:pPr>
    </w:p>
    <w:p>
      <w:pPr>
        <w:ind w:left="2580" w:right="160" w:hanging="858"/>
        <w:spacing w:after="0" w:line="259" w:lineRule="auto"/>
        <w:tabs>
          <w:tab w:leader="none" w:pos="2580" w:val="left"/>
        </w:tabs>
        <w:numPr>
          <w:ilvl w:val="0"/>
          <w:numId w:val="156"/>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an aggregate fee of U.S.$0.05 or less per ADS per calendar year (or portion thereof) for services performed by the Depositary in administering the ADRs (which fee may be charged on a periodic basis during each calendar year and shall be assessed against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13" w:name="page214"/>
    <w:bookmarkEnd w:id="213"/>
    <w:p>
      <w:pPr>
        <w:ind w:left="2580" w:right="40"/>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Holders as of the record date or record dates set by the Depositary during each calendar year and shall be payable at the sole discretion of the Depositary by billing such Holders or by deducting such charge from one or more cash dividends or other cash distributions), and</w:t>
      </w:r>
    </w:p>
    <w:p>
      <w:pPr>
        <w:spacing w:after="0" w:line="239" w:lineRule="exact"/>
        <w:rPr>
          <w:sz w:val="20"/>
          <w:szCs w:val="20"/>
          <w:color w:val="auto"/>
        </w:rPr>
      </w:pPr>
    </w:p>
    <w:p>
      <w:pPr>
        <w:ind w:left="2580" w:hanging="858"/>
        <w:spacing w:after="0" w:line="253" w:lineRule="auto"/>
        <w:tabs>
          <w:tab w:leader="none" w:pos="2580" w:val="left"/>
        </w:tabs>
        <w:numPr>
          <w:ilvl w:val="0"/>
          <w:numId w:val="157"/>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237" w:lineRule="exact"/>
        <w:rPr>
          <w:sz w:val="20"/>
          <w:szCs w:val="20"/>
          <w:color w:val="auto"/>
        </w:rPr>
      </w:pPr>
    </w:p>
    <w:p>
      <w:pPr>
        <w:ind w:right="80" w:firstLine="1735"/>
        <w:spacing w:after="0" w:line="242" w:lineRule="auto"/>
        <w:tabs>
          <w:tab w:leader="none" w:pos="2123" w:val="left"/>
        </w:tabs>
        <w:numPr>
          <w:ilvl w:val="1"/>
          <w:numId w:val="158"/>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Other Obligations and Charges</w:t>
      </w:r>
      <w:r>
        <w:rPr>
          <w:rFonts w:ascii="Trebuchet MS" w:cs="Trebuchet MS" w:eastAsia="Trebuchet MS" w:hAnsi="Trebuchet MS"/>
          <w:sz w:val="22"/>
          <w:szCs w:val="22"/>
          <w:color w:val="auto"/>
        </w:rPr>
        <w:t>. The Company will pay all other charges and expenses of the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Depositary and any agent of the Depositary (except the Custodian) pursuant to agreements from time to time between the Company and the Depositary, except:</w:t>
      </w:r>
    </w:p>
    <w:p>
      <w:pPr>
        <w:spacing w:after="0" w:line="239" w:lineRule="exact"/>
        <w:rPr>
          <w:rFonts w:ascii="Trebuchet MS" w:cs="Trebuchet MS" w:eastAsia="Trebuchet MS" w:hAnsi="Trebuchet MS"/>
          <w:sz w:val="22"/>
          <w:szCs w:val="22"/>
          <w:color w:val="auto"/>
        </w:rPr>
      </w:pPr>
    </w:p>
    <w:p>
      <w:pPr>
        <w:ind w:left="2580" w:right="460" w:hanging="858"/>
        <w:spacing w:after="0" w:line="244" w:lineRule="auto"/>
        <w:tabs>
          <w:tab w:leader="none" w:pos="2580" w:val="left"/>
        </w:tabs>
        <w:numPr>
          <w:ilvl w:val="0"/>
          <w:numId w:val="15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share transfer or other taxes and other governmental charges (which are payable by Holders or persons depositing Shares);</w:t>
      </w:r>
    </w:p>
    <w:p>
      <w:pPr>
        <w:spacing w:after="0" w:line="236" w:lineRule="exact"/>
        <w:rPr>
          <w:rFonts w:ascii="Trebuchet MS" w:cs="Trebuchet MS" w:eastAsia="Trebuchet MS" w:hAnsi="Trebuchet MS"/>
          <w:sz w:val="22"/>
          <w:szCs w:val="22"/>
          <w:color w:val="auto"/>
        </w:rPr>
      </w:pPr>
    </w:p>
    <w:p>
      <w:pPr>
        <w:ind w:left="2580" w:right="20" w:hanging="858"/>
        <w:spacing w:after="0" w:line="242" w:lineRule="auto"/>
        <w:tabs>
          <w:tab w:leader="none" w:pos="2580" w:val="left"/>
        </w:tabs>
        <w:numPr>
          <w:ilvl w:val="0"/>
          <w:numId w:val="15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SWIFT, cable, telex and facsimile transmission and delivery charges incurred at the request of persons depositing, or Holders delivering Shares, ADRs or Deposited Securities (which are payable by such persons or Holders); and</w:t>
      </w:r>
    </w:p>
    <w:p>
      <w:pPr>
        <w:spacing w:after="0" w:line="239" w:lineRule="exact"/>
        <w:rPr>
          <w:rFonts w:ascii="Trebuchet MS" w:cs="Trebuchet MS" w:eastAsia="Trebuchet MS" w:hAnsi="Trebuchet MS"/>
          <w:sz w:val="22"/>
          <w:szCs w:val="22"/>
          <w:color w:val="auto"/>
        </w:rPr>
      </w:pPr>
    </w:p>
    <w:p>
      <w:pPr>
        <w:ind w:left="2580" w:right="340" w:hanging="858"/>
        <w:spacing w:after="0" w:line="242" w:lineRule="auto"/>
        <w:tabs>
          <w:tab w:leader="none" w:pos="2580" w:val="left"/>
        </w:tabs>
        <w:numPr>
          <w:ilvl w:val="0"/>
          <w:numId w:val="15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transfer or registration fees for the registration or transfer of Deposited Securities on any applicable register in connection with the deposit or withdrawal of Deposited Securities (which are payable by persons depositing Shares or Holders withdrawing Deposited Securities).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14" w:name="page215"/>
    <w:bookmarkEnd w:id="214"/>
    <w:p>
      <w:pPr>
        <w:ind w:right="40" w:firstLine="1735"/>
        <w:spacing w:after="0" w:line="241" w:lineRule="auto"/>
        <w:tabs>
          <w:tab w:leader="none" w:pos="2136" w:val="left"/>
        </w:tabs>
        <w:numPr>
          <w:ilvl w:val="0"/>
          <w:numId w:val="160"/>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 xml:space="preserve">Foreign Exchange Related Matters. </w:t>
      </w:r>
      <w:r>
        <w:rPr>
          <w:rFonts w:ascii="Trebuchet MS" w:cs="Trebuchet MS" w:eastAsia="Trebuchet MS" w:hAnsi="Trebuchet MS"/>
          <w:sz w:val="22"/>
          <w:szCs w:val="22"/>
          <w:color w:val="auto"/>
        </w:rPr>
        <w:t>To facilitate the administration of various depositary</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receipt transactions, including disbursement of dividends or other cash distributions and other corporate actions, the Depositary may engage the foreign exchange desk within JPMorgan Chase Bank, N.A. (the “</w:t>
      </w:r>
      <w:r>
        <w:rPr>
          <w:rFonts w:ascii="Trebuchet MS" w:cs="Trebuchet MS" w:eastAsia="Trebuchet MS" w:hAnsi="Trebuchet MS"/>
          <w:sz w:val="22"/>
          <w:szCs w:val="22"/>
          <w:b w:val="1"/>
          <w:bCs w:val="1"/>
          <w:color w:val="auto"/>
        </w:rPr>
        <w:t>Bank</w:t>
      </w:r>
      <w:r>
        <w:rPr>
          <w:rFonts w:ascii="Trebuchet MS" w:cs="Trebuchet MS" w:eastAsia="Trebuchet MS" w:hAnsi="Trebuchet MS"/>
          <w:sz w:val="22"/>
          <w:szCs w:val="22"/>
          <w:color w:val="auto"/>
        </w:rPr>
        <w:t>”) and/or its affiliates in order to enter into spot foreign exchange transactions to convert foreign currency into U.S. dollars (“</w:t>
      </w:r>
      <w:r>
        <w:rPr>
          <w:rFonts w:ascii="Trebuchet MS" w:cs="Trebuchet MS" w:eastAsia="Trebuchet MS" w:hAnsi="Trebuchet MS"/>
          <w:sz w:val="22"/>
          <w:szCs w:val="22"/>
          <w:b w:val="1"/>
          <w:bCs w:val="1"/>
          <w:color w:val="auto"/>
        </w:rPr>
        <w:t>FX Transactions</w:t>
      </w:r>
      <w:r>
        <w:rPr>
          <w:rFonts w:ascii="Trebuchet MS" w:cs="Trebuchet MS" w:eastAsia="Trebuchet MS" w:hAnsi="Trebuchet MS"/>
          <w:sz w:val="22"/>
          <w:szCs w:val="22"/>
          <w:color w:val="auto"/>
        </w:rPr>
        <w:t>”). For certain currencies, FX Transactions are entered into with the Bank or an affiliate, as the case may be, acting in a principal capacity. For other currencies, FX Transactions are routed directly to and managed by an unaffiliated local custodian (or other third party local liquidity provider), and neither the Bank nor any of its affiliates is a party to such FX Transactions.</w:t>
      </w:r>
    </w:p>
    <w:p>
      <w:pPr>
        <w:spacing w:after="0" w:line="243" w:lineRule="exact"/>
        <w:rPr>
          <w:sz w:val="20"/>
          <w:szCs w:val="20"/>
          <w:color w:val="auto"/>
        </w:rPr>
      </w:pPr>
    </w:p>
    <w:p>
      <w:pPr>
        <w:ind w:left="1740"/>
        <w:spacing w:after="0"/>
        <w:rPr>
          <w:sz w:val="20"/>
          <w:szCs w:val="20"/>
          <w:color w:val="auto"/>
        </w:rPr>
      </w:pPr>
      <w:r>
        <w:rPr>
          <w:rFonts w:ascii="Trebuchet MS" w:cs="Trebuchet MS" w:eastAsia="Trebuchet MS" w:hAnsi="Trebuchet MS"/>
          <w:sz w:val="21"/>
          <w:szCs w:val="21"/>
          <w:color w:val="auto"/>
        </w:rPr>
        <w:t>The foreign exchange rate applied to an FX Transaction will be either (a) a published benchmark</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2"/>
          <w:szCs w:val="22"/>
          <w:color w:val="auto"/>
        </w:rPr>
        <w:t>rate, or (b) a rate determined by a third party local liquidity provider, in each case plus or minus a spread, as</w:t>
      </w:r>
    </w:p>
    <w:p>
      <w:pPr>
        <w:spacing w:after="0" w:line="1"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applicable. The Depositary will disclose which foreign exchange rate and spread, if any, apply to such currency on</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2"/>
          <w:szCs w:val="22"/>
          <w:color w:val="auto"/>
        </w:rPr>
        <w:t xml:space="preserve">the “Disclosure” page (or successor page) of </w:t>
      </w:r>
      <w:r>
        <w:rPr>
          <w:rFonts w:ascii="Trebuchet MS" w:cs="Trebuchet MS" w:eastAsia="Trebuchet MS" w:hAnsi="Trebuchet MS"/>
          <w:sz w:val="22"/>
          <w:szCs w:val="22"/>
          <w:u w:val="single" w:color="auto"/>
          <w:color w:val="0563C1"/>
        </w:rPr>
        <w:t>www.adr.com</w:t>
      </w:r>
      <w:r>
        <w:rPr>
          <w:rFonts w:ascii="Trebuchet MS" w:cs="Trebuchet MS" w:eastAsia="Trebuchet MS" w:hAnsi="Trebuchet MS"/>
          <w:sz w:val="22"/>
          <w:szCs w:val="22"/>
          <w:color w:val="auto"/>
        </w:rPr>
        <w:t xml:space="preserve"> (as updated by the Depositary from time to time,</w:t>
      </w:r>
    </w:p>
    <w:p>
      <w:pPr>
        <w:spacing w:after="0" w:line="1"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w:t>
      </w:r>
      <w:r>
        <w:rPr>
          <w:rFonts w:ascii="Trebuchet MS" w:cs="Trebuchet MS" w:eastAsia="Trebuchet MS" w:hAnsi="Trebuchet MS"/>
          <w:sz w:val="21"/>
          <w:szCs w:val="21"/>
          <w:b w:val="1"/>
          <w:bCs w:val="1"/>
          <w:color w:val="auto"/>
        </w:rPr>
        <w:t>ADR.com</w:t>
      </w:r>
      <w:r>
        <w:rPr>
          <w:rFonts w:ascii="Trebuchet MS" w:cs="Trebuchet MS" w:eastAsia="Trebuchet MS" w:hAnsi="Trebuchet MS"/>
          <w:sz w:val="21"/>
          <w:szCs w:val="21"/>
          <w:color w:val="auto"/>
        </w:rPr>
        <w:t>”). Such applicable foreign exchange rate and spread may (and neither the Depositary, the Bank nor any</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of their affiliates is under any obligation to ensure that such rate does not) differ from rates and spreads at which</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comparable transactions are entered into with other customers or the range of foreign exchange rates and spreads</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at which the Bank or any of its affiliates enters into foreign exchange transactions in the relevant currency pair on</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the date of the FX Transaction. Additionally, the timing of execution of an FX Transaction varies according to local</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market dynamics, which may include regulatory requirements, market hours and liquidity in the foreign exchange</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market or other factors. Furthermore, the Bank and its affiliates may manage the associated risks of their position</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in the market in a manner they deem appropriate without regard to the impact of such activities on the Company,</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the Depositary, Holders or Beneficial Owners. The spread applied does not reflect any gains or losses that may be</w:t>
      </w:r>
    </w:p>
    <w:p>
      <w:pPr>
        <w:spacing w:after="0" w:line="13" w:lineRule="exact"/>
        <w:rPr>
          <w:sz w:val="20"/>
          <w:szCs w:val="20"/>
          <w:color w:val="auto"/>
        </w:rPr>
      </w:pPr>
    </w:p>
    <w:p>
      <w:pPr>
        <w:spacing w:after="0"/>
        <w:rPr>
          <w:sz w:val="20"/>
          <w:szCs w:val="20"/>
          <w:color w:val="auto"/>
        </w:rPr>
      </w:pPr>
      <w:r>
        <w:rPr>
          <w:rFonts w:ascii="Trebuchet MS" w:cs="Trebuchet MS" w:eastAsia="Trebuchet MS" w:hAnsi="Trebuchet MS"/>
          <w:sz w:val="21"/>
          <w:szCs w:val="21"/>
          <w:color w:val="auto"/>
        </w:rPr>
        <w:t>earned or incurred by the Bank and its affiliates as a result of risk management or other hedging related activity.</w:t>
      </w:r>
    </w:p>
    <w:p>
      <w:pPr>
        <w:spacing w:after="0" w:line="256" w:lineRule="exact"/>
        <w:rPr>
          <w:sz w:val="20"/>
          <w:szCs w:val="20"/>
          <w:color w:val="auto"/>
        </w:rPr>
      </w:pPr>
    </w:p>
    <w:p>
      <w:pPr>
        <w:ind w:right="400" w:firstLine="1727"/>
        <w:spacing w:after="0" w:line="242" w:lineRule="auto"/>
        <w:rPr>
          <w:sz w:val="20"/>
          <w:szCs w:val="20"/>
          <w:color w:val="auto"/>
        </w:rPr>
      </w:pPr>
      <w:r>
        <w:rPr>
          <w:rFonts w:ascii="Trebuchet MS" w:cs="Trebuchet MS" w:eastAsia="Trebuchet MS" w:hAnsi="Trebuchet MS"/>
          <w:sz w:val="22"/>
          <w:szCs w:val="22"/>
          <w:color w:val="auto"/>
        </w:rPr>
        <w:t>Notwithstanding the foregoing, to the extent the Company provides U.S. dollars to the Depositary, neither the Bank nor any of its affiliates will execute an FX Transaction as set forth herein. In such case, the Depositary will distribute the U.S. dollars received from the Company.</w:t>
      </w:r>
    </w:p>
    <w:p>
      <w:pPr>
        <w:spacing w:after="0" w:line="240" w:lineRule="exact"/>
        <w:rPr>
          <w:sz w:val="20"/>
          <w:szCs w:val="20"/>
          <w:color w:val="auto"/>
        </w:rPr>
      </w:pPr>
    </w:p>
    <w:p>
      <w:pPr>
        <w:ind w:right="240" w:firstLine="1727"/>
        <w:spacing w:after="0" w:line="244" w:lineRule="auto"/>
        <w:rPr>
          <w:sz w:val="20"/>
          <w:szCs w:val="20"/>
          <w:color w:val="auto"/>
        </w:rPr>
      </w:pPr>
      <w:r>
        <w:rPr>
          <w:rFonts w:ascii="Trebuchet MS" w:cs="Trebuchet MS" w:eastAsia="Trebuchet MS" w:hAnsi="Trebuchet MS"/>
          <w:sz w:val="22"/>
          <w:szCs w:val="22"/>
          <w:color w:val="auto"/>
        </w:rPr>
        <w:t>Further details relating to the applicable foreign exchange rate, the applicable spread and the execution of FX Transactions will be provided by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A-10</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215" w:name="page216"/>
    <w:bookmarkEnd w:id="215"/>
    <w:p>
      <w:pPr>
        <w:ind w:right="80"/>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Depositary on ADR.com. The Company, Holders and Beneficial Owners each acknowledge and agree that the terms applicable to FX Transactions disclosed from time to time on ADR.com will apply to any FX Transaction executed pursuant to the Deposit Agreement.</w:t>
      </w:r>
    </w:p>
    <w:p>
      <w:pPr>
        <w:spacing w:after="0" w:line="240" w:lineRule="exact"/>
        <w:rPr>
          <w:sz w:val="20"/>
          <w:szCs w:val="20"/>
          <w:color w:val="auto"/>
        </w:rPr>
      </w:pPr>
    </w:p>
    <w:p>
      <w:pPr>
        <w:ind w:right="120" w:firstLine="1735"/>
        <w:spacing w:after="0" w:line="241" w:lineRule="auto"/>
        <w:tabs>
          <w:tab w:leader="none" w:pos="2134" w:val="left"/>
        </w:tabs>
        <w:numPr>
          <w:ilvl w:val="1"/>
          <w:numId w:val="161"/>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Disclosure of Potential Depositary Payments</w:t>
      </w:r>
      <w:r>
        <w:rPr>
          <w:rFonts w:ascii="Trebuchet MS" w:cs="Trebuchet MS" w:eastAsia="Trebuchet MS" w:hAnsi="Trebuchet MS"/>
          <w:sz w:val="22"/>
          <w:szCs w:val="22"/>
          <w:color w:val="auto"/>
        </w:rPr>
        <w:t>. The Depositary anticipates reimbursing the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Company for certain expenses incurred by the 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256" w:lineRule="exact"/>
        <w:rPr>
          <w:rFonts w:ascii="Trebuchet MS" w:cs="Trebuchet MS" w:eastAsia="Trebuchet MS" w:hAnsi="Trebuchet MS"/>
          <w:sz w:val="22"/>
          <w:szCs w:val="22"/>
          <w:color w:val="auto"/>
        </w:rPr>
      </w:pPr>
    </w:p>
    <w:p>
      <w:pPr>
        <w:ind w:right="400" w:firstLine="1735"/>
        <w:spacing w:after="0" w:line="242" w:lineRule="auto"/>
        <w:tabs>
          <w:tab w:leader="none" w:pos="2096" w:val="left"/>
        </w:tabs>
        <w:numPr>
          <w:ilvl w:val="1"/>
          <w:numId w:val="161"/>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spacing w:after="0" w:line="230" w:lineRule="exact"/>
        <w:rPr>
          <w:rFonts w:ascii="Trebuchet MS" w:cs="Trebuchet MS" w:eastAsia="Trebuchet MS" w:hAnsi="Trebuchet MS"/>
          <w:sz w:val="22"/>
          <w:szCs w:val="22"/>
          <w:color w:val="auto"/>
        </w:rPr>
      </w:pPr>
    </w:p>
    <w:p>
      <w:pPr>
        <w:ind w:right="80" w:firstLine="872"/>
        <w:spacing w:after="0" w:line="254" w:lineRule="auto"/>
        <w:tabs>
          <w:tab w:leader="none" w:pos="1783" w:val="left"/>
        </w:tabs>
        <w:numPr>
          <w:ilvl w:val="0"/>
          <w:numId w:val="162"/>
        </w:numPr>
        <w:rPr>
          <w:rFonts w:ascii="Trebuchet MS" w:cs="Trebuchet MS" w:eastAsia="Trebuchet MS" w:hAnsi="Trebuchet MS"/>
          <w:sz w:val="21"/>
          <w:szCs w:val="21"/>
          <w:color w:val="auto"/>
        </w:rPr>
      </w:pPr>
      <w:r>
        <w:rPr>
          <w:rFonts w:ascii="Trebuchet MS" w:cs="Trebuchet MS" w:eastAsia="Trebuchet MS" w:hAnsi="Trebuchet MS"/>
          <w:sz w:val="21"/>
          <w:szCs w:val="21"/>
          <w:b w:val="1"/>
          <w:bCs w:val="1"/>
          <w:color w:val="auto"/>
        </w:rPr>
        <w:t>Available Information</w:t>
      </w:r>
      <w:r>
        <w:rPr>
          <w:rFonts w:ascii="Trebuchet MS" w:cs="Trebuchet MS" w:eastAsia="Trebuchet MS" w:hAnsi="Trebuchet MS"/>
          <w:sz w:val="21"/>
          <w:szCs w:val="21"/>
          <w:color w:val="auto"/>
        </w:rPr>
        <w:t>. The Deposit Agreement, the provisions of or governing Deposited</w:t>
      </w:r>
      <w:r>
        <w:rPr>
          <w:rFonts w:ascii="Trebuchet MS" w:cs="Trebuchet MS" w:eastAsia="Trebuchet MS" w:hAnsi="Trebuchet MS"/>
          <w:sz w:val="21"/>
          <w:szCs w:val="21"/>
          <w:b w:val="1"/>
          <w:bCs w:val="1"/>
          <w:color w:val="auto"/>
        </w:rPr>
        <w:t xml:space="preserve"> </w:t>
      </w:r>
      <w:r>
        <w:rPr>
          <w:rFonts w:ascii="Trebuchet MS" w:cs="Trebuchet MS" w:eastAsia="Trebuchet MS" w:hAnsi="Trebuchet MS"/>
          <w:sz w:val="21"/>
          <w:szCs w:val="21"/>
          <w:color w:val="auto"/>
        </w:rPr>
        <w:t>Securities and any written communications from the Company, which are both received by the Custodian or its nominee as a holder of Deposited Securities and made generally available to the holders of Deposited Securities, are available for inspection by Holders at the offices of the Depositary and the Custodian, at the Transfer Office, on the U.S. Securities and Exchange Commission’s website,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United States Securities and Exchange Commission (the "</w:t>
      </w:r>
      <w:r>
        <w:rPr>
          <w:rFonts w:ascii="Trebuchet MS" w:cs="Trebuchet MS" w:eastAsia="Trebuchet MS" w:hAnsi="Trebuchet MS"/>
          <w:sz w:val="21"/>
          <w:szCs w:val="21"/>
          <w:b w:val="1"/>
          <w:bCs w:val="1"/>
          <w:color w:val="auto"/>
        </w:rPr>
        <w:t>Commission</w:t>
      </w:r>
      <w:r>
        <w:rPr>
          <w:rFonts w:ascii="Trebuchet MS" w:cs="Trebuchet MS" w:eastAsia="Trebuchet MS" w:hAnsi="Trebuchet MS"/>
          <w:sz w:val="21"/>
          <w:szCs w:val="21"/>
          <w:color w:val="auto"/>
        </w:rPr>
        <w:t>"). Such reports and other information may be inspected and copied through the Commission’s EDGAR system or at public reference facilities maintained by the Commission located at the date hereof at 100 F Street, NE, Washington, DC 20549.</w:t>
      </w:r>
    </w:p>
    <w:p>
      <w:pPr>
        <w:spacing w:after="0" w:line="225" w:lineRule="exact"/>
        <w:rPr>
          <w:rFonts w:ascii="Trebuchet MS" w:cs="Trebuchet MS" w:eastAsia="Trebuchet MS" w:hAnsi="Trebuchet MS"/>
          <w:sz w:val="21"/>
          <w:szCs w:val="21"/>
          <w:color w:val="auto"/>
        </w:rPr>
      </w:pPr>
    </w:p>
    <w:p>
      <w:pPr>
        <w:ind w:firstLine="872"/>
        <w:spacing w:after="0" w:line="251" w:lineRule="auto"/>
        <w:tabs>
          <w:tab w:leader="none" w:pos="1783" w:val="left"/>
        </w:tabs>
        <w:numPr>
          <w:ilvl w:val="0"/>
          <w:numId w:val="162"/>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Execution</w:t>
      </w:r>
      <w:r>
        <w:rPr>
          <w:rFonts w:ascii="Trebuchet MS" w:cs="Trebuchet MS" w:eastAsia="Trebuchet MS" w:hAnsi="Trebuchet MS"/>
          <w:sz w:val="22"/>
          <w:szCs w:val="22"/>
          <w:color w:val="auto"/>
        </w:rPr>
        <w:t>. This ADR shall not be valid for any purpose unless executed by the Depositary by the</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manual or facsimile signature of a duly authorized officer of the Depositary.</w:t>
      </w:r>
    </w:p>
    <w:p>
      <w:pPr>
        <w:spacing w:after="0" w:line="230" w:lineRule="exact"/>
        <w:rPr>
          <w:sz w:val="20"/>
          <w:szCs w:val="20"/>
          <w:color w:val="auto"/>
        </w:rPr>
      </w:pPr>
    </w:p>
    <w:p>
      <w:pPr>
        <w:spacing w:after="0"/>
        <w:rPr>
          <w:sz w:val="20"/>
          <w:szCs w:val="20"/>
          <w:color w:val="auto"/>
        </w:rPr>
      </w:pPr>
      <w:r>
        <w:rPr>
          <w:rFonts w:ascii="Trebuchet MS" w:cs="Trebuchet MS" w:eastAsia="Trebuchet MS" w:hAnsi="Trebuchet MS"/>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A-11</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16" w:name="page217"/>
    <w:bookmarkEnd w:id="216"/>
    <w:p>
      <w:pPr>
        <w:ind w:left="5200"/>
        <w:spacing w:after="0"/>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JPMORGAN CHASE BANK, N.A., as Depositary</w:t>
      </w:r>
    </w:p>
    <w:p>
      <w:pPr>
        <w:spacing w:after="0" w:line="244" w:lineRule="exact"/>
        <w:rPr>
          <w:sz w:val="20"/>
          <w:szCs w:val="20"/>
          <w:color w:val="auto"/>
        </w:rPr>
      </w:pPr>
    </w:p>
    <w:p>
      <w:pPr>
        <w:ind w:left="5200"/>
        <w:spacing w:after="0"/>
        <w:rPr>
          <w:sz w:val="20"/>
          <w:szCs w:val="20"/>
          <w:color w:val="auto"/>
        </w:rPr>
      </w:pPr>
      <w:r>
        <w:rPr>
          <w:rFonts w:ascii="Trebuchet MS" w:cs="Trebuchet MS" w:eastAsia="Trebuchet MS" w:hAnsi="Trebuchet MS"/>
          <w:sz w:val="22"/>
          <w:szCs w:val="22"/>
          <w:color w:val="auto"/>
        </w:rPr>
        <w:t>By ..................................................</w:t>
      </w:r>
    </w:p>
    <w:p>
      <w:pPr>
        <w:spacing w:after="0" w:line="1" w:lineRule="exact"/>
        <w:rPr>
          <w:sz w:val="20"/>
          <w:szCs w:val="20"/>
          <w:color w:val="auto"/>
        </w:rPr>
      </w:pPr>
    </w:p>
    <w:p>
      <w:pPr>
        <w:ind w:left="5200"/>
        <w:spacing w:after="0"/>
        <w:rPr>
          <w:sz w:val="20"/>
          <w:szCs w:val="20"/>
          <w:color w:val="auto"/>
        </w:rPr>
      </w:pPr>
      <w:r>
        <w:rPr>
          <w:rFonts w:ascii="Trebuchet MS" w:cs="Trebuchet MS" w:eastAsia="Trebuchet MS" w:hAnsi="Trebuchet MS"/>
          <w:sz w:val="22"/>
          <w:szCs w:val="22"/>
          <w:color w:val="auto"/>
        </w:rPr>
        <w:t>Authorized Officer</w:t>
      </w:r>
    </w:p>
    <w:p>
      <w:pPr>
        <w:spacing w:after="0" w:line="244" w:lineRule="exact"/>
        <w:rPr>
          <w:sz w:val="20"/>
          <w:szCs w:val="20"/>
          <w:color w:val="auto"/>
        </w:rPr>
      </w:pPr>
    </w:p>
    <w:p>
      <w:pPr>
        <w:ind w:left="880"/>
        <w:spacing w:after="0"/>
        <w:rPr>
          <w:sz w:val="20"/>
          <w:szCs w:val="20"/>
          <w:color w:val="auto"/>
        </w:rPr>
      </w:pPr>
      <w:r>
        <w:rPr>
          <w:rFonts w:ascii="Trebuchet MS" w:cs="Trebuchet MS" w:eastAsia="Trebuchet MS" w:hAnsi="Trebuchet MS"/>
          <w:sz w:val="21"/>
          <w:szCs w:val="21"/>
          <w:color w:val="auto"/>
        </w:rPr>
        <w:t>The Depositary's office is located at 383 Madison Avenue, Floor 11, New York, New York 10179.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A-12</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217" w:name="page218"/>
    <w:bookmarkEnd w:id="217"/>
    <w:p>
      <w:pPr>
        <w:jc w:val="center"/>
        <w:ind w:right="-19"/>
        <w:spacing w:after="0"/>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[FORM OF REVERSE OF ADR]</w:t>
      </w:r>
    </w:p>
    <w:p>
      <w:pPr>
        <w:spacing w:after="0" w:line="236" w:lineRule="exact"/>
        <w:rPr>
          <w:sz w:val="20"/>
          <w:szCs w:val="20"/>
          <w:color w:val="auto"/>
        </w:rPr>
      </w:pPr>
    </w:p>
    <w:p>
      <w:pPr>
        <w:ind w:right="20" w:firstLine="872"/>
        <w:spacing w:after="0" w:line="243" w:lineRule="auto"/>
        <w:tabs>
          <w:tab w:leader="none" w:pos="1897" w:val="left"/>
        </w:tabs>
        <w:numPr>
          <w:ilvl w:val="0"/>
          <w:numId w:val="163"/>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Distributions on Deposited Securities</w:t>
      </w:r>
      <w:r>
        <w:rPr>
          <w:rFonts w:ascii="Trebuchet MS" w:cs="Trebuchet MS" w:eastAsia="Trebuchet MS" w:hAnsi="Trebuchet MS"/>
          <w:sz w:val="22"/>
          <w:szCs w:val="22"/>
          <w:color w:val="auto"/>
        </w:rPr>
        <w:t>. Subject to paragraphs (4) (</w:t>
      </w:r>
      <w:r>
        <w:rPr>
          <w:rFonts w:ascii="Trebuchet MS" w:cs="Trebuchet MS" w:eastAsia="Trebuchet MS" w:hAnsi="Trebuchet MS"/>
          <w:sz w:val="22"/>
          <w:szCs w:val="22"/>
          <w:i w:val="1"/>
          <w:iCs w:val="1"/>
          <w:color w:val="auto"/>
        </w:rPr>
        <w:t>Certain Limitations to</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i w:val="1"/>
          <w:iCs w:val="1"/>
          <w:color w:val="auto"/>
        </w:rPr>
        <w:t>Registration, Transfer etc.</w:t>
      </w:r>
      <w:r>
        <w:rPr>
          <w:rFonts w:ascii="Trebuchet MS" w:cs="Trebuchet MS" w:eastAsia="Trebuchet MS" w:hAnsi="Trebuchet MS"/>
          <w:sz w:val="22"/>
          <w:szCs w:val="22"/>
          <w:color w:val="auto"/>
        </w:rPr>
        <w:t>) and (5) (</w:t>
      </w:r>
      <w:r>
        <w:rPr>
          <w:rFonts w:ascii="Trebuchet MS" w:cs="Trebuchet MS" w:eastAsia="Trebuchet MS" w:hAnsi="Trebuchet MS"/>
          <w:sz w:val="22"/>
          <w:szCs w:val="22"/>
          <w:i w:val="1"/>
          <w:iCs w:val="1"/>
          <w:color w:val="auto"/>
        </w:rPr>
        <w:t>Liability for Taxes, Duties and other Charges</w:t>
      </w:r>
      <w:r>
        <w:rPr>
          <w:rFonts w:ascii="Trebuchet MS" w:cs="Trebuchet MS" w:eastAsia="Trebuchet MS" w:hAnsi="Trebuchet MS"/>
          <w:sz w:val="22"/>
          <w:szCs w:val="22"/>
          <w:color w:val="auto"/>
        </w:rPr>
        <w:t>), to the extent practicable, the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Depositary will distribute to each Holder entitled thereto on the record date set by the 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238" w:lineRule="exact"/>
        <w:rPr>
          <w:rFonts w:ascii="Trebuchet MS" w:cs="Trebuchet MS" w:eastAsia="Trebuchet MS" w:hAnsi="Trebuchet MS"/>
          <w:sz w:val="22"/>
          <w:szCs w:val="22"/>
          <w:color w:val="auto"/>
        </w:rPr>
      </w:pPr>
    </w:p>
    <w:p>
      <w:pPr>
        <w:ind w:firstLine="1735"/>
        <w:spacing w:after="0" w:line="241" w:lineRule="auto"/>
        <w:tabs>
          <w:tab w:leader="none" w:pos="2130" w:val="left"/>
        </w:tabs>
        <w:numPr>
          <w:ilvl w:val="1"/>
          <w:numId w:val="163"/>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Cash</w:t>
      </w:r>
      <w:r>
        <w:rPr>
          <w:rFonts w:ascii="Trebuchet MS" w:cs="Trebuchet MS" w:eastAsia="Trebuchet MS" w:hAnsi="Trebuchet MS"/>
          <w:sz w:val="22"/>
          <w:szCs w:val="22"/>
          <w:color w:val="auto"/>
        </w:rPr>
        <w:t>. Any U.S. dollars available to the Depositary resulting from a cash dividend or other</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cash distribution or the net proceeds of sales of any other distribution or portion thereof authorized in this paragraph (10) ("</w:t>
      </w:r>
      <w:r>
        <w:rPr>
          <w:rFonts w:ascii="Trebuchet MS" w:cs="Trebuchet MS" w:eastAsia="Trebuchet MS" w:hAnsi="Trebuchet MS"/>
          <w:sz w:val="22"/>
          <w:szCs w:val="22"/>
          <w:b w:val="1"/>
          <w:bCs w:val="1"/>
          <w:color w:val="auto"/>
        </w:rPr>
        <w:t>Cash</w:t>
      </w:r>
      <w:r>
        <w:rPr>
          <w:rFonts w:ascii="Trebuchet MS" w:cs="Trebuchet MS" w:eastAsia="Trebuchet MS" w:hAnsi="Trebuchet MS"/>
          <w:sz w:val="22"/>
          <w:szCs w:val="22"/>
          <w:color w:val="auto"/>
        </w:rPr>
        <w:t>"),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w:t>
      </w:r>
    </w:p>
    <w:p>
      <w:pPr>
        <w:spacing w:after="0" w:line="242" w:lineRule="exact"/>
        <w:rPr>
          <w:rFonts w:ascii="Trebuchet MS" w:cs="Trebuchet MS" w:eastAsia="Trebuchet MS" w:hAnsi="Trebuchet MS"/>
          <w:sz w:val="22"/>
          <w:szCs w:val="22"/>
          <w:color w:val="auto"/>
        </w:rPr>
      </w:pPr>
    </w:p>
    <w:p>
      <w:pPr>
        <w:ind w:right="200" w:firstLine="1735"/>
        <w:spacing w:after="0" w:line="241" w:lineRule="auto"/>
        <w:tabs>
          <w:tab w:leader="none" w:pos="2136" w:val="left"/>
        </w:tabs>
        <w:numPr>
          <w:ilvl w:val="1"/>
          <w:numId w:val="163"/>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Shares</w:t>
      </w:r>
      <w:r>
        <w:rPr>
          <w:rFonts w:ascii="Trebuchet MS" w:cs="Trebuchet MS" w:eastAsia="Trebuchet MS" w:hAnsi="Trebuchet MS"/>
          <w:sz w:val="22"/>
          <w:szCs w:val="22"/>
          <w:color w:val="auto"/>
        </w:rPr>
        <w:t>. (i) Additional ADRs evidencing whole ADSs representing any Shares available to the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Depositary resulting from a dividend or free distribution on Deposited Securities consisting of Shares (a "</w:t>
      </w:r>
      <w:r>
        <w:rPr>
          <w:rFonts w:ascii="Trebuchet MS" w:cs="Trebuchet MS" w:eastAsia="Trebuchet MS" w:hAnsi="Trebuchet MS"/>
          <w:sz w:val="22"/>
          <w:szCs w:val="22"/>
          <w:b w:val="1"/>
          <w:bCs w:val="1"/>
          <w:color w:val="auto"/>
        </w:rPr>
        <w:t>Share</w:t>
      </w:r>
      <w:r>
        <w:rPr>
          <w:rFonts w:ascii="Trebuchet MS" w:cs="Trebuchet MS" w:eastAsia="Trebuchet MS" w:hAnsi="Trebuchet MS"/>
          <w:sz w:val="22"/>
          <w:szCs w:val="22"/>
          <w:color w:val="auto"/>
        </w:rPr>
        <w:t xml:space="preserve"> </w:t>
      </w:r>
      <w:r>
        <w:rPr>
          <w:rFonts w:ascii="Trebuchet MS" w:cs="Trebuchet MS" w:eastAsia="Trebuchet MS" w:hAnsi="Trebuchet MS"/>
          <w:sz w:val="22"/>
          <w:szCs w:val="22"/>
          <w:b w:val="1"/>
          <w:bCs w:val="1"/>
          <w:color w:val="auto"/>
        </w:rPr>
        <w:t>Distribution</w:t>
      </w:r>
      <w:r>
        <w:rPr>
          <w:rFonts w:ascii="Trebuchet MS" w:cs="Trebuchet MS" w:eastAsia="Trebuchet MS" w:hAnsi="Trebuchet MS"/>
          <w:sz w:val="22"/>
          <w:szCs w:val="22"/>
          <w:color w:val="auto"/>
        </w:rPr>
        <w:t>") and (ii) U.S. dollars available to it resulting from the net proceeds of sales of Shares received in a</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Share Distribution, which Shares would give rise to fractional ADSs if additional ADRs were issued therefor, as in the case of Cash.</w:t>
      </w:r>
    </w:p>
    <w:p>
      <w:pPr>
        <w:spacing w:after="0" w:line="242" w:lineRule="exact"/>
        <w:rPr>
          <w:rFonts w:ascii="Trebuchet MS" w:cs="Trebuchet MS" w:eastAsia="Trebuchet MS" w:hAnsi="Trebuchet MS"/>
          <w:sz w:val="22"/>
          <w:szCs w:val="22"/>
          <w:color w:val="auto"/>
        </w:rPr>
      </w:pPr>
    </w:p>
    <w:p>
      <w:pPr>
        <w:ind w:right="160" w:firstLine="1735"/>
        <w:spacing w:after="0" w:line="255" w:lineRule="auto"/>
        <w:tabs>
          <w:tab w:leader="none" w:pos="2123" w:val="left"/>
        </w:tabs>
        <w:numPr>
          <w:ilvl w:val="1"/>
          <w:numId w:val="163"/>
        </w:numPr>
        <w:rPr>
          <w:rFonts w:ascii="Trebuchet MS" w:cs="Trebuchet MS" w:eastAsia="Trebuchet MS" w:hAnsi="Trebuchet MS"/>
          <w:sz w:val="21"/>
          <w:szCs w:val="21"/>
          <w:color w:val="auto"/>
        </w:rPr>
      </w:pPr>
      <w:r>
        <w:rPr>
          <w:rFonts w:ascii="Trebuchet MS" w:cs="Trebuchet MS" w:eastAsia="Trebuchet MS" w:hAnsi="Trebuchet MS"/>
          <w:sz w:val="21"/>
          <w:szCs w:val="21"/>
          <w:i w:val="1"/>
          <w:iCs w:val="1"/>
          <w:color w:val="auto"/>
        </w:rPr>
        <w:t>Rights</w:t>
      </w:r>
      <w:r>
        <w:rPr>
          <w:rFonts w:ascii="Trebuchet MS" w:cs="Trebuchet MS" w:eastAsia="Trebuchet MS" w:hAnsi="Trebuchet MS"/>
          <w:sz w:val="21"/>
          <w:szCs w:val="21"/>
          <w:color w:val="auto"/>
        </w:rPr>
        <w:t>. (i) Warrants or other instruments in the discretion of the Depositary representing</w:t>
      </w:r>
      <w:r>
        <w:rPr>
          <w:rFonts w:ascii="Trebuchet MS" w:cs="Trebuchet MS" w:eastAsia="Trebuchet MS" w:hAnsi="Trebuchet MS"/>
          <w:sz w:val="21"/>
          <w:szCs w:val="21"/>
          <w:i w:val="1"/>
          <w:iCs w:val="1"/>
          <w:color w:val="auto"/>
        </w:rPr>
        <w:t xml:space="preserve"> </w:t>
      </w:r>
      <w:r>
        <w:rPr>
          <w:rFonts w:ascii="Trebuchet MS" w:cs="Trebuchet MS" w:eastAsia="Trebuchet MS" w:hAnsi="Trebuchet MS"/>
          <w:sz w:val="21"/>
          <w:szCs w:val="21"/>
          <w:color w:val="auto"/>
        </w:rPr>
        <w:t>rights to acquire additional ADRs in respect of any rights to subscribe for additional Shares or rights of any nature available to the Depositary as a result of a distribution on Deposited Securities ("</w:t>
      </w:r>
      <w:r>
        <w:rPr>
          <w:rFonts w:ascii="Trebuchet MS" w:cs="Trebuchet MS" w:eastAsia="Trebuchet MS" w:hAnsi="Trebuchet MS"/>
          <w:sz w:val="21"/>
          <w:szCs w:val="21"/>
          <w:b w:val="1"/>
          <w:bCs w:val="1"/>
          <w:color w:val="auto"/>
        </w:rPr>
        <w:t>Rights</w:t>
      </w:r>
      <w:r>
        <w:rPr>
          <w:rFonts w:ascii="Trebuchet MS" w:cs="Trebuchet MS" w:eastAsia="Trebuchet MS" w:hAnsi="Trebuchet MS"/>
          <w:sz w:val="21"/>
          <w:szCs w:val="21"/>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218" w:name="page219"/>
    <w:bookmarkEnd w:id="218"/>
    <w:p>
      <w:pPr>
        <w:ind w:right="40"/>
        <w:spacing w:after="0" w:line="259" w:lineRule="auto"/>
        <w:rPr>
          <w:sz w:val="20"/>
          <w:szCs w:val="20"/>
          <w:color w:val="auto"/>
        </w:rPr>
      </w:pPr>
      <w:r>
        <w:rPr>
          <w:rFonts w:ascii="Trebuchet MS" w:cs="Trebuchet MS" w:eastAsia="Trebuchet MS" w:hAnsi="Trebuchet MS"/>
          <w:sz w:val="21"/>
          <w:szCs w:val="2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w:t>
      </w:r>
    </w:p>
    <w:p>
      <w:pPr>
        <w:spacing w:after="0" w:line="223" w:lineRule="exact"/>
        <w:rPr>
          <w:sz w:val="20"/>
          <w:szCs w:val="20"/>
          <w:color w:val="auto"/>
        </w:rPr>
      </w:pPr>
    </w:p>
    <w:p>
      <w:pPr>
        <w:ind w:right="80" w:firstLine="1735"/>
        <w:spacing w:after="0" w:line="241" w:lineRule="auto"/>
        <w:tabs>
          <w:tab w:leader="none" w:pos="2136" w:val="left"/>
        </w:tabs>
        <w:numPr>
          <w:ilvl w:val="0"/>
          <w:numId w:val="164"/>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Other Distributions</w:t>
      </w:r>
      <w:r>
        <w:rPr>
          <w:rFonts w:ascii="Trebuchet MS" w:cs="Trebuchet MS" w:eastAsia="Trebuchet MS" w:hAnsi="Trebuchet MS"/>
          <w:sz w:val="22"/>
          <w:szCs w:val="22"/>
          <w:color w:val="auto"/>
        </w:rPr>
        <w:t>. (i) Securities or property available to the Depositary resulting from any</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distribution on Deposited Securities other than Cash, Share Distributions and Rights ("</w:t>
      </w:r>
      <w:r>
        <w:rPr>
          <w:rFonts w:ascii="Trebuchet MS" w:cs="Trebuchet MS" w:eastAsia="Trebuchet MS" w:hAnsi="Trebuchet MS"/>
          <w:sz w:val="22"/>
          <w:szCs w:val="22"/>
          <w:b w:val="1"/>
          <w:bCs w:val="1"/>
          <w:color w:val="auto"/>
        </w:rPr>
        <w:t>Other Distributions</w:t>
      </w:r>
      <w:r>
        <w:rPr>
          <w:rFonts w:ascii="Trebuchet MS" w:cs="Trebuchet MS" w:eastAsia="Trebuchet MS" w:hAnsi="Trebuchet MS"/>
          <w:sz w:val="22"/>
          <w:szCs w:val="22"/>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w:t>
      </w:r>
    </w:p>
    <w:p>
      <w:pPr>
        <w:spacing w:after="0" w:line="243" w:lineRule="exact"/>
        <w:rPr>
          <w:sz w:val="20"/>
          <w:szCs w:val="20"/>
          <w:color w:val="auto"/>
        </w:rPr>
      </w:pPr>
    </w:p>
    <w:p>
      <w:pPr>
        <w:ind w:right="80" w:firstLine="1727"/>
        <w:spacing w:after="0" w:line="241" w:lineRule="auto"/>
        <w:rPr>
          <w:sz w:val="20"/>
          <w:szCs w:val="20"/>
          <w:color w:val="auto"/>
        </w:rPr>
      </w:pPr>
      <w:r>
        <w:rPr>
          <w:rFonts w:ascii="Trebuchet MS" w:cs="Trebuchet MS" w:eastAsia="Trebuchet MS" w:hAnsi="Trebuchet MS"/>
          <w:sz w:val="22"/>
          <w:szCs w:val="22"/>
          <w:color w:val="auto"/>
        </w:rPr>
        <w:t>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Trebuchet MS" w:cs="Trebuchet MS" w:eastAsia="Trebuchet MS" w:hAnsi="Trebuchet MS"/>
          <w:sz w:val="22"/>
          <w:szCs w:val="22"/>
          <w:i w:val="1"/>
          <w:iCs w:val="1"/>
          <w:color w:val="auto"/>
        </w:rPr>
        <w:t>Charges of Depositary</w:t>
      </w:r>
      <w:r>
        <w:rPr>
          <w:rFonts w:ascii="Trebuchet MS" w:cs="Trebuchet MS" w:eastAsia="Trebuchet MS" w:hAnsi="Trebuchet MS"/>
          <w:sz w:val="22"/>
          <w:szCs w:val="22"/>
          <w:color w:val="auto"/>
        </w:rPr>
        <w:t>).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on ADR.com, the location and contents of which the Depositary shall be solely responsible for.</w:t>
      </w:r>
    </w:p>
    <w:p>
      <w:pPr>
        <w:spacing w:after="0" w:line="235" w:lineRule="exact"/>
        <w:rPr>
          <w:sz w:val="20"/>
          <w:szCs w:val="20"/>
          <w:color w:val="auto"/>
        </w:rPr>
      </w:pPr>
    </w:p>
    <w:p>
      <w:pPr>
        <w:ind w:firstLine="872"/>
        <w:spacing w:after="0" w:line="242" w:lineRule="auto"/>
        <w:tabs>
          <w:tab w:leader="none" w:pos="1897" w:val="left"/>
        </w:tabs>
        <w:numPr>
          <w:ilvl w:val="0"/>
          <w:numId w:val="165"/>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Record Dates</w:t>
      </w:r>
      <w:r>
        <w:rPr>
          <w:rFonts w:ascii="Trebuchet MS" w:cs="Trebuchet MS" w:eastAsia="Trebuchet MS" w:hAnsi="Trebuchet MS"/>
          <w:sz w:val="22"/>
          <w:szCs w:val="22"/>
          <w:color w:val="auto"/>
        </w:rPr>
        <w:t>. The Depositary may, after consultation with the Company if practicable, fix a</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record date (which, to the extent applicable, 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235" w:lineRule="exact"/>
        <w:rPr>
          <w:rFonts w:ascii="Trebuchet MS" w:cs="Trebuchet MS" w:eastAsia="Trebuchet MS" w:hAnsi="Trebuchet MS"/>
          <w:sz w:val="22"/>
          <w:szCs w:val="22"/>
          <w:color w:val="auto"/>
        </w:rPr>
      </w:pPr>
    </w:p>
    <w:p>
      <w:pPr>
        <w:ind w:left="1900" w:hanging="1028"/>
        <w:spacing w:after="0"/>
        <w:tabs>
          <w:tab w:leader="none" w:pos="1900" w:val="left"/>
        </w:tabs>
        <w:numPr>
          <w:ilvl w:val="0"/>
          <w:numId w:val="165"/>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Voting of Deposited Securities</w:t>
      </w:r>
      <w:r>
        <w:rPr>
          <w:rFonts w:ascii="Trebuchet MS" w:cs="Trebuchet MS" w:eastAsia="Trebuchet MS" w:hAnsi="Trebuchet MS"/>
          <w:sz w:val="22"/>
          <w:szCs w:val="22"/>
          <w:color w:val="auto"/>
        </w:rPr>
        <w:t>.</w:t>
      </w:r>
    </w:p>
    <w:p>
      <w:pPr>
        <w:spacing w:after="0" w:line="252" w:lineRule="exact"/>
        <w:rPr>
          <w:rFonts w:ascii="Trebuchet MS" w:cs="Trebuchet MS" w:eastAsia="Trebuchet MS" w:hAnsi="Trebuchet MS"/>
          <w:sz w:val="22"/>
          <w:szCs w:val="22"/>
          <w:color w:val="auto"/>
        </w:rPr>
      </w:pPr>
    </w:p>
    <w:p>
      <w:pPr>
        <w:ind w:right="200" w:firstLine="1735"/>
        <w:spacing w:after="0" w:line="244" w:lineRule="auto"/>
        <w:tabs>
          <w:tab w:leader="none" w:pos="2647" w:val="left"/>
        </w:tabs>
        <w:numPr>
          <w:ilvl w:val="1"/>
          <w:numId w:val="165"/>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Notice of any Meeting or Solicitation. As soon as practicable after receipt of notice of any meeting at which the holders of Shares are entitled to vote,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19" w:name="page220"/>
    <w:bookmarkEnd w:id="219"/>
    <w:p>
      <w:pPr>
        <w:spacing w:after="0" w:line="241"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or of solicitation of consents or proxies from holders of Shares or other Deposited Securities, the Depositary shall fix the ADS record date in accordance with paragraph (11) above provided that if the Depositary receives a written request from the Company in a timely manner and at least 30 days prior to the date of such vote or meeting, the Depositary shall, at the Company's expense, distribute to Holders a notice (the “</w:t>
      </w:r>
      <w:r>
        <w:rPr>
          <w:rFonts w:ascii="Trebuchet MS" w:cs="Trebuchet MS" w:eastAsia="Trebuchet MS" w:hAnsi="Trebuchet MS"/>
          <w:sz w:val="22"/>
          <w:szCs w:val="22"/>
          <w:b w:val="1"/>
          <w:bCs w:val="1"/>
          <w:color w:val="auto"/>
        </w:rPr>
        <w:t>Voting Notice</w:t>
      </w:r>
      <w:r>
        <w:rPr>
          <w:rFonts w:ascii="Trebuchet MS" w:cs="Trebuchet MS" w:eastAsia="Trebuchet MS" w:hAnsi="Trebuchet MS"/>
          <w:sz w:val="22"/>
          <w:szCs w:val="22"/>
          <w:color w:val="auto"/>
        </w:rPr>
        <w:t>”) stating (i) final information particular to such vote and meeting and any solicitation materials, (ii) that each Holder on the record date set by the Depositary will, subject to any applicable provisions of Swedish law, be entitled to instruct the Depositary as to the exercise of the voting rights, if any, pertaining to the Deposited Securities represented by the ADSs evidenced by such Holder's ADRs and (iii) the manner in which such instructions may be given, including instructions to give a discretionary proxy to a person designated by the Company. Each Holder shall be solely responsible for the forwarding of Voting Notices to the Beneficial Owners of ADSs registered in such Holder's name. There is no guarantee that Holders and Beneficial Owners generally or any Holder or Beneficial Owner in particular will receive the notice described above with sufficient time to enable such Holder or Beneficial Owner to return any voting instructions to the Depositary in a timely manner.</w:t>
      </w:r>
    </w:p>
    <w:p>
      <w:pPr>
        <w:spacing w:after="0" w:line="243" w:lineRule="exact"/>
        <w:rPr>
          <w:sz w:val="20"/>
          <w:szCs w:val="20"/>
          <w:color w:val="auto"/>
        </w:rPr>
      </w:pPr>
    </w:p>
    <w:p>
      <w:pPr>
        <w:ind w:firstLine="872"/>
        <w:spacing w:after="0" w:line="241" w:lineRule="auto"/>
        <w:tabs>
          <w:tab w:leader="none" w:pos="1790" w:val="left"/>
        </w:tabs>
        <w:numPr>
          <w:ilvl w:val="0"/>
          <w:numId w:val="166"/>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Voting of Deposited Securities</w:t>
      </w:r>
      <w:r>
        <w:rPr>
          <w:rFonts w:ascii="Trebuchet MS" w:cs="Trebuchet MS" w:eastAsia="Trebuchet MS" w:hAnsi="Trebuchet MS"/>
          <w:sz w:val="22"/>
          <w:szCs w:val="22"/>
          <w:color w:val="auto"/>
        </w:rPr>
        <w:t>. Following actual receipt by the ADR department responsible for</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proxies and voting of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w:t>
      </w:r>
    </w:p>
    <w:p>
      <w:pPr>
        <w:spacing w:after="0" w:line="200" w:lineRule="exact"/>
        <w:rPr>
          <w:rFonts w:ascii="Trebuchet MS" w:cs="Trebuchet MS" w:eastAsia="Trebuchet MS" w:hAnsi="Trebuchet MS"/>
          <w:sz w:val="22"/>
          <w:szCs w:val="22"/>
          <w:color w:val="auto"/>
        </w:rPr>
      </w:pPr>
    </w:p>
    <w:p>
      <w:pPr>
        <w:spacing w:after="0" w:line="218" w:lineRule="exact"/>
        <w:rPr>
          <w:rFonts w:ascii="Trebuchet MS" w:cs="Trebuchet MS" w:eastAsia="Trebuchet MS" w:hAnsi="Trebuchet MS"/>
          <w:sz w:val="22"/>
          <w:szCs w:val="22"/>
          <w:color w:val="auto"/>
        </w:rPr>
      </w:pPr>
    </w:p>
    <w:p>
      <w:pPr>
        <w:ind w:right="20" w:firstLine="872"/>
        <w:spacing w:after="0" w:line="241" w:lineRule="auto"/>
        <w:tabs>
          <w:tab w:leader="none" w:pos="1777" w:val="left"/>
        </w:tabs>
        <w:numPr>
          <w:ilvl w:val="0"/>
          <w:numId w:val="166"/>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 xml:space="preserve">Alternative Methods of Distributing Materials. </w:t>
      </w:r>
      <w:r>
        <w:rPr>
          <w:rFonts w:ascii="Trebuchet MS" w:cs="Trebuchet MS" w:eastAsia="Trebuchet MS" w:hAnsi="Trebuchet MS"/>
          <w:sz w:val="22"/>
          <w:szCs w:val="22"/>
          <w:color w:val="auto"/>
        </w:rPr>
        <w:t>Notwithstanding anything contained in the</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Deposit Agreement or any ADR, the Depositary may, to the extent not prohibited by any law, rule, or regulation or by the rules and/or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rebuchet MS" w:cs="Trebuchet MS" w:eastAsia="Trebuchet MS" w:hAnsi="Trebuchet MS"/>
          <w:sz w:val="22"/>
          <w:szCs w:val="22"/>
          <w:i w:val="1"/>
          <w:iCs w:val="1"/>
          <w:color w:val="auto"/>
        </w:rPr>
        <w:t>i.e.</w:t>
      </w:r>
      <w:r>
        <w:rPr>
          <w:rFonts w:ascii="Trebuchet MS" w:cs="Trebuchet MS" w:eastAsia="Trebuchet MS" w:hAnsi="Trebuchet MS"/>
          <w:sz w:val="22"/>
          <w:szCs w:val="22"/>
          <w:color w:val="auto"/>
        </w:rPr>
        <w:t>, by reference to a website containing the materials for retrieval or a contact for requesting copies of the materials). Holders are strongly encouraged to forward their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A-15</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165" w:right="399" w:bottom="1440" w:gutter="0" w:footer="0" w:header="0"/>
        </w:sectPr>
      </w:pPr>
    </w:p>
    <w:bookmarkStart w:id="220" w:name="page221"/>
    <w:bookmarkEnd w:id="220"/>
    <w:p>
      <w:pPr>
        <w:ind w:right="80"/>
        <w:spacing w:after="0" w:line="259" w:lineRule="auto"/>
        <w:rPr>
          <w:sz w:val="20"/>
          <w:szCs w:val="20"/>
          <w:color w:val="auto"/>
        </w:rPr>
      </w:pPr>
      <w:r>
        <w:rPr>
          <w:rFonts w:ascii="Trebuchet MS" w:cs="Trebuchet MS" w:eastAsia="Trebuchet MS" w:hAnsi="Trebuchet MS"/>
          <w:sz w:val="21"/>
          <w:szCs w:val="2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215" w:lineRule="exact"/>
        <w:rPr>
          <w:sz w:val="20"/>
          <w:szCs w:val="20"/>
          <w:color w:val="auto"/>
        </w:rPr>
      </w:pPr>
    </w:p>
    <w:p>
      <w:pPr>
        <w:ind w:left="1900" w:hanging="1028"/>
        <w:spacing w:after="0"/>
        <w:tabs>
          <w:tab w:leader="none" w:pos="1900" w:val="left"/>
        </w:tabs>
        <w:numPr>
          <w:ilvl w:val="0"/>
          <w:numId w:val="167"/>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Changes Affecting Deposited Securities</w:t>
      </w:r>
      <w:r>
        <w:rPr>
          <w:rFonts w:ascii="Trebuchet MS" w:cs="Trebuchet MS" w:eastAsia="Trebuchet MS" w:hAnsi="Trebuchet MS"/>
          <w:sz w:val="22"/>
          <w:szCs w:val="22"/>
          <w:color w:val="auto"/>
        </w:rPr>
        <w:t>.</w:t>
      </w:r>
    </w:p>
    <w:p>
      <w:pPr>
        <w:spacing w:after="0" w:line="252" w:lineRule="exact"/>
        <w:rPr>
          <w:rFonts w:ascii="Trebuchet MS" w:cs="Trebuchet MS" w:eastAsia="Trebuchet MS" w:hAnsi="Trebuchet MS"/>
          <w:sz w:val="22"/>
          <w:szCs w:val="22"/>
          <w:color w:val="auto"/>
        </w:rPr>
      </w:pPr>
    </w:p>
    <w:p>
      <w:pPr>
        <w:ind w:right="120" w:firstLine="1735"/>
        <w:spacing w:after="0" w:line="241" w:lineRule="auto"/>
        <w:tabs>
          <w:tab w:leader="none" w:pos="2129" w:val="left"/>
        </w:tabs>
        <w:numPr>
          <w:ilvl w:val="1"/>
          <w:numId w:val="167"/>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Subject to paragraphs (4) (</w:t>
      </w:r>
      <w:r>
        <w:rPr>
          <w:rFonts w:ascii="Trebuchet MS" w:cs="Trebuchet MS" w:eastAsia="Trebuchet MS" w:hAnsi="Trebuchet MS"/>
          <w:sz w:val="22"/>
          <w:szCs w:val="22"/>
          <w:i w:val="1"/>
          <w:iCs w:val="1"/>
          <w:color w:val="auto"/>
        </w:rPr>
        <w:t>Certain Limitations to Registration, Transfer etc.</w:t>
      </w:r>
      <w:r>
        <w:rPr>
          <w:rFonts w:ascii="Trebuchet MS" w:cs="Trebuchet MS" w:eastAsia="Trebuchet MS" w:hAnsi="Trebuchet MS"/>
          <w:sz w:val="22"/>
          <w:szCs w:val="22"/>
          <w:color w:val="auto"/>
        </w:rPr>
        <w:t>) and (5) (</w:t>
      </w:r>
      <w:r>
        <w:rPr>
          <w:rFonts w:ascii="Trebuchet MS" w:cs="Trebuchet MS" w:eastAsia="Trebuchet MS" w:hAnsi="Trebuchet MS"/>
          <w:sz w:val="22"/>
          <w:szCs w:val="22"/>
          <w:i w:val="1"/>
          <w:iCs w:val="1"/>
          <w:color w:val="auto"/>
        </w:rPr>
        <w:t>Liability for Taxes, Duties and Other Charges</w:t>
      </w:r>
      <w:r>
        <w:rPr>
          <w:rFonts w:ascii="Trebuchet MS" w:cs="Trebuchet MS" w:eastAsia="Trebuchet MS" w:hAnsi="Trebuchet MS"/>
          <w:sz w:val="22"/>
          <w:szCs w:val="22"/>
          <w:color w:val="auto"/>
        </w:rPr>
        <w:t>),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256" w:lineRule="exact"/>
        <w:rPr>
          <w:rFonts w:ascii="Trebuchet MS" w:cs="Trebuchet MS" w:eastAsia="Trebuchet MS" w:hAnsi="Trebuchet MS"/>
          <w:sz w:val="22"/>
          <w:szCs w:val="22"/>
          <w:color w:val="auto"/>
        </w:rPr>
      </w:pPr>
    </w:p>
    <w:p>
      <w:pPr>
        <w:jc w:val="both"/>
        <w:ind w:firstLine="1735"/>
        <w:spacing w:after="0" w:line="242" w:lineRule="auto"/>
        <w:tabs>
          <w:tab w:leader="none" w:pos="2136" w:val="left"/>
        </w:tabs>
        <w:numPr>
          <w:ilvl w:val="1"/>
          <w:numId w:val="167"/>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238" w:lineRule="exact"/>
        <w:rPr>
          <w:rFonts w:ascii="Trebuchet MS" w:cs="Trebuchet MS" w:eastAsia="Trebuchet MS" w:hAnsi="Trebuchet MS"/>
          <w:sz w:val="22"/>
          <w:szCs w:val="22"/>
          <w:color w:val="auto"/>
        </w:rPr>
      </w:pPr>
    </w:p>
    <w:p>
      <w:pPr>
        <w:ind w:right="200" w:firstLine="1735"/>
        <w:spacing w:after="0" w:line="256" w:lineRule="auto"/>
        <w:tabs>
          <w:tab w:leader="none" w:pos="2123" w:val="left"/>
        </w:tabs>
        <w:numPr>
          <w:ilvl w:val="1"/>
          <w:numId w:val="167"/>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217" w:lineRule="exact"/>
        <w:rPr>
          <w:rFonts w:ascii="Trebuchet MS" w:cs="Trebuchet MS" w:eastAsia="Trebuchet MS" w:hAnsi="Trebuchet MS"/>
          <w:sz w:val="21"/>
          <w:szCs w:val="21"/>
          <w:color w:val="auto"/>
        </w:rPr>
      </w:pPr>
    </w:p>
    <w:p>
      <w:pPr>
        <w:ind w:left="1900" w:hanging="1028"/>
        <w:spacing w:after="0"/>
        <w:tabs>
          <w:tab w:leader="none" w:pos="1900" w:val="left"/>
        </w:tabs>
        <w:numPr>
          <w:ilvl w:val="0"/>
          <w:numId w:val="167"/>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Exoneration</w:t>
      </w:r>
      <w:r>
        <w:rPr>
          <w:rFonts w:ascii="Trebuchet MS" w:cs="Trebuchet MS" w:eastAsia="Trebuchet MS" w:hAnsi="Trebuchet MS"/>
          <w:sz w:val="22"/>
          <w:szCs w:val="22"/>
          <w:color w:val="auto"/>
        </w:rPr>
        <w:t>.</w:t>
      </w:r>
    </w:p>
    <w:p>
      <w:pPr>
        <w:spacing w:after="0" w:line="252" w:lineRule="exact"/>
        <w:rPr>
          <w:rFonts w:ascii="Trebuchet MS" w:cs="Trebuchet MS" w:eastAsia="Trebuchet MS" w:hAnsi="Trebuchet MS"/>
          <w:sz w:val="22"/>
          <w:szCs w:val="22"/>
          <w:color w:val="auto"/>
        </w:rPr>
      </w:pPr>
    </w:p>
    <w:p>
      <w:pPr>
        <w:ind w:left="2140" w:hanging="405"/>
        <w:spacing w:after="0"/>
        <w:tabs>
          <w:tab w:leader="none" w:pos="2140" w:val="left"/>
        </w:tabs>
        <w:numPr>
          <w:ilvl w:val="1"/>
          <w:numId w:val="167"/>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Depositary, the Company, and each of their respective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21" w:name="page222"/>
    <w:bookmarkEnd w:id="221"/>
    <w:p>
      <w:pPr>
        <w:ind w:right="20"/>
        <w:spacing w:after="0" w:line="253" w:lineRule="auto"/>
        <w:rPr>
          <w:sz w:val="20"/>
          <w:szCs w:val="20"/>
          <w:color w:val="auto"/>
        </w:rPr>
      </w:pPr>
      <w:r>
        <w:rPr>
          <w:rFonts w:ascii="Trebuchet MS" w:cs="Trebuchet MS" w:eastAsia="Trebuchet MS" w:hAnsi="Trebuchet MS"/>
          <w:sz w:val="21"/>
          <w:szCs w:val="2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directors, officers, employees, agents and affiliates and each of them shall: (i) incur or assume no liability to Holders or Beneficial Owners (A) if any present or future law, rule, regulation, fiat, order or decree of the United States, the Kingdom of Sweden or any other country or jurisdiction, or of any governmental or regulatory authority or any securities exchange or market or automated quotation system, the provisions of or governing any Deposited Securities, any present or future provision of the Company's articles of association, any act of God, war, terrorism, nationalization, epidemic, pandemic,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 (ii) not incur or assume any liability to Holders or Beneficial Owners except to perform its obligations to the extent they are specifically set forth in this ADR and the Deposit Agreement without gross negligence or willful misconduct and the Depositary shall not be a fiduciary or have any fiduciary duty to Holders or Beneficial Owners; (iii) in the case of the Depositary and its agents, be under no obligation to appear in, prosecute or defend any action, suit or other proceeding in respect of any Deposited Securities, ADSs or this ADR; (iv) in the case of the Company and its agents hereunder be under no obligation to appear in, prosecute or defend any action, suit or other proceeding in respect of any Deposited Securities, ADSs or this ADR, which in its opinion may involve it in expense or liability, unless indemnity satisfactory to it against all expense (including fees and disbursements of counsel) and liability be furnished as often as may be required; and (v) not be liable to Holders or Beneficial Owners for any action or inaction by it in reliance upon the advice of or information from legal counsel, accountants, any person presenting Shares for deposit, any Holder, any other person believed by it to be competent to give such advice or information, or in the case of the Depositary only, the Company. The Depositary shall not be liable for the acts or omissions made by, or the insolvency of, any securities depository, clearing agency or settlement system.</w:t>
      </w:r>
    </w:p>
    <w:p>
      <w:pPr>
        <w:spacing w:after="0" w:line="200" w:lineRule="exact"/>
        <w:rPr>
          <w:sz w:val="20"/>
          <w:szCs w:val="20"/>
          <w:color w:val="auto"/>
        </w:rPr>
      </w:pPr>
    </w:p>
    <w:p>
      <w:pPr>
        <w:spacing w:after="0" w:line="285" w:lineRule="exact"/>
        <w:rPr>
          <w:sz w:val="20"/>
          <w:szCs w:val="20"/>
          <w:color w:val="auto"/>
        </w:rPr>
      </w:pPr>
    </w:p>
    <w:p>
      <w:pPr>
        <w:ind w:firstLine="1735"/>
        <w:spacing w:after="0" w:line="242" w:lineRule="auto"/>
        <w:tabs>
          <w:tab w:leader="none" w:pos="2136" w:val="left"/>
        </w:tabs>
        <w:numPr>
          <w:ilvl w:val="0"/>
          <w:numId w:val="168"/>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The Depositary</w:t>
      </w:r>
      <w:r>
        <w:rPr>
          <w:rFonts w:ascii="Trebuchet MS" w:cs="Trebuchet MS" w:eastAsia="Trebuchet MS" w:hAnsi="Trebuchet MS"/>
          <w:sz w:val="22"/>
          <w:szCs w:val="22"/>
          <w:color w:val="auto"/>
        </w:rPr>
        <w:t>. The Depositary shall not be responsible for, and shall incur no liability in</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connection with or arising from, the insolvency of any Custodian that is not a branch or affiliate of JPMorgan Chase Bank, N.A. The Depositary shall not have any liability for the price received in connection with 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A-17</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22" w:name="page223"/>
    <w:bookmarkEnd w:id="222"/>
    <w:p>
      <w:pPr>
        <w:spacing w:after="0" w:line="254" w:lineRule="auto"/>
        <w:rPr>
          <w:sz w:val="20"/>
          <w:szCs w:val="20"/>
          <w:color w:val="auto"/>
        </w:rPr>
      </w:pPr>
      <w:r>
        <w:rPr>
          <w:rFonts w:ascii="Trebuchet MS" w:cs="Trebuchet MS" w:eastAsia="Trebuchet MS" w:hAnsi="Trebuchet MS"/>
          <w:sz w:val="21"/>
          <w:szCs w:val="21"/>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subject to the further limitations set forth in subparagraph (p)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229" w:lineRule="exact"/>
        <w:rPr>
          <w:sz w:val="20"/>
          <w:szCs w:val="20"/>
          <w:color w:val="auto"/>
        </w:rPr>
      </w:pPr>
    </w:p>
    <w:p>
      <w:pPr>
        <w:jc w:val="both"/>
        <w:ind w:right="180" w:firstLine="1735"/>
        <w:spacing w:after="0" w:line="242" w:lineRule="auto"/>
        <w:tabs>
          <w:tab w:leader="none" w:pos="2123" w:val="left"/>
        </w:tabs>
        <w:numPr>
          <w:ilvl w:val="0"/>
          <w:numId w:val="16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Depositary, its agents and the Company may rely and shall be protected in acting upon any written notice, request, direction, instruction or document believed by them to be genuine and to have been signed, presented or given by the proper party or parties.</w:t>
      </w:r>
    </w:p>
    <w:p>
      <w:pPr>
        <w:spacing w:after="0" w:line="239" w:lineRule="exact"/>
        <w:rPr>
          <w:rFonts w:ascii="Trebuchet MS" w:cs="Trebuchet MS" w:eastAsia="Trebuchet MS" w:hAnsi="Trebuchet MS"/>
          <w:sz w:val="22"/>
          <w:szCs w:val="22"/>
          <w:color w:val="auto"/>
        </w:rPr>
      </w:pPr>
    </w:p>
    <w:p>
      <w:pPr>
        <w:jc w:val="both"/>
        <w:ind w:right="20" w:firstLine="1735"/>
        <w:spacing w:after="0" w:line="259" w:lineRule="auto"/>
        <w:tabs>
          <w:tab w:leader="none" w:pos="2136" w:val="left"/>
        </w:tabs>
        <w:numPr>
          <w:ilvl w:val="0"/>
          <w:numId w:val="169"/>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The Depositary shall be under no obligation to inform Holders or Beneficial Owners about the requirements of the laws, rules or regulations or any changes therein or thereto of any country or jurisdiction or of any governmental or regulatory authority or any securities exchange or market or automated quotation system.</w:t>
      </w:r>
    </w:p>
    <w:p>
      <w:pPr>
        <w:spacing w:after="0" w:line="223" w:lineRule="exact"/>
        <w:rPr>
          <w:rFonts w:ascii="Trebuchet MS" w:cs="Trebuchet MS" w:eastAsia="Trebuchet MS" w:hAnsi="Trebuchet MS"/>
          <w:sz w:val="21"/>
          <w:szCs w:val="21"/>
          <w:color w:val="auto"/>
        </w:rPr>
      </w:pPr>
    </w:p>
    <w:p>
      <w:pPr>
        <w:ind w:right="120" w:firstLine="1735"/>
        <w:spacing w:after="0" w:line="242" w:lineRule="auto"/>
        <w:tabs>
          <w:tab w:leader="none" w:pos="2134" w:val="left"/>
        </w:tabs>
        <w:numPr>
          <w:ilvl w:val="0"/>
          <w:numId w:val="16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Depositary and its agents will not be responsible for any failure to carry out any instructions to vote any of the Deposited Securities, for the manner in which any voting instructions are given, for the manner in which any such vote is cast or for the effect of any such vote.</w:t>
      </w:r>
    </w:p>
    <w:p>
      <w:pPr>
        <w:spacing w:after="0" w:line="239" w:lineRule="exact"/>
        <w:rPr>
          <w:rFonts w:ascii="Trebuchet MS" w:cs="Trebuchet MS" w:eastAsia="Trebuchet MS" w:hAnsi="Trebuchet MS"/>
          <w:sz w:val="22"/>
          <w:szCs w:val="22"/>
          <w:color w:val="auto"/>
        </w:rPr>
      </w:pPr>
    </w:p>
    <w:p>
      <w:pPr>
        <w:ind w:right="120" w:firstLine="1735"/>
        <w:spacing w:after="0" w:line="244" w:lineRule="auto"/>
        <w:tabs>
          <w:tab w:leader="none" w:pos="2096" w:val="left"/>
        </w:tabs>
        <w:numPr>
          <w:ilvl w:val="0"/>
          <w:numId w:val="169"/>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Depositary may rely upon instructions from the Company or its counsel in respect of any approval or license required for any currency conversion, transfer 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A-18</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23" w:name="page224"/>
    <w:bookmarkEnd w:id="223"/>
    <w:p>
      <w:pPr>
        <w:ind w:right="380" w:firstLine="1735"/>
        <w:spacing w:after="0" w:line="244" w:lineRule="auto"/>
        <w:tabs>
          <w:tab w:leader="none" w:pos="2124" w:val="left"/>
        </w:tabs>
        <w:numPr>
          <w:ilvl w:val="0"/>
          <w:numId w:val="170"/>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The Depositary and its agents may own and deal in any class of securities of the Company and its affiliates and in ADRs.</w:t>
      </w:r>
    </w:p>
    <w:p>
      <w:pPr>
        <w:spacing w:after="0" w:line="236" w:lineRule="exact"/>
        <w:rPr>
          <w:rFonts w:ascii="Trebuchet MS" w:cs="Trebuchet MS" w:eastAsia="Trebuchet MS" w:hAnsi="Trebuchet MS"/>
          <w:sz w:val="22"/>
          <w:szCs w:val="22"/>
          <w:color w:val="auto"/>
        </w:rPr>
      </w:pPr>
    </w:p>
    <w:p>
      <w:pPr>
        <w:ind w:right="160" w:firstLine="1735"/>
        <w:spacing w:after="0" w:line="241" w:lineRule="auto"/>
        <w:tabs>
          <w:tab w:leader="none" w:pos="2134" w:val="left"/>
        </w:tabs>
        <w:numPr>
          <w:ilvl w:val="0"/>
          <w:numId w:val="170"/>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w:t>
      </w:r>
    </w:p>
    <w:p>
      <w:pPr>
        <w:spacing w:after="0" w:line="242" w:lineRule="exact"/>
        <w:rPr>
          <w:rFonts w:ascii="Trebuchet MS" w:cs="Trebuchet MS" w:eastAsia="Trebuchet MS" w:hAnsi="Trebuchet MS"/>
          <w:sz w:val="22"/>
          <w:szCs w:val="22"/>
          <w:color w:val="auto"/>
        </w:rPr>
      </w:pPr>
    </w:p>
    <w:p>
      <w:pPr>
        <w:ind w:firstLine="1735"/>
        <w:spacing w:after="0" w:line="242" w:lineRule="auto"/>
        <w:tabs>
          <w:tab w:leader="none" w:pos="2078" w:val="left"/>
        </w:tabs>
        <w:numPr>
          <w:ilvl w:val="0"/>
          <w:numId w:val="170"/>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None of the Depositary, the Custodian or the Company shall be liable for the failure by any Holder or Beneficial Owner to obtain the benefits of credits or refunds of non-U.S. tax paid against such Holder's or Beneficial Owner's income tax liability.</w:t>
      </w:r>
    </w:p>
    <w:p>
      <w:pPr>
        <w:spacing w:after="0" w:line="239" w:lineRule="exact"/>
        <w:rPr>
          <w:rFonts w:ascii="Trebuchet MS" w:cs="Trebuchet MS" w:eastAsia="Trebuchet MS" w:hAnsi="Trebuchet MS"/>
          <w:sz w:val="22"/>
          <w:szCs w:val="22"/>
          <w:color w:val="auto"/>
        </w:rPr>
      </w:pPr>
    </w:p>
    <w:p>
      <w:pPr>
        <w:ind w:right="40" w:firstLine="1735"/>
        <w:spacing w:after="0" w:line="242" w:lineRule="auto"/>
        <w:tabs>
          <w:tab w:leader="none" w:pos="2095" w:val="left"/>
        </w:tabs>
        <w:numPr>
          <w:ilvl w:val="0"/>
          <w:numId w:val="170"/>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The Depositary is under no obligation to provide the Holders and Beneficial Owners, or any of them, with any information about the tax status of the Company. The Depositary and the Company shall not incur any liability for any tax or tax consequences that may be incurred by Holders and Beneficial Owners on account of their ownership or disposition of the ADRs or ADSs.</w:t>
      </w:r>
    </w:p>
    <w:p>
      <w:pPr>
        <w:spacing w:after="0" w:line="238" w:lineRule="exact"/>
        <w:rPr>
          <w:rFonts w:ascii="Trebuchet MS" w:cs="Trebuchet MS" w:eastAsia="Trebuchet MS" w:hAnsi="Trebuchet MS"/>
          <w:sz w:val="22"/>
          <w:szCs w:val="22"/>
          <w:color w:val="auto"/>
        </w:rPr>
      </w:pPr>
    </w:p>
    <w:p>
      <w:pPr>
        <w:ind w:right="60" w:firstLine="1735"/>
        <w:spacing w:after="0" w:line="256" w:lineRule="auto"/>
        <w:tabs>
          <w:tab w:leader="none" w:pos="2125" w:val="left"/>
        </w:tabs>
        <w:numPr>
          <w:ilvl w:val="0"/>
          <w:numId w:val="170"/>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w:t>
      </w:r>
    </w:p>
    <w:p>
      <w:pPr>
        <w:spacing w:after="0" w:line="225" w:lineRule="exact"/>
        <w:rPr>
          <w:rFonts w:ascii="Trebuchet MS" w:cs="Trebuchet MS" w:eastAsia="Trebuchet MS" w:hAnsi="Trebuchet MS"/>
          <w:sz w:val="21"/>
          <w:szCs w:val="21"/>
          <w:color w:val="auto"/>
        </w:rPr>
      </w:pPr>
    </w:p>
    <w:p>
      <w:pPr>
        <w:ind w:right="20" w:firstLine="1735"/>
        <w:spacing w:after="0" w:line="254" w:lineRule="auto"/>
        <w:tabs>
          <w:tab w:leader="none" w:pos="2080" w:val="left"/>
        </w:tabs>
        <w:numPr>
          <w:ilvl w:val="0"/>
          <w:numId w:val="170"/>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Notwithstanding anything herein or in the Deposit Agreement to the contrary, the Depositary and the Custodian(s) may use third party delivery services and providers of information regarding matters such as pricing, proxy voting, corporate actions, class action litigation and other services in connection herewith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224" w:name="page225"/>
    <w:bookmarkEnd w:id="224"/>
    <w:p>
      <w:pPr>
        <w:ind w:right="100" w:firstLine="1735"/>
        <w:spacing w:after="0" w:line="242" w:lineRule="auto"/>
        <w:tabs>
          <w:tab w:leader="none" w:pos="2195" w:val="left"/>
        </w:tabs>
        <w:numPr>
          <w:ilvl w:val="1"/>
          <w:numId w:val="171"/>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The Depositary shall not be liable for any acts or omissions made by a successor depositary whether in connection with a previous act or omission of the Depositary or in connection with any matter arising wholly after the removal or resignation of the Depositary.</w:t>
      </w:r>
    </w:p>
    <w:p>
      <w:pPr>
        <w:spacing w:after="0" w:line="239" w:lineRule="exact"/>
        <w:rPr>
          <w:rFonts w:ascii="Trebuchet MS" w:cs="Trebuchet MS" w:eastAsia="Trebuchet MS" w:hAnsi="Trebuchet MS"/>
          <w:sz w:val="22"/>
          <w:szCs w:val="22"/>
          <w:color w:val="auto"/>
        </w:rPr>
      </w:pPr>
    </w:p>
    <w:p>
      <w:pPr>
        <w:ind w:firstLine="1735"/>
        <w:spacing w:after="0" w:line="241" w:lineRule="auto"/>
        <w:tabs>
          <w:tab w:leader="none" w:pos="2134" w:val="left"/>
        </w:tabs>
        <w:numPr>
          <w:ilvl w:val="1"/>
          <w:numId w:val="171"/>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By holding or owning an ADR or ADS or an interest therein, Holders and Beneficial Owners each irrevocably agree that any legal suit, action or proceeding against or involving Holders or Beneficial Owners brought by the Company or the Depositary, arising out of or based upon the Deposit Agreement, the ADSs, the ADRs or the transactions contemplated therein, herein, thereby or hereby, may be instituted in a state or federal court in New York, New York, and by holding or owning an ADR or ADS or an interest therein each irrevocably waives any objection which it may now or hereafter have to the laying of venue of any such proceeding, and irrevocably submits to the non-exclusive jurisdiction of such courts in any such suit, action or proceeding. By holding or owning an ADR or ADS or an interest therein, Holders and Beneficial Owners each also irrevocably agree that any legal suit, action or proceeding against or involving the Company or the Depositary brought by Holders or Beneficial Owners, arising out of or based upon the Deposit Agreement, the ADSs, the ADRs or the transactions contemplated therein, herein, thereby or hereby, may only be instituted in a state or federal court in New York, New York.</w:t>
      </w:r>
    </w:p>
    <w:p>
      <w:pPr>
        <w:spacing w:after="0" w:line="242" w:lineRule="exact"/>
        <w:rPr>
          <w:rFonts w:ascii="Trebuchet MS" w:cs="Trebuchet MS" w:eastAsia="Trebuchet MS" w:hAnsi="Trebuchet MS"/>
          <w:sz w:val="22"/>
          <w:szCs w:val="22"/>
          <w:color w:val="auto"/>
        </w:rPr>
      </w:pPr>
    </w:p>
    <w:p>
      <w:pPr>
        <w:ind w:right="1020" w:firstLine="1735"/>
        <w:spacing w:after="0" w:line="267" w:lineRule="auto"/>
        <w:tabs>
          <w:tab w:leader="none" w:pos="2132" w:val="left"/>
        </w:tabs>
        <w:numPr>
          <w:ilvl w:val="1"/>
          <w:numId w:val="171"/>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The Company has agreed to indemnify the Depositary and its agents under certain circumstances and the Depositary has agreed to indemnify the Company under certain circumstances.</w:t>
      </w:r>
    </w:p>
    <w:p>
      <w:pPr>
        <w:spacing w:after="0" w:line="213" w:lineRule="exact"/>
        <w:rPr>
          <w:rFonts w:ascii="Trebuchet MS" w:cs="Trebuchet MS" w:eastAsia="Trebuchet MS" w:hAnsi="Trebuchet MS"/>
          <w:sz w:val="21"/>
          <w:szCs w:val="21"/>
          <w:color w:val="auto"/>
        </w:rPr>
      </w:pPr>
    </w:p>
    <w:p>
      <w:pPr>
        <w:ind w:right="80" w:firstLine="1735"/>
        <w:spacing w:after="0" w:line="256" w:lineRule="auto"/>
        <w:tabs>
          <w:tab w:leader="none" w:pos="2136" w:val="left"/>
        </w:tabs>
        <w:numPr>
          <w:ilvl w:val="1"/>
          <w:numId w:val="171"/>
        </w:numPr>
        <w:rPr>
          <w:rFonts w:ascii="Trebuchet MS" w:cs="Trebuchet MS" w:eastAsia="Trebuchet MS" w:hAnsi="Trebuchet MS"/>
          <w:sz w:val="21"/>
          <w:szCs w:val="21"/>
          <w:color w:val="auto"/>
        </w:rPr>
      </w:pPr>
      <w:r>
        <w:rPr>
          <w:rFonts w:ascii="Trebuchet MS" w:cs="Trebuchet MS" w:eastAsia="Trebuchet MS" w:hAnsi="Trebuchet MS"/>
          <w:sz w:val="21"/>
          <w:szCs w:val="21"/>
          <w:color w:val="auto"/>
        </w:rPr>
        <w:t>Notwithstanding any other provision of this Deposit Agreement or the ADRs to the contrary,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and Beneficial Owners of ADRs and ADSs), whether or not foreseeable and regardless of the type of action in which such a claim may be brought.</w:t>
      </w:r>
    </w:p>
    <w:p>
      <w:pPr>
        <w:spacing w:after="0" w:line="225" w:lineRule="exact"/>
        <w:rPr>
          <w:rFonts w:ascii="Trebuchet MS" w:cs="Trebuchet MS" w:eastAsia="Trebuchet MS" w:hAnsi="Trebuchet MS"/>
          <w:sz w:val="21"/>
          <w:szCs w:val="21"/>
          <w:color w:val="auto"/>
        </w:rPr>
      </w:pPr>
    </w:p>
    <w:p>
      <w:pPr>
        <w:ind w:right="520" w:firstLine="1735"/>
        <w:spacing w:after="0" w:line="242" w:lineRule="auto"/>
        <w:tabs>
          <w:tab w:leader="none" w:pos="2136" w:val="left"/>
        </w:tabs>
        <w:numPr>
          <w:ilvl w:val="1"/>
          <w:numId w:val="171"/>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No provision of the Deposit Agreement or this ADR is intended to constitute a waiver or limitation of any rights which Holders or Beneficial Owners may have under the Securities Act of 1933 or the Securities Exchange Act of 1934, to the extent applicable.</w:t>
      </w:r>
    </w:p>
    <w:p>
      <w:pPr>
        <w:spacing w:after="0" w:line="231" w:lineRule="exact"/>
        <w:rPr>
          <w:rFonts w:ascii="Trebuchet MS" w:cs="Trebuchet MS" w:eastAsia="Trebuchet MS" w:hAnsi="Trebuchet MS"/>
          <w:sz w:val="22"/>
          <w:szCs w:val="22"/>
          <w:color w:val="auto"/>
        </w:rPr>
      </w:pPr>
    </w:p>
    <w:p>
      <w:pPr>
        <w:ind w:left="1900" w:hanging="1028"/>
        <w:spacing w:after="0"/>
        <w:tabs>
          <w:tab w:leader="none" w:pos="1900" w:val="left"/>
        </w:tabs>
        <w:numPr>
          <w:ilvl w:val="0"/>
          <w:numId w:val="172"/>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Resignation and Removal of Depositary; the Custodian</w:t>
      </w:r>
      <w:r>
        <w:rPr>
          <w:rFonts w:ascii="Trebuchet MS" w:cs="Trebuchet MS" w:eastAsia="Trebuchet MS" w:hAnsi="Trebuchet MS"/>
          <w:sz w:val="22"/>
          <w:szCs w:val="22"/>
          <w:color w:val="auto"/>
        </w:rPr>
        <w:t>.</w:t>
      </w:r>
    </w:p>
    <w:p>
      <w:pPr>
        <w:spacing w:after="0" w:line="252" w:lineRule="exact"/>
        <w:rPr>
          <w:rFonts w:ascii="Trebuchet MS" w:cs="Trebuchet MS" w:eastAsia="Trebuchet MS" w:hAnsi="Trebuchet MS"/>
          <w:sz w:val="22"/>
          <w:szCs w:val="22"/>
          <w:color w:val="auto"/>
        </w:rPr>
      </w:pPr>
    </w:p>
    <w:p>
      <w:pPr>
        <w:ind w:left="2140" w:hanging="405"/>
        <w:spacing w:after="0"/>
        <w:tabs>
          <w:tab w:leader="none" w:pos="2140" w:val="left"/>
        </w:tabs>
        <w:numPr>
          <w:ilvl w:val="1"/>
          <w:numId w:val="172"/>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Resignation</w:t>
      </w:r>
      <w:r>
        <w:rPr>
          <w:rFonts w:ascii="Trebuchet MS" w:cs="Trebuchet MS" w:eastAsia="Trebuchet MS" w:hAnsi="Trebuchet MS"/>
          <w:sz w:val="22"/>
          <w:szCs w:val="22"/>
          <w:color w:val="auto"/>
        </w:rPr>
        <w:t>. The Depositary may resign as Depositary by written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1381" w:right="439" w:bottom="1440" w:gutter="0" w:footer="0" w:header="0"/>
        </w:sectPr>
      </w:pPr>
    </w:p>
    <w:bookmarkStart w:id="225" w:name="page226"/>
    <w:bookmarkEnd w:id="225"/>
    <w:p>
      <w:pPr>
        <w:spacing w:after="0" w:line="244"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notice of its election to do so delivered to the Company, such resignation to take effect upon the appointment of a successor depositary and its acceptance of such appointment as provided in the Deposit Agreement.</w:t>
      </w:r>
    </w:p>
    <w:p>
      <w:pPr>
        <w:spacing w:after="0" w:line="237" w:lineRule="exact"/>
        <w:rPr>
          <w:sz w:val="20"/>
          <w:szCs w:val="20"/>
          <w:color w:val="auto"/>
        </w:rPr>
      </w:pPr>
    </w:p>
    <w:p>
      <w:pPr>
        <w:ind w:right="120" w:firstLine="1735"/>
        <w:spacing w:after="0" w:line="242" w:lineRule="auto"/>
        <w:tabs>
          <w:tab w:leader="none" w:pos="2136" w:val="left"/>
        </w:tabs>
        <w:numPr>
          <w:ilvl w:val="1"/>
          <w:numId w:val="173"/>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Removal</w:t>
      </w:r>
      <w:r>
        <w:rPr>
          <w:rFonts w:ascii="Trebuchet MS" w:cs="Trebuchet MS" w:eastAsia="Trebuchet MS" w:hAnsi="Trebuchet MS"/>
          <w:sz w:val="22"/>
          <w:szCs w:val="22"/>
          <w:color w:val="auto"/>
        </w:rPr>
        <w:t>. The Depositary may at any time be removed by the Company by no less than 60</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days' prior written notice of such removal, to become effective upon the later of (i) the 60th day after delivery of the notice to the Depositary and (ii) the appointment of a successor depositary and its acceptance of such appointment as provided in the Deposit Agreement.</w:t>
      </w:r>
    </w:p>
    <w:p>
      <w:pPr>
        <w:spacing w:after="0" w:line="238" w:lineRule="exact"/>
        <w:rPr>
          <w:rFonts w:ascii="Trebuchet MS" w:cs="Trebuchet MS" w:eastAsia="Trebuchet MS" w:hAnsi="Trebuchet MS"/>
          <w:sz w:val="22"/>
          <w:szCs w:val="22"/>
          <w:color w:val="auto"/>
        </w:rPr>
      </w:pPr>
    </w:p>
    <w:p>
      <w:pPr>
        <w:ind w:firstLine="1735"/>
        <w:spacing w:after="0" w:line="246" w:lineRule="auto"/>
        <w:tabs>
          <w:tab w:leader="none" w:pos="2123" w:val="left"/>
        </w:tabs>
        <w:numPr>
          <w:ilvl w:val="1"/>
          <w:numId w:val="173"/>
        </w:numPr>
        <w:rPr>
          <w:rFonts w:ascii="Trebuchet MS" w:cs="Trebuchet MS" w:eastAsia="Trebuchet MS" w:hAnsi="Trebuchet MS"/>
          <w:sz w:val="22"/>
          <w:szCs w:val="22"/>
          <w:color w:val="auto"/>
        </w:rPr>
      </w:pPr>
      <w:r>
        <w:rPr>
          <w:rFonts w:ascii="Trebuchet MS" w:cs="Trebuchet MS" w:eastAsia="Trebuchet MS" w:hAnsi="Trebuchet MS"/>
          <w:sz w:val="22"/>
          <w:szCs w:val="22"/>
          <w:i w:val="1"/>
          <w:iCs w:val="1"/>
          <w:color w:val="auto"/>
        </w:rPr>
        <w:t>The Custodian</w:t>
      </w:r>
      <w:r>
        <w:rPr>
          <w:rFonts w:ascii="Trebuchet MS" w:cs="Trebuchet MS" w:eastAsia="Trebuchet MS" w:hAnsi="Trebuchet MS"/>
          <w:sz w:val="22"/>
          <w:szCs w:val="22"/>
          <w:color w:val="auto"/>
        </w:rPr>
        <w:t>. The Depositary may appoint substitute or additional Custodians and the term</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w:t>
      </w:r>
      <w:r>
        <w:rPr>
          <w:rFonts w:ascii="Trebuchet MS" w:cs="Trebuchet MS" w:eastAsia="Trebuchet MS" w:hAnsi="Trebuchet MS"/>
          <w:sz w:val="22"/>
          <w:szCs w:val="22"/>
          <w:b w:val="1"/>
          <w:bCs w:val="1"/>
          <w:color w:val="auto"/>
        </w:rPr>
        <w:t>Custodian</w:t>
      </w:r>
      <w:r>
        <w:rPr>
          <w:rFonts w:ascii="Trebuchet MS" w:cs="Trebuchet MS" w:eastAsia="Trebuchet MS" w:hAnsi="Trebuchet MS"/>
          <w:sz w:val="22"/>
          <w:szCs w:val="22"/>
          <w:color w:val="auto"/>
        </w:rPr>
        <w:t>" refers to each Custodian or all Custodians as the context requires.</w:t>
      </w:r>
    </w:p>
    <w:p>
      <w:pPr>
        <w:spacing w:after="0" w:line="224" w:lineRule="exact"/>
        <w:rPr>
          <w:rFonts w:ascii="Trebuchet MS" w:cs="Trebuchet MS" w:eastAsia="Trebuchet MS" w:hAnsi="Trebuchet MS"/>
          <w:sz w:val="22"/>
          <w:szCs w:val="22"/>
          <w:color w:val="auto"/>
        </w:rPr>
      </w:pPr>
    </w:p>
    <w:p>
      <w:pPr>
        <w:ind w:firstLine="872"/>
        <w:spacing w:after="0" w:line="241" w:lineRule="auto"/>
        <w:tabs>
          <w:tab w:leader="none" w:pos="1897" w:val="left"/>
        </w:tabs>
        <w:numPr>
          <w:ilvl w:val="0"/>
          <w:numId w:val="174"/>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Amendment</w:t>
      </w:r>
      <w:r>
        <w:rPr>
          <w:rFonts w:ascii="Trebuchet MS" w:cs="Trebuchet MS" w:eastAsia="Trebuchet MS" w:hAnsi="Trebuchet MS"/>
          <w:sz w:val="22"/>
          <w:szCs w:val="22"/>
          <w:color w:val="auto"/>
        </w:rPr>
        <w:t>. Subject to the last sentence of paragraph (2) (</w:t>
      </w:r>
      <w:r>
        <w:rPr>
          <w:rFonts w:ascii="Trebuchet MS" w:cs="Trebuchet MS" w:eastAsia="Trebuchet MS" w:hAnsi="Trebuchet MS"/>
          <w:sz w:val="22"/>
          <w:szCs w:val="22"/>
          <w:i w:val="1"/>
          <w:iCs w:val="1"/>
          <w:color w:val="auto"/>
        </w:rPr>
        <w:t>Withdrawal of Deposited</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i w:val="1"/>
          <w:iCs w:val="1"/>
          <w:color w:val="auto"/>
        </w:rPr>
        <w:t>Securities</w:t>
      </w:r>
      <w:r>
        <w:rPr>
          <w:rFonts w:ascii="Trebuchet MS" w:cs="Trebuchet MS" w:eastAsia="Trebuchet MS" w:hAnsi="Trebuchet MS"/>
          <w:sz w:val="22"/>
          <w:szCs w:val="22"/>
          <w:color w:val="auto"/>
        </w:rPr>
        <w:t>), the ADRs and the Deposit Agreement may be amended by the Company and the Depositary,</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u w:val="single" w:color="auto"/>
          <w:color w:val="auto"/>
        </w:rPr>
        <w:t>provided</w:t>
      </w:r>
      <w:r>
        <w:rPr>
          <w:rFonts w:ascii="Trebuchet MS" w:cs="Trebuchet MS" w:eastAsia="Trebuchet MS" w:hAnsi="Trebuchet MS"/>
          <w:sz w:val="22"/>
          <w:szCs w:val="22"/>
          <w:i w:val="1"/>
          <w:iCs w:val="1"/>
          <w:color w:val="auto"/>
        </w:rPr>
        <w:t xml:space="preserve"> </w:t>
      </w:r>
      <w:r>
        <w:rPr>
          <w:rFonts w:ascii="Trebuchet MS" w:cs="Trebuchet MS" w:eastAsia="Trebuchet MS" w:hAnsi="Trebuchet MS"/>
          <w:sz w:val="22"/>
          <w:szCs w:val="22"/>
          <w:color w:val="auto"/>
        </w:rPr>
        <w:t>that any amendment that imposes or increases any fees or charges on a per ADS basis (other than stock transfer or other taxes and other governmental charges, transfer or registration fees, SWIFT, cable, telex or facsimile transmission costs, delivery costs or other such expenses), or that shall otherwise prejudice any substantial existing right of Holders or Beneficial Owners, shall become effective 30 days after notice of such amendment shall have been given to the Holders. Every Holder and Beneficial Owner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or Beneficial Owners.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26" w:name="page227"/>
    <w:bookmarkEnd w:id="226"/>
    <w:p>
      <w:pPr>
        <w:ind w:right="40"/>
        <w:spacing w:after="0" w:line="241"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 xml:space="preserve">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 </w:t>
      </w:r>
      <w:r>
        <w:rPr>
          <w:rFonts w:ascii="Trebuchet MS" w:cs="Trebuchet MS" w:eastAsia="Trebuchet MS" w:hAnsi="Trebuchet MS"/>
          <w:sz w:val="22"/>
          <w:szCs w:val="22"/>
          <w:i w:val="1"/>
          <w:iCs w:val="1"/>
          <w:color w:val="auto"/>
        </w:rPr>
        <w:t>i.e.</w:t>
      </w:r>
      <w:r>
        <w:rPr>
          <w:rFonts w:ascii="Trebuchet MS" w:cs="Trebuchet MS" w:eastAsia="Trebuchet MS" w:hAnsi="Trebuchet MS"/>
          <w:sz w:val="22"/>
          <w:szCs w:val="22"/>
          <w:color w:val="auto"/>
        </w:rPr>
        <w:t>, upon retrieval from the Commission's, the Depositary's or the Company's website or upon request from the Depositary).</w:t>
      </w:r>
    </w:p>
    <w:p>
      <w:pPr>
        <w:spacing w:after="0" w:line="235" w:lineRule="exact"/>
        <w:rPr>
          <w:sz w:val="20"/>
          <w:szCs w:val="20"/>
          <w:color w:val="auto"/>
        </w:rPr>
      </w:pPr>
    </w:p>
    <w:p>
      <w:pPr>
        <w:ind w:firstLine="872"/>
        <w:spacing w:after="0" w:line="254" w:lineRule="auto"/>
        <w:tabs>
          <w:tab w:leader="none" w:pos="1897" w:val="left"/>
        </w:tabs>
        <w:numPr>
          <w:ilvl w:val="1"/>
          <w:numId w:val="175"/>
        </w:numPr>
        <w:rPr>
          <w:rFonts w:ascii="Trebuchet MS" w:cs="Trebuchet MS" w:eastAsia="Trebuchet MS" w:hAnsi="Trebuchet MS"/>
          <w:sz w:val="21"/>
          <w:szCs w:val="21"/>
          <w:color w:val="auto"/>
        </w:rPr>
      </w:pPr>
      <w:r>
        <w:rPr>
          <w:rFonts w:ascii="Trebuchet MS" w:cs="Trebuchet MS" w:eastAsia="Trebuchet MS" w:hAnsi="Trebuchet MS"/>
          <w:sz w:val="21"/>
          <w:szCs w:val="21"/>
          <w:b w:val="1"/>
          <w:bCs w:val="1"/>
          <w:color w:val="auto"/>
        </w:rPr>
        <w:t>Termination</w:t>
      </w:r>
      <w:r>
        <w:rPr>
          <w:rFonts w:ascii="Trebuchet MS" w:cs="Trebuchet MS" w:eastAsia="Trebuchet MS" w:hAnsi="Trebuchet MS"/>
          <w:sz w:val="21"/>
          <w:szCs w:val="21"/>
          <w:color w:val="auto"/>
        </w:rPr>
        <w:t>. The Depositary may, and shall at the written direction of the Company,</w:t>
      </w:r>
      <w:r>
        <w:rPr>
          <w:rFonts w:ascii="Trebuchet MS" w:cs="Trebuchet MS" w:eastAsia="Trebuchet MS" w:hAnsi="Trebuchet MS"/>
          <w:sz w:val="21"/>
          <w:szCs w:val="21"/>
          <w:b w:val="1"/>
          <w:bCs w:val="1"/>
          <w:color w:val="auto"/>
        </w:rPr>
        <w:t xml:space="preserve"> </w:t>
      </w:r>
      <w:r>
        <w:rPr>
          <w:rFonts w:ascii="Trebuchet MS" w:cs="Trebuchet MS" w:eastAsia="Trebuchet MS" w:hAnsi="Trebuchet MS"/>
          <w:sz w:val="21"/>
          <w:szCs w:val="21"/>
          <w:color w:val="auto"/>
        </w:rPr>
        <w:t>terminate the Deposit Agreement and this ADR by mailing notice of such termination to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w:t>
      </w:r>
    </w:p>
    <w:p>
      <w:pPr>
        <w:ind w:right="20" w:firstLine="8"/>
        <w:spacing w:after="0" w:line="241" w:lineRule="auto"/>
        <w:tabs>
          <w:tab w:leader="none" w:pos="347" w:val="left"/>
        </w:tabs>
        <w:numPr>
          <w:ilvl w:val="0"/>
          <w:numId w:val="176"/>
        </w:numPr>
        <w:rPr>
          <w:rFonts w:ascii="Trebuchet MS" w:cs="Trebuchet MS" w:eastAsia="Trebuchet MS" w:hAnsi="Trebuchet MS"/>
          <w:sz w:val="22"/>
          <w:szCs w:val="22"/>
          <w:color w:val="auto"/>
        </w:rPr>
      </w:pPr>
      <w:r>
        <w:rPr>
          <w:rFonts w:ascii="Trebuchet MS" w:cs="Trebuchet MS" w:eastAsia="Trebuchet MS" w:hAnsi="Trebuchet MS"/>
          <w:sz w:val="22"/>
          <w:szCs w:val="22"/>
          <w:color w:val="auto"/>
        </w:rPr>
        <w:t>been removed as Depositary hereunder, notice of such termination by the Depositary shall not be provided to Holders unless a successor depositary shall not be operating hereunder on the 60</w:t>
      </w:r>
      <w:r>
        <w:rPr>
          <w:rFonts w:ascii="Trebuchet MS" w:cs="Trebuchet MS" w:eastAsia="Trebuchet MS" w:hAnsi="Trebuchet MS"/>
          <w:sz w:val="18"/>
          <w:szCs w:val="18"/>
          <w:color w:val="auto"/>
        </w:rPr>
        <w:t>th</w:t>
      </w:r>
      <w:r>
        <w:rPr>
          <w:rFonts w:ascii="Trebuchet MS" w:cs="Trebuchet MS" w:eastAsia="Trebuchet MS" w:hAnsi="Trebuchet MS"/>
          <w:sz w:val="22"/>
          <w:szCs w:val="22"/>
          <w:color w:val="auto"/>
        </w:rPr>
        <w:t xml:space="preserve"> day after the Company's notice of removal was first provided to the Depositary. Notwithstanding anything to the contrary herein, the Depositary may terminate the Deposit Agreement without notice to the Company, but subject to giving 30 days’ notice to the Holders, under the following circumstances: (i) in the event of the Company’s bankruptcy or insolvency, (ii) if the Shares cease to be listed on an internationally recognized stock exchange,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assets or other transaction as a result of which securities or other property are delivered in exchange for or in lieu of Deposited Securities.</w:t>
      </w:r>
    </w:p>
    <w:p>
      <w:pPr>
        <w:spacing w:after="0" w:line="243" w:lineRule="exact"/>
        <w:rPr>
          <w:sz w:val="20"/>
          <w:szCs w:val="20"/>
          <w:color w:val="auto"/>
        </w:rPr>
      </w:pPr>
    </w:p>
    <w:p>
      <w:pPr>
        <w:ind w:right="40" w:firstLine="864"/>
        <w:spacing w:after="0" w:line="241" w:lineRule="auto"/>
        <w:rPr>
          <w:sz w:val="20"/>
          <w:szCs w:val="20"/>
          <w:color w:val="auto"/>
        </w:rPr>
      </w:pPr>
      <w:r>
        <w:rPr>
          <w:rFonts w:ascii="Trebuchet MS" w:cs="Trebuchet MS" w:eastAsia="Trebuchet MS" w:hAnsi="Trebuchet MS"/>
          <w:sz w:val="22"/>
          <w:szCs w:val="22"/>
          <w:color w:val="auto"/>
        </w:rPr>
        <w:t>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A-22</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165" w:right="419" w:bottom="1440" w:gutter="0" w:footer="0" w:header="0"/>
        </w:sectPr>
      </w:pPr>
    </w:p>
    <w:bookmarkStart w:id="227" w:name="page228"/>
    <w:bookmarkEnd w:id="227"/>
    <w:p>
      <w:pPr>
        <w:spacing w:after="0" w:line="241"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Company shall use its best efforts to issue to each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w:t>
      </w:r>
    </w:p>
    <w:p>
      <w:pPr>
        <w:spacing w:after="0" w:line="235" w:lineRule="exact"/>
        <w:rPr>
          <w:sz w:val="20"/>
          <w:szCs w:val="20"/>
          <w:color w:val="auto"/>
        </w:rPr>
      </w:pPr>
    </w:p>
    <w:p>
      <w:pPr>
        <w:ind w:firstLine="872"/>
        <w:spacing w:after="0" w:line="253" w:lineRule="auto"/>
        <w:tabs>
          <w:tab w:leader="none" w:pos="1897" w:val="left"/>
        </w:tabs>
        <w:numPr>
          <w:ilvl w:val="0"/>
          <w:numId w:val="177"/>
        </w:numPr>
        <w:rPr>
          <w:rFonts w:ascii="Trebuchet MS" w:cs="Trebuchet MS" w:eastAsia="Trebuchet MS" w:hAnsi="Trebuchet MS"/>
          <w:sz w:val="21"/>
          <w:szCs w:val="21"/>
          <w:color w:val="auto"/>
        </w:rPr>
      </w:pPr>
      <w:r>
        <w:rPr>
          <w:rFonts w:ascii="Trebuchet MS" w:cs="Trebuchet MS" w:eastAsia="Trebuchet MS" w:hAnsi="Trebuchet MS"/>
          <w:sz w:val="21"/>
          <w:szCs w:val="21"/>
          <w:b w:val="1"/>
          <w:bCs w:val="1"/>
          <w:color w:val="auto"/>
        </w:rPr>
        <w:t>Appointment; Acknowledgements and Agreements</w:t>
      </w:r>
      <w:r>
        <w:rPr>
          <w:rFonts w:ascii="Trebuchet MS" w:cs="Trebuchet MS" w:eastAsia="Trebuchet MS" w:hAnsi="Trebuchet MS"/>
          <w:sz w:val="21"/>
          <w:szCs w:val="21"/>
          <w:color w:val="auto"/>
        </w:rPr>
        <w:t>. Each Holder and each Beneficial Owner,</w:t>
      </w:r>
      <w:r>
        <w:rPr>
          <w:rFonts w:ascii="Trebuchet MS" w:cs="Trebuchet MS" w:eastAsia="Trebuchet MS" w:hAnsi="Trebuchet MS"/>
          <w:sz w:val="21"/>
          <w:szCs w:val="21"/>
          <w:b w:val="1"/>
          <w:bCs w:val="1"/>
          <w:color w:val="auto"/>
        </w:rPr>
        <w:t xml:space="preserve"> </w:t>
      </w:r>
      <w:r>
        <w:rPr>
          <w:rFonts w:ascii="Trebuchet MS" w:cs="Trebuchet MS" w:eastAsia="Trebuchet MS" w:hAnsi="Trebuchet MS"/>
          <w:sz w:val="21"/>
          <w:szCs w:val="21"/>
          <w:color w:val="auto"/>
        </w:rPr>
        <w:t>upon acceptance of any ADSs or ADRs (or any 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Beneficial Owners and/or their respective affiliates, (iii) the Depositary and its divisions, branches and affiliates may at any time have multiple banking relationships with the Company, Holders, Beneficial Owners and/or the affiliates of any of them, (iv) the Depositary and its divisions, branches and affiliates may, from time to time, be engaged in transactions in which parties adverse to the Company, the Holders or Beneficial Owners may have interests, (v) nothing contained in the Deposit Agreement or any ADR(s) shall (A) preclude the Depositary or any of its divisions, branches or affiliates from engaging in such transactions or establishing or maintaining such relationships, or (B) obligate the Depositary or any of its divisions, branches or affiliates to disclose such transactions or relationships or to account for any profit made or payment received in such transactions or relationships, (vi) the Depositary shall not be deemed to have knowledge of any information held by any branch, division or affiliate of the Depositary and (vii) notice to a Holder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A-23</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28" w:name="page229"/>
    <w:bookmarkEnd w:id="228"/>
    <w:p>
      <w:pPr>
        <w:ind w:right="60"/>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p>
      <w:pPr>
        <w:spacing w:after="0" w:line="231" w:lineRule="exact"/>
        <w:rPr>
          <w:sz w:val="20"/>
          <w:szCs w:val="20"/>
          <w:color w:val="auto"/>
        </w:rPr>
      </w:pPr>
    </w:p>
    <w:p>
      <w:pPr>
        <w:ind w:right="80" w:firstLine="872"/>
        <w:spacing w:after="0" w:line="255" w:lineRule="auto"/>
        <w:tabs>
          <w:tab w:leader="none" w:pos="1897" w:val="left"/>
        </w:tabs>
        <w:numPr>
          <w:ilvl w:val="0"/>
          <w:numId w:val="178"/>
        </w:numPr>
        <w:rPr>
          <w:rFonts w:ascii="Trebuchet MS" w:cs="Trebuchet MS" w:eastAsia="Trebuchet MS" w:hAnsi="Trebuchet MS"/>
          <w:sz w:val="21"/>
          <w:szCs w:val="21"/>
          <w:color w:val="auto"/>
        </w:rPr>
      </w:pPr>
      <w:r>
        <w:rPr>
          <w:rFonts w:ascii="Trebuchet MS" w:cs="Trebuchet MS" w:eastAsia="Trebuchet MS" w:hAnsi="Trebuchet MS"/>
          <w:sz w:val="21"/>
          <w:szCs w:val="21"/>
          <w:b w:val="1"/>
          <w:bCs w:val="1"/>
          <w:color w:val="auto"/>
        </w:rPr>
        <w:t>Waiver</w:t>
      </w:r>
      <w:r>
        <w:rPr>
          <w:rFonts w:ascii="Trebuchet MS" w:cs="Trebuchet MS" w:eastAsia="Trebuchet MS" w:hAnsi="Trebuchet MS"/>
          <w:sz w:val="21"/>
          <w:szCs w:val="21"/>
          <w:color w:val="auto"/>
        </w:rPr>
        <w:t>. EACH PARTY TO THE DEPOSIT AGREEMENT (INCLUDING, FOR AVOIDANCE OF DOUBT,</w:t>
      </w:r>
      <w:r>
        <w:rPr>
          <w:rFonts w:ascii="Trebuchet MS" w:cs="Trebuchet MS" w:eastAsia="Trebuchet MS" w:hAnsi="Trebuchet MS"/>
          <w:sz w:val="21"/>
          <w:szCs w:val="21"/>
          <w:b w:val="1"/>
          <w:bCs w:val="1"/>
          <w:color w:val="auto"/>
        </w:rPr>
        <w:t xml:space="preserve"> </w:t>
      </w:r>
      <w:r>
        <w:rPr>
          <w:rFonts w:ascii="Trebuchet MS" w:cs="Trebuchet MS" w:eastAsia="Trebuchet MS" w:hAnsi="Trebuchet MS"/>
          <w:sz w:val="21"/>
          <w:szCs w:val="21"/>
          <w:color w:val="auto"/>
        </w:rPr>
        <w:t>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 INCLUDING, WITHOUT LIMITATION, ANY SUIT, ACTION OR PROCEEDING UNDER THE UNITED STATES FEDERAL SECURITIES LAWS.</w:t>
      </w:r>
    </w:p>
    <w:p>
      <w:pPr>
        <w:spacing w:after="0" w:line="222" w:lineRule="exact"/>
        <w:rPr>
          <w:rFonts w:ascii="Trebuchet MS" w:cs="Trebuchet MS" w:eastAsia="Trebuchet MS" w:hAnsi="Trebuchet MS"/>
          <w:sz w:val="21"/>
          <w:szCs w:val="21"/>
          <w:color w:val="auto"/>
        </w:rPr>
      </w:pPr>
    </w:p>
    <w:p>
      <w:pPr>
        <w:ind w:firstLine="872"/>
        <w:spacing w:after="0" w:line="241" w:lineRule="auto"/>
        <w:tabs>
          <w:tab w:leader="none" w:pos="1897" w:val="left"/>
        </w:tabs>
        <w:numPr>
          <w:ilvl w:val="0"/>
          <w:numId w:val="178"/>
        </w:numPr>
        <w:rPr>
          <w:rFonts w:ascii="Trebuchet MS" w:cs="Trebuchet MS" w:eastAsia="Trebuchet MS" w:hAnsi="Trebuchet MS"/>
          <w:sz w:val="22"/>
          <w:szCs w:val="22"/>
          <w:color w:val="auto"/>
        </w:rPr>
      </w:pPr>
      <w:r>
        <w:rPr>
          <w:rFonts w:ascii="Trebuchet MS" w:cs="Trebuchet MS" w:eastAsia="Trebuchet MS" w:hAnsi="Trebuchet MS"/>
          <w:sz w:val="22"/>
          <w:szCs w:val="22"/>
          <w:b w:val="1"/>
          <w:bCs w:val="1"/>
          <w:color w:val="auto"/>
        </w:rPr>
        <w:t>Elective Distributions in Cash or Shares</w:t>
      </w:r>
      <w:r>
        <w:rPr>
          <w:rFonts w:ascii="Trebuchet MS" w:cs="Trebuchet MS" w:eastAsia="Trebuchet MS" w:hAnsi="Trebuchet MS"/>
          <w:sz w:val="22"/>
          <w:szCs w:val="22"/>
          <w:color w:val="auto"/>
        </w:rPr>
        <w:t>. Whenever the Company intends to distribute a</w:t>
      </w:r>
      <w:r>
        <w:rPr>
          <w:rFonts w:ascii="Trebuchet MS" w:cs="Trebuchet MS" w:eastAsia="Trebuchet MS" w:hAnsi="Trebuchet MS"/>
          <w:sz w:val="22"/>
          <w:szCs w:val="22"/>
          <w:b w:val="1"/>
          <w:bCs w:val="1"/>
          <w:color w:val="auto"/>
        </w:rPr>
        <w:t xml:space="preserve"> </w:t>
      </w:r>
      <w:r>
        <w:rPr>
          <w:rFonts w:ascii="Trebuchet MS" w:cs="Trebuchet MS" w:eastAsia="Trebuchet MS" w:hAnsi="Trebuchet MS"/>
          <w:sz w:val="22"/>
          <w:szCs w:val="22"/>
          <w:color w:val="auto"/>
        </w:rPr>
        <w:t>dividend payable at the election of the holders of Shares in cash or in additional Shares, the Company shall give notice thereof to the Depositary at least 30 days prior to the proposed distribution stating whether or not it wishes such elective distribution to be made available to Holders. Upon receipt of notice indicating that the Company wishes such elective distribution to be made available to Holders, the Depositary shall consult with the Company to determine, and the Company shall assist the Depositary in its determination, whether it is lawful and reasonably practicable to make such elective distribution available to the Holders. The Depositary shall make such elective distribution available to Holders only if (i) the Company shall have timely requested that the elective distribution is available to Holders, (ii) the Depositary shall have determined that such distribution is reasonably practicable and (iii) the Depositary shall have received satisfactory documentation within the terms of Section 14 of the Deposit Agreement including, without limitation, any legal opinions of counsel in any applicable jurisdiction that the Depositary in its reasonable discretion may request, at the expense of the Company. If the above conditions are not satisfied, the Depositary shall, to the extent permitted by law, distribute to the Holders, on the basis of the same determination as is made in the local market in respect of the Shares for which no election is made, either (x) cash or (y) additional ADSs representing such additional Shares. If the above conditions are satisfied, the Depositary shall establish a record date and establish procedures to enable Holders to elect the receipt of the proposed dividend in cash or in additional ADSs. The Company shall assist the Depositary in establishing such procedures to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A-24</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29" w:name="page230"/>
    <w:bookmarkEnd w:id="229"/>
    <w:p>
      <w:pPr>
        <w:jc w:val="both"/>
        <w:spacing w:after="0" w:line="242" w:lineRule="auto"/>
        <w:rPr>
          <w:sz w:val="20"/>
          <w:szCs w:val="20"/>
          <w:color w:val="auto"/>
        </w:rPr>
      </w:pPr>
      <w:r>
        <w:rPr>
          <w:rFonts w:ascii="Trebuchet MS" w:cs="Trebuchet MS" w:eastAsia="Trebuchet MS" w:hAnsi="Trebuchet MS"/>
          <w:sz w:val="22"/>
          <w:szCs w:val="22"/>
          <w:color w:val="auto"/>
        </w:rPr>
        <w:drawing>
          <wp:anchor simplePos="0" relativeHeight="251657728" behindDoc="1" locked="0" layoutInCell="0" allowOverlap="1">
            <wp:simplePos x="0" y="0"/>
            <wp:positionH relativeFrom="page">
              <wp:posOffset>5805805</wp:posOffset>
            </wp:positionH>
            <wp:positionV relativeFrom="page">
              <wp:posOffset>226060</wp:posOffset>
            </wp:positionV>
            <wp:extent cx="1534160" cy="436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436880"/>
                    </a:xfrm>
                    <a:prstGeom prst="rect">
                      <a:avLst/>
                    </a:prstGeom>
                    <a:noFill/>
                  </pic:spPr>
                </pic:pic>
              </a:graphicData>
            </a:graphic>
          </wp:anchor>
        </w:drawing>
        <w:t>extent necessary. Nothing herein shall obligate the Depositary to make available to Holders a method to receive the elective dividend in Shares (rather than ADSs). There can be no assurance that Holders or Beneficial Owners generally, or any Holder and/or Beneficial Owner in particular, will be given the opportunity to receive elective distributions on the same terms and conditions as the holders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A-25</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#114404655 v8</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US-DOCS\123953583.1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1165" w:right="579" w:bottom="1440" w:gutter="0" w:footer="0" w:header="0"/>
        </w:sectPr>
      </w:pPr>
    </w:p>
    <w:bookmarkStart w:id="230" w:name="page231"/>
    <w:bookmarkEnd w:id="230"/>
    <w:p>
      <w:pPr>
        <w:ind w:left="9260"/>
        <w:spacing w:after="0"/>
        <w:rPr>
          <w:sz w:val="20"/>
          <w:szCs w:val="20"/>
          <w:color w:val="auto"/>
        </w:rPr>
      </w:pPr>
      <w:r>
        <w:rPr>
          <w:rFonts w:ascii="Trebuchet MS" w:cs="Trebuchet MS" w:eastAsia="Trebuchet MS" w:hAnsi="Trebuchet MS"/>
          <w:sz w:val="18"/>
          <w:szCs w:val="18"/>
          <w:color w:val="auto"/>
        </w:rPr>
        <w:t>December 21, 2021</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JPMorgan Chase Bank, N.A.</w:t>
      </w:r>
    </w:p>
    <w:p>
      <w:pPr>
        <w:spacing w:after="0" w:line="7"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383 Madison Avenue, Floor 11</w:t>
      </w:r>
    </w:p>
    <w:p>
      <w:pPr>
        <w:spacing w:after="0" w:line="7"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New York, New York 10179</w:t>
      </w:r>
    </w:p>
    <w:p>
      <w:pPr>
        <w:spacing w:after="0" w:line="7"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Attention: Depositary Receipts Group</w:t>
      </w:r>
    </w:p>
    <w:p>
      <w:pPr>
        <w:spacing w:after="0" w:line="217" w:lineRule="exact"/>
        <w:rPr>
          <w:sz w:val="20"/>
          <w:szCs w:val="20"/>
          <w:color w:val="auto"/>
        </w:rPr>
      </w:pPr>
    </w:p>
    <w:p>
      <w:pPr>
        <w:spacing w:after="0"/>
        <w:rPr>
          <w:sz w:val="20"/>
          <w:szCs w:val="20"/>
          <w:color w:val="auto"/>
        </w:rPr>
      </w:pPr>
      <w:r>
        <w:rPr>
          <w:rFonts w:ascii="Trebuchet MS" w:cs="Trebuchet MS" w:eastAsia="Trebuchet MS" w:hAnsi="Trebuchet MS"/>
          <w:sz w:val="18"/>
          <w:szCs w:val="18"/>
          <w:b w:val="1"/>
          <w:bCs w:val="1"/>
          <w:u w:val="single" w:color="auto"/>
          <w:color w:val="auto"/>
        </w:rPr>
        <w:t>Sent Via Email to DR_Global_CSM@jpmorgan.com</w:t>
      </w:r>
    </w:p>
    <w:p>
      <w:pPr>
        <w:spacing w:after="0" w:line="200" w:lineRule="exact"/>
        <w:rPr>
          <w:sz w:val="20"/>
          <w:szCs w:val="20"/>
          <w:color w:val="auto"/>
        </w:rPr>
      </w:pPr>
    </w:p>
    <w:p>
      <w:pPr>
        <w:spacing w:after="0" w:line="245" w:lineRule="exact"/>
        <w:rPr>
          <w:sz w:val="20"/>
          <w:szCs w:val="20"/>
          <w:color w:val="auto"/>
        </w:rPr>
      </w:pPr>
    </w:p>
    <w:p>
      <w:pPr>
        <w:ind w:right="40"/>
        <w:spacing w:after="0" w:line="254" w:lineRule="auto"/>
        <w:rPr>
          <w:sz w:val="20"/>
          <w:szCs w:val="20"/>
          <w:color w:val="auto"/>
        </w:rPr>
      </w:pPr>
      <w:r>
        <w:rPr>
          <w:rFonts w:ascii="Trebuchet MS" w:cs="Trebuchet MS" w:eastAsia="Trebuchet MS" w:hAnsi="Trebuchet MS"/>
          <w:sz w:val="18"/>
          <w:szCs w:val="18"/>
          <w:color w:val="auto"/>
        </w:rPr>
        <w:t>Re: Deposit Agreement among Oatly Group AB, JPMorgan Chase Bank, N.A., as depositary and holders and beneficial owners of American Depositary Receipts, dated May 19, 2021 (the “</w:t>
      </w:r>
      <w:r>
        <w:rPr>
          <w:rFonts w:ascii="Trebuchet MS" w:cs="Trebuchet MS" w:eastAsia="Trebuchet MS" w:hAnsi="Trebuchet MS"/>
          <w:sz w:val="18"/>
          <w:szCs w:val="18"/>
          <w:u w:val="single" w:color="auto"/>
          <w:color w:val="auto"/>
        </w:rPr>
        <w:t>Deposit Agreement</w:t>
      </w:r>
      <w:r>
        <w:rPr>
          <w:rFonts w:ascii="Trebuchet MS" w:cs="Trebuchet MS" w:eastAsia="Trebuchet MS" w:hAnsi="Trebuchet MS"/>
          <w:sz w:val="18"/>
          <w:szCs w:val="18"/>
          <w:color w:val="auto"/>
        </w:rPr>
        <w:t>”)</w:t>
      </w:r>
    </w:p>
    <w:p>
      <w:pPr>
        <w:spacing w:after="0" w:line="206"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To whom it may concern:</w:t>
      </w:r>
    </w:p>
    <w:p>
      <w:pPr>
        <w:spacing w:after="0" w:line="223" w:lineRule="exact"/>
        <w:rPr>
          <w:sz w:val="20"/>
          <w:szCs w:val="20"/>
          <w:color w:val="auto"/>
        </w:rPr>
      </w:pPr>
    </w:p>
    <w:p>
      <w:pPr>
        <w:jc w:val="both"/>
        <w:spacing w:after="0" w:line="254" w:lineRule="auto"/>
        <w:rPr>
          <w:sz w:val="20"/>
          <w:szCs w:val="20"/>
          <w:color w:val="auto"/>
        </w:rPr>
      </w:pPr>
      <w:r>
        <w:rPr>
          <w:rFonts w:ascii="Trebuchet MS" w:cs="Trebuchet MS" w:eastAsia="Trebuchet MS" w:hAnsi="Trebuchet MS"/>
          <w:sz w:val="18"/>
          <w:szCs w:val="18"/>
          <w:color w:val="auto"/>
        </w:rPr>
        <w:t>We refer to the Deposit Agreement. Capitalized terms used, but not otherwise defined, herein have the meanings assigned to such terms in the Deposit Agreement.</w:t>
      </w:r>
    </w:p>
    <w:p>
      <w:pPr>
        <w:spacing w:after="0" w:line="206" w:lineRule="exact"/>
        <w:rPr>
          <w:sz w:val="20"/>
          <w:szCs w:val="20"/>
          <w:color w:val="auto"/>
        </w:rPr>
      </w:pPr>
    </w:p>
    <w:p>
      <w:pPr>
        <w:ind w:right="440"/>
        <w:spacing w:after="0" w:line="254" w:lineRule="auto"/>
        <w:rPr>
          <w:sz w:val="20"/>
          <w:szCs w:val="20"/>
          <w:color w:val="auto"/>
        </w:rPr>
      </w:pPr>
      <w:r>
        <w:rPr>
          <w:rFonts w:ascii="Trebuchet MS" w:cs="Trebuchet MS" w:eastAsia="Trebuchet MS" w:hAnsi="Trebuchet MS"/>
          <w:sz w:val="18"/>
          <w:szCs w:val="18"/>
          <w:color w:val="auto"/>
        </w:rPr>
        <w:t>Pursuant to Section 21 of the Deposit Agreement, the Company hereby advises the Depositary that Oatly Inc. will no longer serve as Authorized Agent under the Deposit Agreement, effective as of and after December 21, 2021.</w:t>
      </w:r>
    </w:p>
    <w:p>
      <w:pPr>
        <w:spacing w:after="0" w:line="206" w:lineRule="exact"/>
        <w:rPr>
          <w:sz w:val="20"/>
          <w:szCs w:val="20"/>
          <w:color w:val="auto"/>
        </w:rPr>
      </w:pPr>
    </w:p>
    <w:p>
      <w:pPr>
        <w:jc w:val="both"/>
        <w:spacing w:after="0" w:line="251" w:lineRule="auto"/>
        <w:rPr>
          <w:sz w:val="20"/>
          <w:szCs w:val="20"/>
          <w:color w:val="auto"/>
        </w:rPr>
      </w:pPr>
      <w:r>
        <w:rPr>
          <w:rFonts w:ascii="Trebuchet MS" w:cs="Trebuchet MS" w:eastAsia="Trebuchet MS" w:hAnsi="Trebuchet MS"/>
          <w:sz w:val="18"/>
          <w:szCs w:val="18"/>
          <w:color w:val="auto"/>
        </w:rPr>
        <w:t>Accordingly, as required pursuant to Section 21 of the Deposit Agreement, the Company has appointed Corporation Service Company, 19 West 44th Street, Suite 200, New York, New York 10036, as successor Authorized Agent pursuant to, and for all purposes set forth in, the Deposit Agreement, effective as of and after December 21, 2021.</w:t>
      </w:r>
    </w:p>
    <w:p>
      <w:pPr>
        <w:spacing w:after="0" w:line="200" w:lineRule="exact"/>
        <w:rPr>
          <w:sz w:val="20"/>
          <w:szCs w:val="20"/>
          <w:color w:val="auto"/>
        </w:rPr>
      </w:pPr>
    </w:p>
    <w:p>
      <w:pPr>
        <w:spacing w:after="0" w:line="251" w:lineRule="exact"/>
        <w:rPr>
          <w:sz w:val="20"/>
          <w:szCs w:val="20"/>
          <w:color w:val="auto"/>
        </w:rPr>
      </w:pPr>
    </w:p>
    <w:p>
      <w:pPr>
        <w:ind w:left="8440"/>
        <w:spacing w:after="0"/>
        <w:rPr>
          <w:sz w:val="20"/>
          <w:szCs w:val="20"/>
          <w:color w:val="auto"/>
        </w:rPr>
      </w:pPr>
      <w:r>
        <w:rPr>
          <w:rFonts w:ascii="Trebuchet MS" w:cs="Trebuchet MS" w:eastAsia="Trebuchet MS" w:hAnsi="Trebuchet MS"/>
          <w:sz w:val="18"/>
          <w:szCs w:val="18"/>
          <w:color w:val="auto"/>
        </w:rPr>
        <w:t>Best regards,</w:t>
      </w:r>
    </w:p>
    <w:p>
      <w:pPr>
        <w:spacing w:after="0" w:line="250" w:lineRule="exact"/>
        <w:rPr>
          <w:sz w:val="20"/>
          <w:szCs w:val="20"/>
          <w:color w:val="auto"/>
        </w:rPr>
      </w:pPr>
    </w:p>
    <w:p>
      <w:pPr>
        <w:ind w:left="8380"/>
        <w:spacing w:after="0"/>
        <w:rPr>
          <w:sz w:val="20"/>
          <w:szCs w:val="20"/>
          <w:color w:val="auto"/>
        </w:rPr>
      </w:pPr>
      <w:r>
        <w:rPr>
          <w:rFonts w:ascii="Trebuchet MS" w:cs="Trebuchet MS" w:eastAsia="Trebuchet MS" w:hAnsi="Trebuchet MS"/>
          <w:sz w:val="18"/>
          <w:szCs w:val="18"/>
          <w:color w:val="auto"/>
        </w:rPr>
        <w:t>/s/ Zachariah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17145</wp:posOffset>
            </wp:positionV>
            <wp:extent cx="16027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7" w:lineRule="exact"/>
        <w:rPr>
          <w:sz w:val="20"/>
          <w:szCs w:val="20"/>
          <w:color w:val="auto"/>
        </w:rPr>
      </w:pPr>
    </w:p>
    <w:p>
      <w:pPr>
        <w:ind w:left="8380"/>
        <w:spacing w:after="0"/>
        <w:rPr>
          <w:sz w:val="20"/>
          <w:szCs w:val="20"/>
          <w:color w:val="auto"/>
        </w:rPr>
      </w:pPr>
      <w:r>
        <w:rPr>
          <w:rFonts w:ascii="Trebuchet MS" w:cs="Trebuchet MS" w:eastAsia="Trebuchet MS" w:hAnsi="Trebuchet MS"/>
          <w:sz w:val="18"/>
          <w:szCs w:val="18"/>
          <w:color w:val="auto"/>
        </w:rPr>
        <w:t>Zachariah Miller</w:t>
      </w:r>
    </w:p>
    <w:p>
      <w:pPr>
        <w:spacing w:after="0" w:line="20" w:lineRule="exact"/>
        <w:rPr>
          <w:sz w:val="20"/>
          <w:szCs w:val="20"/>
          <w:color w:val="auto"/>
        </w:rPr>
      </w:pPr>
    </w:p>
    <w:p>
      <w:pPr>
        <w:ind w:left="8380"/>
        <w:spacing w:after="0"/>
        <w:rPr>
          <w:sz w:val="20"/>
          <w:szCs w:val="20"/>
          <w:color w:val="auto"/>
        </w:rPr>
      </w:pPr>
      <w:r>
        <w:rPr>
          <w:rFonts w:ascii="Trebuchet MS" w:cs="Trebuchet MS" w:eastAsia="Trebuchet MS" w:hAnsi="Trebuchet MS"/>
          <w:sz w:val="18"/>
          <w:szCs w:val="18"/>
          <w:color w:val="auto"/>
        </w:rPr>
        <w:t>General Counsel</w:t>
      </w:r>
    </w:p>
    <w:p>
      <w:pPr>
        <w:sectPr>
          <w:pgSz w:w="11900" w:h="16838" w:orient="portrait"/>
          <w:cols w:equalWidth="0" w:num="1">
            <w:col w:w="11120"/>
          </w:cols>
          <w:pgMar w:left="320" w:top="1037" w:right="45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2"/>
          <w:szCs w:val="22"/>
          <w:color w:val="auto"/>
        </w:rPr>
        <w:t>Exhibit 2.5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17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1"/>
          <w:szCs w:val="21"/>
          <w:color w:val="auto"/>
        </w:rPr>
        <w:t>This REGISTRATION RIGHTS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made as of May 16, 2021 by and among Oatly Group AB, a public limited liability company established under the Laws of Sweden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Nativus Company Limited, a private company limited by shares established under the Laws of Hong Kong (the “</w:t>
      </w:r>
      <w:r>
        <w:rPr>
          <w:rFonts w:ascii="Times New Roman" w:cs="Times New Roman" w:eastAsia="Times New Roman" w:hAnsi="Times New Roman"/>
          <w:sz w:val="21"/>
          <w:szCs w:val="21"/>
          <w:b w:val="1"/>
          <w:bCs w:val="1"/>
          <w:i w:val="1"/>
          <w:iCs w:val="1"/>
          <w:color w:val="auto"/>
        </w:rPr>
        <w:t>Lead Investor</w:t>
      </w:r>
      <w:r>
        <w:rPr>
          <w:rFonts w:ascii="Times New Roman" w:cs="Times New Roman" w:eastAsia="Times New Roman" w:hAnsi="Times New Roman"/>
          <w:sz w:val="21"/>
          <w:szCs w:val="21"/>
          <w:color w:val="auto"/>
        </w:rPr>
        <w:t>”) and (i) BXG Redhawk S.à r.l., a private limited liability company (société à responsabilité limitée) governed by the laws of the Grand Duchy of Luxembourg, with its registered address at #-#, ### ###### #######, #-#### ##########, ##### ###### ## ########## and registered with the Luxembourg Trade and Companies Register (Registre de Commerce et des Sociétés de Luxembourg) under number B245196 and (ii) BXG SPV ESC (CYM) L.P., a Cayman Islands Limited Partnership, with its registered office at #/#</w:t>
      </w:r>
    </w:p>
    <w:p>
      <w:pPr>
        <w:spacing w:after="0" w:line="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 ######## #######, ## ### ###, ###### #####, ##### ######, ###-####, ###### ####### and company reg. no. 107496 (acting collectively, the “</w:t>
      </w:r>
      <w:r>
        <w:rPr>
          <w:rFonts w:ascii="Times New Roman" w:cs="Times New Roman" w:eastAsia="Times New Roman" w:hAnsi="Times New Roman"/>
          <w:sz w:val="22"/>
          <w:szCs w:val="22"/>
          <w:b w:val="1"/>
          <w:bCs w:val="1"/>
          <w:i w:val="1"/>
          <w:iCs w:val="1"/>
          <w:color w:val="auto"/>
        </w:rPr>
        <w:t>Blackstone Investor</w:t>
      </w:r>
      <w:r>
        <w:rPr>
          <w:rFonts w:ascii="Times New Roman" w:cs="Times New Roman" w:eastAsia="Times New Roman" w:hAnsi="Times New Roman"/>
          <w:sz w:val="22"/>
          <w:szCs w:val="22"/>
          <w:color w:val="auto"/>
        </w:rPr>
        <w:t>”) and each other Person identified on the Schedule of Holders attached hereto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4"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22"/>
          <w:szCs w:val="22"/>
          <w:color w:val="auto"/>
        </w:rPr>
        <w:t>WHEREAS, the Company is contemplating an offer and sale of American Depositary Shares (“</w:t>
      </w:r>
      <w:r>
        <w:rPr>
          <w:rFonts w:ascii="Times New Roman" w:cs="Times New Roman" w:eastAsia="Times New Roman" w:hAnsi="Times New Roman"/>
          <w:sz w:val="22"/>
          <w:szCs w:val="22"/>
          <w:b w:val="1"/>
          <w:bCs w:val="1"/>
          <w:i w:val="1"/>
          <w:iCs w:val="1"/>
          <w:color w:val="auto"/>
        </w:rPr>
        <w:t>ADSs</w:t>
      </w:r>
      <w:r>
        <w:rPr>
          <w:rFonts w:ascii="Times New Roman" w:cs="Times New Roman" w:eastAsia="Times New Roman" w:hAnsi="Times New Roman"/>
          <w:sz w:val="22"/>
          <w:szCs w:val="22"/>
          <w:color w:val="auto"/>
        </w:rPr>
        <w:t>”) representing its ordinary shares to the public in an underwritten initial public offering (the “</w:t>
      </w:r>
      <w:r>
        <w:rPr>
          <w:rFonts w:ascii="Times New Roman" w:cs="Times New Roman" w:eastAsia="Times New Roman" w:hAnsi="Times New Roman"/>
          <w:sz w:val="22"/>
          <w:szCs w:val="22"/>
          <w:b w:val="1"/>
          <w:bCs w:val="1"/>
          <w:i w:val="1"/>
          <w:iCs w:val="1"/>
          <w:color w:val="auto"/>
        </w:rPr>
        <w:t>IPO</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WHEREAS, pursuant to Section 20 of the Amended and Restated Shareholders Agreement of the Company, dated July 21, 2020, by and among the Company, the Lead Investor, the Blackstone Investor and the other parties thereto (the “</w:t>
      </w:r>
      <w:r>
        <w:rPr>
          <w:rFonts w:ascii="Times New Roman" w:cs="Times New Roman" w:eastAsia="Times New Roman" w:hAnsi="Times New Roman"/>
          <w:sz w:val="22"/>
          <w:szCs w:val="22"/>
          <w:b w:val="1"/>
          <w:bCs w:val="1"/>
          <w:i w:val="1"/>
          <w:iCs w:val="1"/>
          <w:color w:val="auto"/>
        </w:rPr>
        <w:t>A&amp;R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Shareholders Agreement</w:t>
      </w:r>
      <w:r>
        <w:rPr>
          <w:rFonts w:ascii="Times New Roman" w:cs="Times New Roman" w:eastAsia="Times New Roman" w:hAnsi="Times New Roman"/>
          <w:sz w:val="22"/>
          <w:szCs w:val="22"/>
          <w:color w:val="auto"/>
        </w:rPr>
        <w:t>,” and the Lead Investor, the Blackstone Investor and the other parties thereto (other than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collectively, the “</w:t>
      </w:r>
      <w:r>
        <w:rPr>
          <w:rFonts w:ascii="Times New Roman" w:cs="Times New Roman" w:eastAsia="Times New Roman" w:hAnsi="Times New Roman"/>
          <w:sz w:val="22"/>
          <w:szCs w:val="22"/>
          <w:b w:val="1"/>
          <w:bCs w:val="1"/>
          <w:color w:val="auto"/>
        </w:rPr>
        <w:t>Investors</w:t>
      </w:r>
      <w:r>
        <w:rPr>
          <w:rFonts w:ascii="Times New Roman" w:cs="Times New Roman" w:eastAsia="Times New Roman" w:hAnsi="Times New Roman"/>
          <w:sz w:val="22"/>
          <w:szCs w:val="22"/>
          <w:color w:val="auto"/>
        </w:rPr>
        <w:t>”), prior to effecting an IPO, the Company, the Lead Investor and, so long as the Blackstone Investor holds at least 50% of the Shares subscribed for by the Blackstone Investor in the 2020 Investment (as defined in the A&amp;R Shareholders Agreement), the Blackstone Investor shall negotiate a registration rights agreement to be entered into by the parties to the A&amp;R Shareholders Agreement; and</w:t>
      </w:r>
    </w:p>
    <w:p>
      <w:pPr>
        <w:spacing w:after="0" w:line="18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73"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 For purposes of this Agreement, the following terms shall have the meanings specified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this Section 1:</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Acquired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Additional Holder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and shall be deemed to include each such Person’s Affiliates, immediate family members, heirs, successors and assigns who may succeed to such Person as a Holder hereunder.</w:t>
      </w:r>
    </w:p>
    <w:p>
      <w:pPr>
        <w:spacing w:after="0" w:line="145"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xml:space="preserve">” of any Person means any other Person controlled by, controlling or under common control with such Person;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Company and its Subsidiaries shall not be deemed to be Affiliates of any Holder. As used in this definition,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 (including, with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2" w:name="page233"/>
    <w:bookmarkEnd w:id="232"/>
    <w:p>
      <w:pPr>
        <w:jc w:val="both"/>
        <w:spacing w:after="0" w:line="244" w:lineRule="auto"/>
        <w:rPr>
          <w:sz w:val="20"/>
          <w:szCs w:val="20"/>
          <w:color w:val="auto"/>
        </w:rPr>
      </w:pPr>
      <w:r>
        <w:rPr>
          <w:rFonts w:ascii="Times New Roman" w:cs="Times New Roman" w:eastAsia="Times New Roman" w:hAnsi="Times New Roman"/>
          <w:sz w:val="22"/>
          <w:szCs w:val="22"/>
          <w:color w:val="auto"/>
        </w:rPr>
        <w:t>correlative meanings, “controlling,” “controlled by” and “under common control with”) shall mean possession, directly or indirectly, of power to direct or cause the direction of management or policies (whether through ownership of securities, by contract or otherwise).</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Automatic Shelf Registration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Blackstone Investor</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any day of the year on which national banking institutions in New York are open to the public for conducting business and are not required or authorized to close.</w:t>
      </w:r>
    </w:p>
    <w:p>
      <w:pPr>
        <w:spacing w:after="0" w:line="145" w:lineRule="exact"/>
        <w:rPr>
          <w:sz w:val="20"/>
          <w:szCs w:val="20"/>
          <w:color w:val="auto"/>
        </w:rPr>
      </w:pPr>
    </w:p>
    <w:p>
      <w:pPr>
        <w:jc w:val="both"/>
        <w:ind w:firstLine="864"/>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Stock</w:t>
      </w:r>
      <w:r>
        <w:rPr>
          <w:rFonts w:ascii="Times New Roman" w:cs="Times New Roman" w:eastAsia="Times New Roman" w:hAnsi="Times New Roman"/>
          <w:sz w:val="22"/>
          <w:szCs w:val="22"/>
          <w:color w:val="auto"/>
        </w:rPr>
        <w:t>” means (i) with respect to any Person that is a corporation, any and all shares, interests or equivalents in capital stock of such corporation (whether voting or nonvoting and whether common or preferred), (ii) with respect to any Person that is not a corporation, individual or governmental entity, any and all partnership, membership, limited liability company or other equity interests of such Person that confer on the holder thereof the right to receive a share of the profits and losses of, or the distribution of assets of the issuing Person, and (iii) any and all warrants, rights (including conversion and exchange rights) and options to purchase any security described in the clause (i) or (ii) above.</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Demand Registrations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End of Suspension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2(f)(ii)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U.S. Securities Exchange Act of 1934, as amended from time to time, or any successor federal law then in force, together with all rules and regulations promulgated thereunder.</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FINRA</w:t>
      </w:r>
      <w:r>
        <w:rPr>
          <w:rFonts w:ascii="Times New Roman" w:cs="Times New Roman" w:eastAsia="Times New Roman" w:hAnsi="Times New Roman"/>
          <w:sz w:val="22"/>
          <w:szCs w:val="22"/>
          <w:color w:val="auto"/>
        </w:rPr>
        <w:t>” means the Financial Industry Regulatory Authority.</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Free-Writing Prospectus</w:t>
      </w:r>
      <w:r>
        <w:rPr>
          <w:rFonts w:ascii="Times New Roman" w:cs="Times New Roman" w:eastAsia="Times New Roman" w:hAnsi="Times New Roman"/>
          <w:sz w:val="22"/>
          <w:szCs w:val="22"/>
          <w:color w:val="auto"/>
        </w:rPr>
        <w:t>” means a free-writing prospectus, as defined in Rule 405.</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means any Person that is a party to this Agreement from time to time, as set forth on the signature pages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Holder Indemnified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Investors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IPO</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Joinder</w:t>
      </w:r>
      <w:r>
        <w:rPr>
          <w:rFonts w:ascii="Times New Roman" w:cs="Times New Roman" w:eastAsia="Times New Roman" w:hAnsi="Times New Roman"/>
          <w:sz w:val="22"/>
          <w:szCs w:val="22"/>
          <w:color w:val="auto"/>
        </w:rPr>
        <w:t>” has the meaning set forth in Section 5(d).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Lead Investor</w:t>
      </w:r>
      <w:r>
        <w:rPr>
          <w:rFonts w:ascii="Times New Roman" w:cs="Times New Roman" w:eastAsia="Times New Roman" w:hAnsi="Times New Roman"/>
          <w:sz w:val="22"/>
          <w:szCs w:val="22"/>
          <w:color w:val="auto"/>
        </w:rPr>
        <w:t>” has the meaning set forth in the recitals.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3" w:name="page234"/>
    <w:bookmarkEnd w:id="233"/>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Long-Form Registrations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86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Majority of the Registrable Securities</w:t>
      </w:r>
      <w:r>
        <w:rPr>
          <w:rFonts w:ascii="Times New Roman" w:cs="Times New Roman" w:eastAsia="Times New Roman" w:hAnsi="Times New Roman"/>
          <w:sz w:val="22"/>
          <w:szCs w:val="22"/>
          <w:color w:val="auto"/>
        </w:rPr>
        <w:t>” means, with respect to any group of Registrable Securities described in this Agreement, the Holders of a majority of such group of Registrable Securities.</w:t>
      </w:r>
    </w:p>
    <w:p>
      <w:pPr>
        <w:spacing w:after="0" w:line="145"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MNPI</w:t>
      </w:r>
      <w:r>
        <w:rPr>
          <w:rFonts w:ascii="Times New Roman" w:cs="Times New Roman" w:eastAsia="Times New Roman" w:hAnsi="Times New Roman"/>
          <w:sz w:val="22"/>
          <w:szCs w:val="22"/>
          <w:color w:val="auto"/>
        </w:rPr>
        <w:t>” means material non-public information within the meaning of Regulation FD promulgated under the Exchange Act.</w:t>
      </w:r>
    </w:p>
    <w:p>
      <w:pPr>
        <w:spacing w:after="0" w:line="145"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Piggyback Registrations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Public Offering</w:t>
      </w:r>
      <w:r>
        <w:rPr>
          <w:rFonts w:ascii="Times New Roman" w:cs="Times New Roman" w:eastAsia="Times New Roman" w:hAnsi="Times New Roman"/>
          <w:sz w:val="22"/>
          <w:szCs w:val="22"/>
          <w:color w:val="auto"/>
        </w:rPr>
        <w:t>” means any sale or distribution to the public of Capital Stock of the Company pursuant to an offering registered under the Securities Act, whether by the Company, by Holders and/or by any other holders of the Company’s Capital Stock.</w:t>
      </w:r>
    </w:p>
    <w:p>
      <w:pPr>
        <w:spacing w:after="0" w:line="164"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Registrable Securities</w:t>
      </w:r>
      <w:r>
        <w:rPr>
          <w:rFonts w:ascii="Times New Roman" w:cs="Times New Roman" w:eastAsia="Times New Roman" w:hAnsi="Times New Roman"/>
          <w:sz w:val="22"/>
          <w:szCs w:val="22"/>
          <w:color w:val="auto"/>
        </w:rPr>
        <w:t>” means (i) any Shares acquired by any Investor prior to the IPO, or any Shares issued or issuable (directly or indirectly) upon conversion and/or exercise of any other securities of the Company acquired by any Investor prior to the IPO and (ii) any Shares issued as (or issuable upon the conversion or exercise of any warrant, right, or other security that is issued as) a dividend or other distribution with respect to, or in exchange for or in replacement of, the shares referenced in clause (i) above; excluding in all cases, however, any Registrable Securities sold by a person in a transaction in which the applicable rights under this Agreement are not transferred in compliance with this Agreement, and excluding any shares for which registration rights have terminated pursuant to this Agreement. As to any particular Registrable Securities owned by any Person, such securities shall cease to be Registrable Securities on the date such securities (a) have been sold or distributed pursuant to a Public Offering, (b) have been sold in compliance with Rule 144 following the consummation of the IPO or (c) have been repurchased by the Company or a Subsidiary of the Company.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Representatives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144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Rule 158</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Rule 405</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Rule 415</w:t>
      </w:r>
      <w:r>
        <w:rPr>
          <w:rFonts w:ascii="Times New Roman" w:cs="Times New Roman" w:eastAsia="Times New Roman" w:hAnsi="Times New Roman"/>
          <w:sz w:val="22"/>
          <w:szCs w:val="22"/>
          <w:color w:val="auto"/>
        </w:rPr>
        <w:t>” mean, in each case, such rule promulgated under the Securities Act (or any successor provision) by the Securities and Exchange Commission, as the same shall be amended from time to time, or any successor rule then in force.</w:t>
      </w:r>
    </w:p>
    <w:p>
      <w:pPr>
        <w:spacing w:after="0" w:line="164"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Schedule of Holders</w:t>
      </w:r>
      <w:r>
        <w:rPr>
          <w:rFonts w:ascii="Times New Roman" w:cs="Times New Roman" w:eastAsia="Times New Roman" w:hAnsi="Times New Roman"/>
          <w:sz w:val="22"/>
          <w:szCs w:val="22"/>
          <w:color w:val="auto"/>
        </w:rPr>
        <w:t>” means the schedule attached to this Agreement entitled “Schedule of Holders,” which shall reflect each Holder from time to time party to this Agreement.</w:t>
      </w:r>
    </w:p>
    <w:p>
      <w:pPr>
        <w:spacing w:after="0" w:line="145"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U.S. Securities Act of 1933, as amended from time to time, or any successor federal law then in force, together with all rules and regulations promulgated thereunder.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34" w:name="page235"/>
    <w:bookmarkEnd w:id="234"/>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means ordinary shares of the Company.</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Shelf Offering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Shelf Offering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Shelf Offering Request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Shelf Registrable Securities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Shelf Registration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Shelf Registration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2(d)(i)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Short-Form Registrations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the Company, any corporation, limited liability company, partnership, association or other business entity of which (i) if a corporation, a majority of the total voting power of Capital Stock of such Person entitled (without regard to the occurrence of any contingency) to vote in the election of directors is at the time owned or controlled, directly or indirectly, by the Company, or (ii) if a limited liability company, partnership, association or other business entity, either (x) a majority of the Capital Stock of such Person entitled (without regard to the occurrence of any contingency) to vote in the election of managers, general partners or other oversight board vested with the authority to direct management of such Person is at the time owned or controlled, directly or indirectly, by the Company or (y) the Company or one of its Subsidiaries is the sole manager or general partner of such Person.</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Suspension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2(f)(ii)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Suspension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2(f)(ii)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Suspension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2(f)(i)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Underwritten Takedown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Violation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WKSI</w:t>
      </w:r>
      <w:r>
        <w:rPr>
          <w:rFonts w:ascii="Times New Roman" w:cs="Times New Roman" w:eastAsia="Times New Roman" w:hAnsi="Times New Roman"/>
          <w:sz w:val="22"/>
          <w:szCs w:val="22"/>
          <w:color w:val="auto"/>
        </w:rPr>
        <w:t>” means a “well-known seasoned issuer” as defined under Rule 405.</w:t>
      </w:r>
    </w:p>
    <w:p>
      <w:pPr>
        <w:spacing w:after="0" w:line="212"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Demand Registrations.</w:t>
      </w:r>
    </w:p>
    <w:p>
      <w:pPr>
        <w:spacing w:after="0" w:line="206" w:lineRule="exact"/>
        <w:rPr>
          <w:sz w:val="20"/>
          <w:szCs w:val="20"/>
          <w:color w:val="auto"/>
        </w:rPr>
      </w:pPr>
    </w:p>
    <w:p>
      <w:pPr>
        <w:jc w:val="both"/>
        <w:ind w:firstLine="872"/>
        <w:spacing w:after="0" w:line="235" w:lineRule="auto"/>
        <w:tabs>
          <w:tab w:leader="none" w:pos="175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Requests for Registration</w:t>
      </w:r>
      <w:r>
        <w:rPr>
          <w:rFonts w:ascii="Times New Roman" w:cs="Times New Roman" w:eastAsia="Times New Roman" w:hAnsi="Times New Roman"/>
          <w:sz w:val="22"/>
          <w:szCs w:val="22"/>
          <w:color w:val="auto"/>
        </w:rPr>
        <w:t>. Subject to the terms and conditions of this Agreement, (i) on any two (2) occasions from and after 180 days following the IPO or, if earlier, the release (whether in whole or in part) of the Shares held by an Investor pursuant to the lock-up agreement entered into with the underwriters pursuant to the IPO, Holders of at least fifty percent (50%) of the Registrable Securities may request registration under the Securities Act of at least twenty-five percent (25%) of the Registrable Securities on Form F-1 or any similar long-form registration (“</w:t>
      </w:r>
      <w:r>
        <w:rPr>
          <w:rFonts w:ascii="Times New Roman" w:cs="Times New Roman" w:eastAsia="Times New Roman" w:hAnsi="Times New Roman"/>
          <w:sz w:val="22"/>
          <w:szCs w:val="22"/>
          <w:b w:val="1"/>
          <w:bCs w:val="1"/>
          <w:i w:val="1"/>
          <w:iCs w:val="1"/>
          <w:color w:val="auto"/>
        </w:rPr>
        <w:t>Long-Form Registrations</w:t>
      </w:r>
      <w:r>
        <w:rPr>
          <w:rFonts w:ascii="Times New Roman" w:cs="Times New Roman" w:eastAsia="Times New Roman" w:hAnsi="Times New Roman"/>
          <w:sz w:val="22"/>
          <w:szCs w:val="22"/>
          <w:color w:val="auto"/>
        </w:rPr>
        <w:t>”), and (ii) on no more than two (2) occasions in any twelve (12) month period, Holders of at least thirty percent (30%) of the Registrable Securities may request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35" w:name="page236"/>
    <w:bookmarkEnd w:id="235"/>
    <w:p>
      <w:pPr>
        <w:jc w:val="both"/>
        <w:spacing w:after="0" w:line="232" w:lineRule="auto"/>
        <w:rPr>
          <w:sz w:val="20"/>
          <w:szCs w:val="20"/>
          <w:color w:val="auto"/>
        </w:rPr>
      </w:pPr>
      <w:r>
        <w:rPr>
          <w:rFonts w:ascii="Times New Roman" w:cs="Times New Roman" w:eastAsia="Times New Roman" w:hAnsi="Times New Roman"/>
          <w:sz w:val="22"/>
          <w:szCs w:val="22"/>
          <w:color w:val="auto"/>
        </w:rPr>
        <w:t>registration under the Securities Act of all or any portion of their Registrable Securities on Form F-3 or any similar short-form registration (“</w:t>
      </w:r>
      <w:r>
        <w:rPr>
          <w:rFonts w:ascii="Times New Roman" w:cs="Times New Roman" w:eastAsia="Times New Roman" w:hAnsi="Times New Roman"/>
          <w:sz w:val="22"/>
          <w:szCs w:val="22"/>
          <w:b w:val="1"/>
          <w:bCs w:val="1"/>
          <w:i w:val="1"/>
          <w:iCs w:val="1"/>
          <w:color w:val="auto"/>
        </w:rPr>
        <w:t>Short-Form Registrations</w:t>
      </w:r>
      <w:r>
        <w:rPr>
          <w:rFonts w:ascii="Times New Roman" w:cs="Times New Roman" w:eastAsia="Times New Roman" w:hAnsi="Times New Roman"/>
          <w:sz w:val="22"/>
          <w:szCs w:val="22"/>
          <w:color w:val="auto"/>
        </w:rPr>
        <w:t xml:space="preserve">”) if available;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be obligated to file registration statements relating to any (A) Long-Form Registration under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(a) unless the market value of the Registrable Securities proposed to be registered is at least $50 million or (B) Short-Form Registration under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(a) unless the market value of the Registrable Securities proposed to be registered is at least $20 million. All registrations requested pursuant to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are referred to herein as “</w:t>
      </w:r>
      <w:r>
        <w:rPr>
          <w:rFonts w:ascii="Times New Roman" w:cs="Times New Roman" w:eastAsia="Times New Roman" w:hAnsi="Times New Roman"/>
          <w:sz w:val="22"/>
          <w:szCs w:val="22"/>
          <w:b w:val="1"/>
          <w:bCs w:val="1"/>
          <w:i w:val="1"/>
          <w:iCs w:val="1"/>
          <w:color w:val="auto"/>
        </w:rPr>
        <w:t>Demand Registrations</w:t>
      </w:r>
      <w:r>
        <w:rPr>
          <w:rFonts w:ascii="Times New Roman" w:cs="Times New Roman" w:eastAsia="Times New Roman" w:hAnsi="Times New Roman"/>
          <w:sz w:val="22"/>
          <w:szCs w:val="22"/>
          <w:color w:val="auto"/>
        </w:rPr>
        <w:t>.” Following such Demand Registration, the Company shall use reasonable commercial efforts to file a registration statement under the Securities Act covering the registration of all Registrable Securities that the relevant Holders request to be registered (as set out below) as promptly as possible but in any event within sixty (60) days of the mailing of the Company’s notice pursuant to this Section 2(a), provided that all necessary documents for such registration can be obtained and prepared within such 60-day period. The Holders making a Demand Registration may request that the registration be made pursuant to Rule 415 under the Securities Act (a “</w:t>
      </w:r>
      <w:r>
        <w:rPr>
          <w:rFonts w:ascii="Times New Roman" w:cs="Times New Roman" w:eastAsia="Times New Roman" w:hAnsi="Times New Roman"/>
          <w:sz w:val="22"/>
          <w:szCs w:val="22"/>
          <w:b w:val="1"/>
          <w:bCs w:val="1"/>
          <w:i w:val="1"/>
          <w:iCs w:val="1"/>
          <w:color w:val="auto"/>
        </w:rPr>
        <w:t>Shelf Registration</w:t>
      </w:r>
      <w:r>
        <w:rPr>
          <w:rFonts w:ascii="Times New Roman" w:cs="Times New Roman" w:eastAsia="Times New Roman" w:hAnsi="Times New Roman"/>
          <w:sz w:val="22"/>
          <w:szCs w:val="22"/>
          <w:color w:val="auto"/>
        </w:rPr>
        <w:t>”) and, if the Company is a WKSI at the time any request for a Demand Registration is submitted to the Company, that such Shelf Registration be an automatic shelf registration statement (as defined in Rule 405 under the Securities Act) (an “</w:t>
      </w:r>
      <w:r>
        <w:rPr>
          <w:rFonts w:ascii="Times New Roman" w:cs="Times New Roman" w:eastAsia="Times New Roman" w:hAnsi="Times New Roman"/>
          <w:sz w:val="22"/>
          <w:szCs w:val="22"/>
          <w:b w:val="1"/>
          <w:bCs w:val="1"/>
          <w:i w:val="1"/>
          <w:iCs w:val="1"/>
          <w:color w:val="auto"/>
        </w:rPr>
        <w:t>Automatic Shelf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Statement</w:t>
      </w:r>
      <w:r>
        <w:rPr>
          <w:rFonts w:ascii="Times New Roman" w:cs="Times New Roman" w:eastAsia="Times New Roman" w:hAnsi="Times New Roman"/>
          <w:sz w:val="22"/>
          <w:szCs w:val="22"/>
          <w:color w:val="auto"/>
        </w:rPr>
        <w:t>”). Except to the extent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applies, upon receipt of the request for the Demand Registration,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Company shall as promptly as reasonably practicable (but in no event later than ten days after receipt of the request for the Demand Registration) give written notice of the Demand Registration to all other Holders who hold Registrable Securities and, subject to the terms of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shall include in such Demand Registration (and in all related registrations and qualifications under state blue sky laws and in any related underwriting) all Registrable Securities with respect to which the Company has received written requests for inclusion therein within (x) 15 days, in the case of any notice with respect to a Long-Form Registration, or (y) ten days, in the case of any notice with respect to a Short-Form Registration, after the receipt of the Company’s notice. Each Holder agrees that such Holder shall treat as confidential the receipt of the notice of Demand Registration and shall not disclose or use the information contained in such notice of Demand Registration without the prior written consent of the Company or until such time as the information contained therein is or becomes available to the public generally, other than as a result of disclosure by the Holder in breach of the terms of this Agreement.</w:t>
      </w:r>
    </w:p>
    <w:p>
      <w:pPr>
        <w:spacing w:after="0" w:line="179" w:lineRule="exact"/>
        <w:rPr>
          <w:sz w:val="20"/>
          <w:szCs w:val="20"/>
          <w:color w:val="auto"/>
        </w:rPr>
      </w:pPr>
    </w:p>
    <w:p>
      <w:pPr>
        <w:jc w:val="both"/>
        <w:ind w:firstLine="872"/>
        <w:spacing w:after="0" w:line="236" w:lineRule="auto"/>
        <w:tabs>
          <w:tab w:leader="none" w:pos="176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Long-Form Registrations</w:t>
      </w:r>
      <w:r>
        <w:rPr>
          <w:rFonts w:ascii="Times New Roman" w:cs="Times New Roman" w:eastAsia="Times New Roman" w:hAnsi="Times New Roman"/>
          <w:sz w:val="22"/>
          <w:szCs w:val="22"/>
          <w:color w:val="auto"/>
        </w:rPr>
        <w:t>. Holders of at least fifty percent (50%) of the Registrable Securities may request, from and after 180 days following the IPO or, if earlier, the release (whether in whole or in part) of the Shares held by an Investor pursuant to the lock-up agreement entered into with the underwriters pursuant to the IPO, two (2) Long-Form Registrations in which the Company shall pay all Registration Expenses, regardless of whether any registration statement is filed or any such Demand Registration is consummated. All Long-Form Registrations shall be underwritten registrations unless otherwise approved by the applicable Holders.</w:t>
      </w:r>
    </w:p>
    <w:p>
      <w:pPr>
        <w:spacing w:after="0" w:line="181" w:lineRule="exact"/>
        <w:rPr>
          <w:rFonts w:ascii="Times New Roman" w:cs="Times New Roman" w:eastAsia="Times New Roman" w:hAnsi="Times New Roman"/>
          <w:sz w:val="22"/>
          <w:szCs w:val="22"/>
          <w:color w:val="auto"/>
        </w:rPr>
      </w:pPr>
    </w:p>
    <w:p>
      <w:pPr>
        <w:jc w:val="both"/>
        <w:ind w:firstLine="872"/>
        <w:spacing w:after="0" w:line="236" w:lineRule="auto"/>
        <w:tabs>
          <w:tab w:leader="none" w:pos="175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Short-Form Registrations</w:t>
      </w:r>
      <w:r>
        <w:rPr>
          <w:rFonts w:ascii="Times New Roman" w:cs="Times New Roman" w:eastAsia="Times New Roman" w:hAnsi="Times New Roman"/>
          <w:sz w:val="22"/>
          <w:szCs w:val="22"/>
          <w:color w:val="auto"/>
        </w:rPr>
        <w:t>. In addition to the Long-Form Registrations, Holders of at least thirty percent (30%) of the Registrable Securities may request, on no more than two (2) occasions in any twelve (12) month period, Short-Form Registrations in which the Company shall pay all Registration Expenses, regardless of whether any registration statement is filed or any such Demand Registration is consummated. Demand Registrations shall be Short-Form Registrations whenever the Company is permitted to use any applicable short form and if the managing underwriters (if any) agree to the use of a Short-Form Registration. After the Company has become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6" w:name="page237"/>
    <w:bookmarkEnd w:id="236"/>
    <w:p>
      <w:pPr>
        <w:spacing w:after="0" w:line="258" w:lineRule="auto"/>
        <w:rPr>
          <w:sz w:val="20"/>
          <w:szCs w:val="20"/>
          <w:color w:val="auto"/>
        </w:rPr>
      </w:pPr>
      <w:r>
        <w:rPr>
          <w:rFonts w:ascii="Times New Roman" w:cs="Times New Roman" w:eastAsia="Times New Roman" w:hAnsi="Times New Roman"/>
          <w:sz w:val="22"/>
          <w:szCs w:val="22"/>
          <w:color w:val="auto"/>
        </w:rPr>
        <w:t>subject to the reporting requirements of the Exchange Act, the Company shall use its reasonable best efforts to make Short-Form Registrations available for the sale of Registrable Securities.</w:t>
      </w:r>
    </w:p>
    <w:p>
      <w:pPr>
        <w:spacing w:after="0" w:line="158" w:lineRule="exact"/>
        <w:rPr>
          <w:sz w:val="20"/>
          <w:szCs w:val="20"/>
          <w:color w:val="auto"/>
        </w:rPr>
      </w:pPr>
    </w:p>
    <w:p>
      <w:pPr>
        <w:ind w:left="1780" w:hanging="908"/>
        <w:spacing w:after="0"/>
        <w:tabs>
          <w:tab w:leader="none" w:pos="17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Shelf Registrations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80" w:firstLine="789"/>
        <w:spacing w:after="0" w:line="232" w:lineRule="auto"/>
        <w:tabs>
          <w:tab w:leader="none" w:pos="252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availability of required financial information, as promptly as practicable after the Company receives written notice of a request for a Shelf Registration, but in any event within sixty (60) days of the mailing of the Company’s notice pursuant to Section 2(a) (provided that all necessary documents for such registration can be obtained and prepared within such 60-day period), the Company shall file with the Securities and Exchange Commission a registration statement under the Securities Act for the Shelf Registration (a “</w:t>
      </w:r>
      <w:r>
        <w:rPr>
          <w:rFonts w:ascii="Times New Roman" w:cs="Times New Roman" w:eastAsia="Times New Roman" w:hAnsi="Times New Roman"/>
          <w:sz w:val="22"/>
          <w:szCs w:val="22"/>
          <w:b w:val="1"/>
          <w:bCs w:val="1"/>
          <w:i w:val="1"/>
          <w:iCs w:val="1"/>
          <w:color w:val="auto"/>
        </w:rPr>
        <w:t>Shelf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Statement</w:t>
      </w:r>
      <w:r>
        <w:rPr>
          <w:rFonts w:ascii="Times New Roman" w:cs="Times New Roman" w:eastAsia="Times New Roman" w:hAnsi="Times New Roman"/>
          <w:sz w:val="22"/>
          <w:szCs w:val="22"/>
          <w:color w:val="auto"/>
        </w:rPr>
        <w:t>”). The Company shall use its reasonable best efforts to cause any Shelf Registration Statement to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declared effective under the Securities Act as soon as practicable after the initial filing of such Shelf Registration Statement, and once effective, the Company shall cause such Shelf Registration Statement to remain continuously effective for such time period as is specified in the request by the Holders, but for no time period longer than the period ending on the earliest of (A) the third anniversary of the initial effective date of such Shelf Registration Statement, (B) the date on which all Registrable Securities covered by such Shelf Registration Statement have been sold pursuant to the Shelf Registration Statement, and (C) the date as of which there are no longer any Registrable Securities covered by such Shelf Registration Statement in existence. Without limiting the generality of the foregoing, the Company shall use its reasonable best efforts to prepare a Shelf Registration Statement with respect to all of the Registrable Securities owned by or issuable to the Holders requesting such Shelf Registration to enable and cause such Shelf Registration Statement to be filed and maintained with the Securities and Exchange Commission as soon as practicable after the later to occur of (x) the expiration of the Lock-Up Period (as defined below) and (y) the Company becoming eligible to file a Shelf Registration Statement for a Short-Form Registration. In order for any Holder to be named as a selling securityholder in such Shelf Registration Statement, the Company may require such Holder to deliver all information about such Holder that is required to be included in such Shelf Registration Statement in accordance with applicable law, including Item 507 of Regulation S-K promulgated under the Securities Act. Notwithstanding anything to the contrary in </w:t>
      </w:r>
      <w:r>
        <w:rPr>
          <w:rFonts w:ascii="Times New Roman" w:cs="Times New Roman" w:eastAsia="Times New Roman" w:hAnsi="Times New Roman"/>
          <w:sz w:val="22"/>
          <w:szCs w:val="22"/>
          <w:u w:val="single" w:color="auto"/>
          <w:color w:val="auto"/>
        </w:rPr>
        <w:t>Section 2(d)(ii)</w:t>
      </w:r>
      <w:r>
        <w:rPr>
          <w:rFonts w:ascii="Times New Roman" w:cs="Times New Roman" w:eastAsia="Times New Roman" w:hAnsi="Times New Roman"/>
          <w:sz w:val="22"/>
          <w:szCs w:val="22"/>
          <w:color w:val="auto"/>
        </w:rPr>
        <w:t>, any Holder that is named as a selling securityholder in such Shelf Registration Statement may make a secondary resale under such Shelf Registration Statement without the consent of the Holders representing a Majority of the Registrable Securities or any other Holder if such resale does not require a supplement to the Shelf Registration Statement.</w:t>
      </w:r>
    </w:p>
    <w:p>
      <w:pPr>
        <w:spacing w:after="0" w:line="177" w:lineRule="exact"/>
        <w:rPr>
          <w:rFonts w:ascii="Times New Roman" w:cs="Times New Roman" w:eastAsia="Times New Roman" w:hAnsi="Times New Roman"/>
          <w:sz w:val="22"/>
          <w:szCs w:val="22"/>
          <w:color w:val="auto"/>
        </w:rPr>
      </w:pPr>
    </w:p>
    <w:p>
      <w:pPr>
        <w:jc w:val="both"/>
        <w:ind w:left="880" w:firstLine="789"/>
        <w:spacing w:after="0" w:line="235" w:lineRule="auto"/>
        <w:tabs>
          <w:tab w:leader="none" w:pos="258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Shelf Registration Statement is effective, Holders representing Registrable Securities either (a) with a market value of at least $25 million, or (b) that represent at least 10% of the aggregate market value of the Registrable Securities registered pursuant to such Shelf Registration Statement shall have the right at any time or from time to time to elect to sell pursuant to an offering (including an underwritten offering (an “</w:t>
      </w:r>
      <w:r>
        <w:rPr>
          <w:rFonts w:ascii="Times New Roman" w:cs="Times New Roman" w:eastAsia="Times New Roman" w:hAnsi="Times New Roman"/>
          <w:sz w:val="22"/>
          <w:szCs w:val="22"/>
          <w:b w:val="1"/>
          <w:bCs w:val="1"/>
          <w:i w:val="1"/>
          <w:iCs w:val="1"/>
          <w:color w:val="auto"/>
        </w:rPr>
        <w:t>Underwritten Takedown</w:t>
      </w:r>
      <w:r>
        <w:rPr>
          <w:rFonts w:ascii="Times New Roman" w:cs="Times New Roman" w:eastAsia="Times New Roman" w:hAnsi="Times New Roman"/>
          <w:sz w:val="22"/>
          <w:szCs w:val="22"/>
          <w:color w:val="auto"/>
        </w:rPr>
        <w:t>”)) Registrable Securities available for sale pursuant to such registration statement (“</w:t>
      </w:r>
      <w:r>
        <w:rPr>
          <w:rFonts w:ascii="Times New Roman" w:cs="Times New Roman" w:eastAsia="Times New Roman" w:hAnsi="Times New Roman"/>
          <w:sz w:val="22"/>
          <w:szCs w:val="22"/>
          <w:b w:val="1"/>
          <w:bCs w:val="1"/>
          <w:i w:val="1"/>
          <w:iCs w:val="1"/>
          <w:color w:val="auto"/>
        </w:rPr>
        <w:t>Shelf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Registrable Securities</w:t>
      </w:r>
      <w:r>
        <w:rPr>
          <w:rFonts w:ascii="Times New Roman" w:cs="Times New Roman" w:eastAsia="Times New Roman" w:hAnsi="Times New Roman"/>
          <w:sz w:val="22"/>
          <w:szCs w:val="22"/>
          <w:color w:val="auto"/>
        </w:rPr>
        <w:t>”), so long as the Shelf Registration Statement remains in effect, and the Company shall pay 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Registration Expenses in connection therewith;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Lead Investor and the Blackstone Investor shall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7" w:name="page238"/>
    <w:bookmarkEnd w:id="237"/>
    <w:p>
      <w:pPr>
        <w:jc w:val="both"/>
        <w:spacing w:after="0" w:line="232" w:lineRule="auto"/>
        <w:rPr>
          <w:sz w:val="20"/>
          <w:szCs w:val="20"/>
          <w:color w:val="auto"/>
        </w:rPr>
      </w:pPr>
      <w:r>
        <w:rPr>
          <w:rFonts w:ascii="Times New Roman" w:cs="Times New Roman" w:eastAsia="Times New Roman" w:hAnsi="Times New Roman"/>
          <w:sz w:val="22"/>
          <w:szCs w:val="22"/>
          <w:color w:val="auto"/>
        </w:rPr>
        <w:t>each have the right at any time and from time to time to elect to sell pursuant to an offering (including an Underwritten Takedown) pursuant to a Shelf Offering Request (as defined below) made by the Lead Investor or the Blackstone Investor, as applicable. The applicable Holders shall make such election by delivering to the Company a written request (a “</w:t>
      </w:r>
      <w:r>
        <w:rPr>
          <w:rFonts w:ascii="Times New Roman" w:cs="Times New Roman" w:eastAsia="Times New Roman" w:hAnsi="Times New Roman"/>
          <w:sz w:val="22"/>
          <w:szCs w:val="22"/>
          <w:b w:val="1"/>
          <w:bCs w:val="1"/>
          <w:i w:val="1"/>
          <w:iCs w:val="1"/>
          <w:color w:val="auto"/>
        </w:rPr>
        <w:t>Shelf Offering Request</w:t>
      </w:r>
      <w:r>
        <w:rPr>
          <w:rFonts w:ascii="Times New Roman" w:cs="Times New Roman" w:eastAsia="Times New Roman" w:hAnsi="Times New Roman"/>
          <w:sz w:val="22"/>
          <w:szCs w:val="22"/>
          <w:color w:val="auto"/>
        </w:rPr>
        <w:t>”) for such offering specifying the number of Shelf Registrable Securities that such Holders desire to sell pursuant to such offering (the “</w:t>
      </w:r>
      <w:r>
        <w:rPr>
          <w:rFonts w:ascii="Times New Roman" w:cs="Times New Roman" w:eastAsia="Times New Roman" w:hAnsi="Times New Roman"/>
          <w:sz w:val="22"/>
          <w:szCs w:val="22"/>
          <w:b w:val="1"/>
          <w:bCs w:val="1"/>
          <w:i w:val="1"/>
          <w:iCs w:val="1"/>
          <w:color w:val="auto"/>
        </w:rPr>
        <w:t>Shelf Offering</w:t>
      </w:r>
      <w:r>
        <w:rPr>
          <w:rFonts w:ascii="Times New Roman" w:cs="Times New Roman" w:eastAsia="Times New Roman" w:hAnsi="Times New Roman"/>
          <w:sz w:val="22"/>
          <w:szCs w:val="22"/>
          <w:color w:val="auto"/>
        </w:rPr>
        <w:t>”). In the case of an Underwritten Takedown, as promptly as practicable, but no later than two Business Days after receipt of a Shelf Offering Request, the Company shall give written notice (the “</w:t>
      </w:r>
      <w:r>
        <w:rPr>
          <w:rFonts w:ascii="Times New Roman" w:cs="Times New Roman" w:eastAsia="Times New Roman" w:hAnsi="Times New Roman"/>
          <w:sz w:val="22"/>
          <w:szCs w:val="22"/>
          <w:b w:val="1"/>
          <w:bCs w:val="1"/>
          <w:i w:val="1"/>
          <w:iCs w:val="1"/>
          <w:color w:val="auto"/>
        </w:rPr>
        <w:t>Shelf Offering Notice</w:t>
      </w:r>
      <w:r>
        <w:rPr>
          <w:rFonts w:ascii="Times New Roman" w:cs="Times New Roman" w:eastAsia="Times New Roman" w:hAnsi="Times New Roman"/>
          <w:sz w:val="22"/>
          <w:szCs w:val="22"/>
          <w:color w:val="auto"/>
        </w:rPr>
        <w:t xml:space="preserve">”) of such Shelf Offering Request to all other Holders of Shelf Registrable Securities. The Company, subject to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shall include in such Shelf Offering the Shelf Registrable Securities of any other Holder that shall have made a written request to the Company for inclusion in such Shelf Offering (which request shall specify the maximum number of Shelf Registrable Securities intended to be sold by such Holder) within five Business Days after the receipt of the Shelf Offering Notice. The Company shall, as expeditiously as possible (and in any event within ten Business Days after the receipt of a Shelf Offering Request, unless a longer period is agreed to by the Holders representing a Majority of the Registrable Securities that made the Shelf Offering Request), use its reasonable best efforts to facilitate such Shelf Offering. Each Holder agrees that such Holder shall treat as confidential the receipt of the Shelf Offering Notice and shall not disclose or use the information contained in such Shelf Offering Notice without the prior written consent of the Company or until such time as the information contained therein is or becomes available to the public generally, other than as a result of disclosure by the Holder in breach of the terms of this Agreement.</w:t>
      </w:r>
    </w:p>
    <w:p>
      <w:pPr>
        <w:spacing w:after="0" w:line="188" w:lineRule="exact"/>
        <w:rPr>
          <w:sz w:val="20"/>
          <w:szCs w:val="20"/>
          <w:color w:val="auto"/>
        </w:rPr>
      </w:pPr>
    </w:p>
    <w:p>
      <w:pPr>
        <w:jc w:val="both"/>
        <w:ind w:firstLine="797"/>
        <w:spacing w:after="0"/>
        <w:rPr>
          <w:sz w:val="20"/>
          <w:szCs w:val="20"/>
          <w:color w:val="auto"/>
        </w:rPr>
      </w:pPr>
      <w:r>
        <w:rPr>
          <w:rFonts w:ascii="Times New Roman" w:cs="Times New Roman" w:eastAsia="Times New Roman" w:hAnsi="Times New Roman"/>
          <w:sz w:val="22"/>
          <w:szCs w:val="22"/>
          <w:color w:val="auto"/>
        </w:rPr>
        <w:t xml:space="preserve">(iii) Notwithstanding the foregoing, if any Holder desires to effect a sale of Shelf Registrable Securities that does not constitute an Underwritten Takedown, the Holder shall deliver to the Company a Shelf Offering Request no later than two Business Days prior to the expected date of the sale of such Shelf Registrable Securities, and subject to the limitations set forth in </w:t>
      </w:r>
      <w:r>
        <w:rPr>
          <w:rFonts w:ascii="Times New Roman" w:cs="Times New Roman" w:eastAsia="Times New Roman" w:hAnsi="Times New Roman"/>
          <w:sz w:val="22"/>
          <w:szCs w:val="22"/>
          <w:u w:val="single" w:color="auto"/>
          <w:color w:val="auto"/>
        </w:rPr>
        <w:t>Section 2(d)(i)</w:t>
      </w:r>
      <w:r>
        <w:rPr>
          <w:rFonts w:ascii="Times New Roman" w:cs="Times New Roman" w:eastAsia="Times New Roman" w:hAnsi="Times New Roman"/>
          <w:sz w:val="22"/>
          <w:szCs w:val="22"/>
          <w:color w:val="auto"/>
        </w:rPr>
        <w:t>, the Company shall file and effect an amendment or supplement to its Shelf Registration Statement for such purpose as soon as reasonably practicable.</w:t>
      </w:r>
    </w:p>
    <w:p>
      <w:pPr>
        <w:spacing w:after="0" w:line="200" w:lineRule="exact"/>
        <w:rPr>
          <w:sz w:val="20"/>
          <w:szCs w:val="20"/>
          <w:color w:val="auto"/>
        </w:rPr>
      </w:pPr>
    </w:p>
    <w:p>
      <w:pPr>
        <w:spacing w:after="0" w:line="209" w:lineRule="exact"/>
        <w:rPr>
          <w:sz w:val="20"/>
          <w:szCs w:val="20"/>
          <w:color w:val="auto"/>
        </w:rPr>
      </w:pPr>
    </w:p>
    <w:p>
      <w:pPr>
        <w:jc w:val="both"/>
        <w:ind w:firstLine="789"/>
        <w:spacing w:after="0" w:line="233" w:lineRule="auto"/>
        <w:tabs>
          <w:tab w:leader="none" w:pos="1757"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if the Lead Investor or the Blackstone Investor, as applicable, wishes to engage in an underwritten block trade off of a Shelf Registration Statement (either through filing an Automatic Shelf Registration Statement or through a take-down from an existing Shelf Registration Statement), then notwithstanding the foregoing time periods, the Lead Investor or the Blackstone Investor, as applicable, only needs to notify the Company of the block trade Shelf Offering three Business Days prior to the day such offering is to commence and the Company shall promptly notify other Holders and such other Holders must elect whether or not to participate by the Business Day prior to the day such offering is to commence and the Company shall as expeditiously as possible use its reasonable best efforts to facilitate such offering (which may close as early as two Business Days after the date it commences);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Lead Investor or the Blackstone Investor, as applicable, shall use commercially reasonable efforts to work with the Company and the underwriters prior to making such request in order to facilitate preparation of the registration statement, prospectus and other offering documentation related to the underwritten block trade.</w:t>
      </w:r>
    </w:p>
    <w:p>
      <w:pPr>
        <w:spacing w:after="0" w:line="18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66675</wp:posOffset>
            </wp:positionV>
            <wp:extent cx="71748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42" w:right="339" w:bottom="1440" w:gutter="0" w:footer="0" w:header="0"/>
        </w:sectPr>
      </w:pPr>
    </w:p>
    <w:bookmarkStart w:id="238" w:name="page239"/>
    <w:bookmarkEnd w:id="238"/>
    <w:p>
      <w:pPr>
        <w:jc w:val="both"/>
        <w:ind w:left="880" w:firstLine="789"/>
        <w:spacing w:after="0" w:line="238" w:lineRule="auto"/>
        <w:tabs>
          <w:tab w:leader="none" w:pos="2577"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at the request of Holders representing a Majority of the Registrable Securities covered by a Shelf Registration Statement, file any prospectus supplement or, if the applicable Shelf Registration Statement is an Automatic Shelf Registration Statement, any post-effective amendments and otherwise take any action necessary to include therein all disclosure and language deemed necessary or advisable by such Holders to effect such Shelf Offering.</w:t>
      </w:r>
    </w:p>
    <w:p>
      <w:pPr>
        <w:spacing w:after="0" w:line="176" w:lineRule="exact"/>
        <w:rPr>
          <w:rFonts w:ascii="Times New Roman" w:cs="Times New Roman" w:eastAsia="Times New Roman" w:hAnsi="Times New Roman"/>
          <w:sz w:val="22"/>
          <w:szCs w:val="22"/>
          <w:color w:val="auto"/>
        </w:rPr>
      </w:pPr>
    </w:p>
    <w:p>
      <w:pPr>
        <w:jc w:val="both"/>
        <w:ind w:firstLine="872"/>
        <w:spacing w:after="0" w:line="232" w:lineRule="auto"/>
        <w:tabs>
          <w:tab w:leader="none" w:pos="175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 on Demand Registrations and Shelf Offerings</w:t>
      </w:r>
      <w:r>
        <w:rPr>
          <w:rFonts w:ascii="Times New Roman" w:cs="Times New Roman" w:eastAsia="Times New Roman" w:hAnsi="Times New Roman"/>
          <w:sz w:val="22"/>
          <w:szCs w:val="22"/>
          <w:color w:val="auto"/>
        </w:rPr>
        <w:t>. The Company shall not include in any Demand Registration or Shelf Offering any securities that are not Registrable Securities without the prior written consent of Holders representing a Majority of the Registrable Securities included in such registration or offering and of the Lead Investor. If a Demand Registration or a Shelf Offering is an underwritten offering and the managing underwriters advise the Company in writing that in their opinion the number of Registrable Securities and, if permitted hereunder, other securities requested to be included in such offering exceeds the number of Registrable Securities and other securities, if any, that can be sold therein without adversely affecting the marketability, proposed offering price, timing or method of distribution of the offering, the Company shall include in such registration or offering, as applicable, (i) first, the Registrable Securities of Holders requested to be included in such registration which, in the opinion of the underwriters, can be sold without any such adverse effect, pro rata among such Holders on the basis of the number of Registrable Securities owned by each such Holder that such Holder of Registrable Securities shall have requested to be included therein, (ii) second, other securities requested to be included in such registration which, in the opinion of the underwriters, can be sold without any such adverse effect, and (iii) third, securities the Company requested to be included in such registration for its own account which, in the opinion of the underwriters, can be sold without any such adverse effect. Alternatively, if the number of Registrable Securities which can be included on a Shelf Registration Statement is otherwise limited by Instruction I.B.5 to Form F-3 (or any successor provision thereto), the Company shall include in such registration or offering prior to the inclusion of any securities which are not Registrable Securities the number of Registrable Securities requested to be included which can be included on such Shelf Registration Statement in accordance with the requirements of Form F-3, pro rata among the respective Holders thereof on the basis of the amount of Registrable Securities owned by each such Holder that such Holder of Registrable Securities shall have requested to be included therein.</w:t>
      </w:r>
    </w:p>
    <w:p>
      <w:pPr>
        <w:spacing w:after="0" w:line="185" w:lineRule="exact"/>
        <w:rPr>
          <w:rFonts w:ascii="Times New Roman" w:cs="Times New Roman" w:eastAsia="Times New Roman" w:hAnsi="Times New Roman"/>
          <w:sz w:val="22"/>
          <w:szCs w:val="22"/>
          <w:color w:val="auto"/>
        </w:rPr>
      </w:pPr>
    </w:p>
    <w:p>
      <w:pPr>
        <w:ind w:left="1740" w:hanging="868"/>
        <w:spacing w:after="0"/>
        <w:tabs>
          <w:tab w:leader="none" w:pos="174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Demand Registration and Shelf Offerings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80" w:firstLine="789"/>
        <w:spacing w:after="0" w:line="234" w:lineRule="auto"/>
        <w:tabs>
          <w:tab w:leader="none" w:pos="2529"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 be obligated to effect any Demand Registration within 90 days after the effective date of a previous Demand Registration or a previous registration in which Registrable Securities were included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Company may postpone, for up to 90 days from the date of the request, the filing or the effectiveness of a registration statement for a Demand Registration or suspend the use of a prospectus that is part of a Shelf Registration Statement for up to 90 days from the date of the Suspension Notice (as defined below) and therefore suspend sales of the Shelf Registrable Securities (such period, the “</w:t>
      </w:r>
      <w:r>
        <w:rPr>
          <w:rFonts w:ascii="Times New Roman" w:cs="Times New Roman" w:eastAsia="Times New Roman" w:hAnsi="Times New Roman"/>
          <w:sz w:val="22"/>
          <w:szCs w:val="22"/>
          <w:b w:val="1"/>
          <w:bCs w:val="1"/>
          <w:i w:val="1"/>
          <w:iCs w:val="1"/>
          <w:color w:val="auto"/>
        </w:rPr>
        <w:t>Suspension Period</w:t>
      </w:r>
      <w:r>
        <w:rPr>
          <w:rFonts w:ascii="Times New Roman" w:cs="Times New Roman" w:eastAsia="Times New Roman" w:hAnsi="Times New Roman"/>
          <w:sz w:val="22"/>
          <w:szCs w:val="22"/>
          <w:color w:val="auto"/>
        </w:rPr>
        <w:t>”) by providing written notice to the Holders of Registrable Securities or Shelf Registrable Securities, as applicable, if (A) the Company’s board of directors determines in its reasonable good faith judgment that the offer or sale of Registrable Securities would reasonably be expected to have a material adverse effect on any proposal or plan by the Company or any Subsidiary to engage in 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9" w:name="page240"/>
    <w:bookmarkEnd w:id="23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material acquisition of assets or stock (other than in the ordinary course of business) or any material merger, consolidation, tender offer, recapitalization, reorganization or other transaction involving the Company or any Subsidiary, (B) upon advice of counsel, the sale of Registrable Securities pursuant to the registration statement would require disclosure of MNPI not otherwise required to be disclosed under applicable law, and (C) either (x) the Company has a bona fide business purpose for preserving the confidentiality of such transaction or (y) disclosure of such MNPI would have a material adverse effect on the Company or the Company’s ability to consummate such transaction;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such event, the Holders shall be entitled to withdraw such request for a Demand Registration or underwritten Shelf Offering and the Company shall pay all Registration Expenses in connection with such Demand Registration or Shelf Offering. The Company may delay a Demand Registration hereunder only once in any twelve-month period, except with the consent of each of the Lead Investor and, for so long as the Blackstone Investor holds at least 50% of the Registrable Securities owned by the Blackstone Investor as of the date hereof, the Blackstone Investor. The Company also may extend the Suspension Period with the consent of each of the Lead Investor and the Blackstone Investor (for so long as the Blackstone Investor holds at least 50% of the Registrable Securities owned by the Blackstone Investor as of the date hereof).</w:t>
      </w:r>
    </w:p>
    <w:p>
      <w:pPr>
        <w:spacing w:after="0" w:line="180" w:lineRule="exact"/>
        <w:rPr>
          <w:sz w:val="20"/>
          <w:szCs w:val="20"/>
          <w:color w:val="auto"/>
        </w:rPr>
      </w:pPr>
    </w:p>
    <w:p>
      <w:pPr>
        <w:jc w:val="both"/>
        <w:ind w:firstLine="789"/>
        <w:spacing w:after="0" w:line="232" w:lineRule="auto"/>
        <w:tabs>
          <w:tab w:leader="none" w:pos="170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event that causes the Company to suspend the use of a Shelf Registration Statement as set forth in paragraph (f)(i) above or pursuant to applicable subsections of </w:t>
      </w:r>
      <w:r>
        <w:rPr>
          <w:rFonts w:ascii="Times New Roman" w:cs="Times New Roman" w:eastAsia="Times New Roman" w:hAnsi="Times New Roman"/>
          <w:sz w:val="22"/>
          <w:szCs w:val="22"/>
          <w:u w:val="single" w:color="auto"/>
          <w:color w:val="auto"/>
        </w:rPr>
        <w:t>Section 5(a)(vi)</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i w:val="1"/>
          <w:iCs w:val="1"/>
          <w:color w:val="auto"/>
        </w:rPr>
        <w:t>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Event</w:t>
      </w:r>
      <w:r>
        <w:rPr>
          <w:rFonts w:ascii="Times New Roman" w:cs="Times New Roman" w:eastAsia="Times New Roman" w:hAnsi="Times New Roman"/>
          <w:sz w:val="22"/>
          <w:szCs w:val="22"/>
          <w:color w:val="auto"/>
        </w:rPr>
        <w:t>”), the Company shall give a notice to the Holders of Registrable Securities registered pursuant to such Shelf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Registration Statement (a “</w:t>
      </w:r>
      <w:r>
        <w:rPr>
          <w:rFonts w:ascii="Times New Roman" w:cs="Times New Roman" w:eastAsia="Times New Roman" w:hAnsi="Times New Roman"/>
          <w:sz w:val="22"/>
          <w:szCs w:val="22"/>
          <w:b w:val="1"/>
          <w:bCs w:val="1"/>
          <w:i w:val="1"/>
          <w:iCs w:val="1"/>
          <w:color w:val="auto"/>
        </w:rPr>
        <w:t>Suspension Notice</w:t>
      </w:r>
      <w:r>
        <w:rPr>
          <w:rFonts w:ascii="Times New Roman" w:cs="Times New Roman" w:eastAsia="Times New Roman" w:hAnsi="Times New Roman"/>
          <w:sz w:val="22"/>
          <w:szCs w:val="22"/>
          <w:color w:val="auto"/>
        </w:rPr>
        <w:t>”) to suspend sales of the Registrable Securities and such notice shall state generally the basis for the notice and that such suspension shall continue only for so long as the Suspension Event or its effect is continuing. If the basis of such suspension is nondisclosure of MNPI, the Company shall not be required to disclose the subject matter of such MNPI to Holders. A Holder shall not effect any sales of the Registrable Securities pursuant to such Shelf Registration Statement (or such filings) at any time after it has received a Suspension Notice from the Company and prior to receipt of an End of Suspension Notice (as defined below). Each Holder agrees that such Holder shall treat as confidential the receipt of the Suspension Notice and shall not disclose or use the information contained in such Suspension Notice without the prior written consent of the Company or until such time as the information contained therein is or becomes available to the public generally, other than as a result of disclosure by the Holder in breach of the terms of this Agreement. Holders may recommence effecting sales of the Registrable Securities pursuant to the Shelf Registration Statement (or such filings) following further written notice to such effect (an “</w:t>
      </w:r>
      <w:r>
        <w:rPr>
          <w:rFonts w:ascii="Times New Roman" w:cs="Times New Roman" w:eastAsia="Times New Roman" w:hAnsi="Times New Roman"/>
          <w:sz w:val="22"/>
          <w:szCs w:val="22"/>
          <w:b w:val="1"/>
          <w:bCs w:val="1"/>
          <w:i w:val="1"/>
          <w:iCs w:val="1"/>
          <w:color w:val="auto"/>
        </w:rPr>
        <w:t>End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Suspension Notice</w:t>
      </w:r>
      <w:r>
        <w:rPr>
          <w:rFonts w:ascii="Times New Roman" w:cs="Times New Roman" w:eastAsia="Times New Roman" w:hAnsi="Times New Roman"/>
          <w:sz w:val="22"/>
          <w:szCs w:val="22"/>
          <w:color w:val="auto"/>
        </w:rPr>
        <w:t>”) from the Company, which End of Suspension Notice shall be given by the Company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Holders and their counsel, if any, promptly following the conclusion of any Suspension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an End of Suspension Notice be given after the end of the Suspension Period unless with the consent of the Lead Investor.</w:t>
      </w:r>
    </w:p>
    <w:p>
      <w:pPr>
        <w:spacing w:after="0" w:line="188" w:lineRule="exact"/>
        <w:rPr>
          <w:rFonts w:ascii="Times New Roman" w:cs="Times New Roman" w:eastAsia="Times New Roman" w:hAnsi="Times New Roman"/>
          <w:sz w:val="22"/>
          <w:szCs w:val="22"/>
          <w:color w:val="auto"/>
        </w:rPr>
      </w:pPr>
    </w:p>
    <w:p>
      <w:pPr>
        <w:jc w:val="both"/>
        <w:ind w:firstLine="789"/>
        <w:spacing w:after="0" w:line="239" w:lineRule="auto"/>
        <w:tabs>
          <w:tab w:leader="none" w:pos="176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herein to the contrary, if the Company gives a Suspension Notice with respect to any Shelf Registration Statement pursuant to this </w:t>
      </w:r>
      <w:r>
        <w:rPr>
          <w:rFonts w:ascii="Times New Roman" w:cs="Times New Roman" w:eastAsia="Times New Roman" w:hAnsi="Times New Roman"/>
          <w:sz w:val="22"/>
          <w:szCs w:val="22"/>
          <w:u w:val="single" w:color="auto"/>
          <w:color w:val="auto"/>
        </w:rPr>
        <w:t>Section 2(f)</w:t>
      </w:r>
      <w:r>
        <w:rPr>
          <w:rFonts w:ascii="Times New Roman" w:cs="Times New Roman" w:eastAsia="Times New Roman" w:hAnsi="Times New Roman"/>
          <w:sz w:val="22"/>
          <w:szCs w:val="22"/>
          <w:color w:val="auto"/>
        </w:rPr>
        <w:t>, the Company agrees that it shall (A) extend the period of time during which such Shelf Registration Statement shall be maintained effective pursuant to this Agreement</w:t>
      </w:r>
    </w:p>
    <w:p>
      <w:pPr>
        <w:spacing w:after="0" w:line="18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66675</wp:posOffset>
            </wp:positionV>
            <wp:extent cx="71748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42" w:right="339" w:bottom="1440" w:gutter="0" w:footer="0" w:header="0"/>
        </w:sectPr>
      </w:pPr>
    </w:p>
    <w:bookmarkStart w:id="240" w:name="page241"/>
    <w:bookmarkEnd w:id="240"/>
    <w:p>
      <w:pPr>
        <w:jc w:val="both"/>
        <w:ind w:left="880"/>
        <w:spacing w:after="0" w:line="238" w:lineRule="auto"/>
        <w:rPr>
          <w:sz w:val="20"/>
          <w:szCs w:val="20"/>
          <w:color w:val="auto"/>
        </w:rPr>
      </w:pPr>
      <w:r>
        <w:rPr>
          <w:rFonts w:ascii="Times New Roman" w:cs="Times New Roman" w:eastAsia="Times New Roman" w:hAnsi="Times New Roman"/>
          <w:sz w:val="22"/>
          <w:szCs w:val="22"/>
          <w:color w:val="auto"/>
        </w:rPr>
        <w:t xml:space="preserve">by the number of days during the period from the date of receipt by the Holders of the Suspension Notice to and including the date of receipt by the Holders of the End of Suspension Notice, and (B) provide copies of any supplemented or amended prospectus necessary to resume sales, with respect to each Suspension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period of time shall not be extended beyond the date that there are no longer Registrable Securities covered by such Shelf Registration Statement.</w:t>
      </w:r>
    </w:p>
    <w:p>
      <w:pPr>
        <w:spacing w:after="0" w:line="177" w:lineRule="exact"/>
        <w:rPr>
          <w:sz w:val="20"/>
          <w:szCs w:val="20"/>
          <w:color w:val="auto"/>
        </w:rPr>
      </w:pPr>
    </w:p>
    <w:p>
      <w:pPr>
        <w:jc w:val="both"/>
        <w:ind w:firstLine="872"/>
        <w:spacing w:after="0" w:line="234" w:lineRule="auto"/>
        <w:tabs>
          <w:tab w:leader="none" w:pos="176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Underwriters</w:t>
      </w:r>
      <w:r>
        <w:rPr>
          <w:rFonts w:ascii="Times New Roman" w:cs="Times New Roman" w:eastAsia="Times New Roman" w:hAnsi="Times New Roman"/>
          <w:sz w:val="22"/>
          <w:szCs w:val="22"/>
          <w:color w:val="auto"/>
        </w:rPr>
        <w:t>. Holder(s) initiating any Demand Registration representing a Majority of the Registrable Securities included in such Demand Registration shall have the right to select the investment banker(s) and manager(s) to administer the offering (including assignment of titles), subject to the Company’s approval not be unreasonably withheld, conditioned or delayed. If any Shelf Offering is an Underwritten Takedown, the Holders representing a Majority of the Registrable Securities participating in such Underwritten Takedown shall have the right to select the investment banker(s) and manager(s) to administer the offering relating to such Shelf Offering (including assignment of titles), subject to the Company’s approval not to be unreasonably withheld, conditioned or delayed. Notwithstanding the foregoing, in the event that the Blackstone Investor is participating in any Demand Registration or Underwritten Takedown, the relevant Holders will consult with the Blackstone Investor prior to appointing any investment banker(s) and manager(s) to administer the offering.</w:t>
      </w:r>
    </w:p>
    <w:p>
      <w:pPr>
        <w:spacing w:after="0" w:line="183" w:lineRule="exact"/>
        <w:rPr>
          <w:rFonts w:ascii="Times New Roman" w:cs="Times New Roman" w:eastAsia="Times New Roman" w:hAnsi="Times New Roman"/>
          <w:sz w:val="22"/>
          <w:szCs w:val="22"/>
          <w:color w:val="auto"/>
        </w:rPr>
      </w:pPr>
    </w:p>
    <w:p>
      <w:pPr>
        <w:jc w:val="both"/>
        <w:ind w:firstLine="872"/>
        <w:spacing w:after="0" w:line="232" w:lineRule="auto"/>
        <w:tabs>
          <w:tab w:leader="none" w:pos="176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Fulfillment of Registration Obligations</w:t>
      </w:r>
      <w:r>
        <w:rPr>
          <w:rFonts w:ascii="Times New Roman" w:cs="Times New Roman" w:eastAsia="Times New Roman" w:hAnsi="Times New Roman"/>
          <w:sz w:val="22"/>
          <w:szCs w:val="22"/>
          <w:color w:val="auto"/>
        </w:rPr>
        <w:t xml:space="preserve">. Notwithstanding any other provision of this Agreement, a registration requested pursuant to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not be deemed to have been effected: (i) if the number of Registrable Securities requested to be included in a Long-Form Registration by the initiating Holders is cut back by the managing underwriters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(e) by more than twenty percent (20%); (ii) if the registration statement is withdrawn without becoming effective in accordance with </w:t>
      </w:r>
      <w:r>
        <w:rPr>
          <w:rFonts w:ascii="Times New Roman" w:cs="Times New Roman" w:eastAsia="Times New Roman" w:hAnsi="Times New Roman"/>
          <w:sz w:val="22"/>
          <w:szCs w:val="22"/>
          <w:u w:val="single" w:color="auto"/>
          <w:color w:val="auto"/>
        </w:rPr>
        <w:t>Section 2(f)</w:t>
      </w:r>
      <w:r>
        <w:rPr>
          <w:rFonts w:ascii="Times New Roman" w:cs="Times New Roman" w:eastAsia="Times New Roman" w:hAnsi="Times New Roman"/>
          <w:sz w:val="22"/>
          <w:szCs w:val="22"/>
          <w:color w:val="auto"/>
        </w:rPr>
        <w:t xml:space="preserve"> or otherwise without the consent of the initiating Holders; (iii) if after it has become effective such registration is interfered with by any stop order, injunction or other order or requirement of the Securities and Exchange Commission or any other governmental authority for any reason other than a misrepresentation or an omission by the Holder making such Demand Registration, or an Affiliate of such Holder (other than the Company and its controlled Affiliates), and, as a result thereof, the Registrable Securities requested to be registered cannot be completely distributed in accordance with the plan of distribution set forth in the related registration statement; (iv) if the registration does not contemplate an underwritten offering, if it does not remain effective for at least 180 days (or such shorter period as will terminate when all securities covered by such registration statement have been sold or withdrawn); or if such registration statement contemplates an underwritten offering, if it does not remain effective for at least 180 days plus such longer period as, in the opinion of counsel for the underwriter or underwriters, a prospectus is required by applicable law to be delivered in connection with the sale of Registrable Securities by an underwriter or dealer; or (v) in the event of an underwritten offering, if the conditions to closing (including any condition relating to an overallotment option) specified in the purchase agreement or underwriting agreement entered into in connection with such registration are not satisfied or waived other than by reason of some wrongful act or omission by the Holder that made the Demand Registration, or an Affiliate of such Holder.</w:t>
      </w:r>
    </w:p>
    <w:p>
      <w:pPr>
        <w:spacing w:after="0" w:line="188" w:lineRule="exact"/>
        <w:rPr>
          <w:rFonts w:ascii="Times New Roman" w:cs="Times New Roman" w:eastAsia="Times New Roman" w:hAnsi="Times New Roman"/>
          <w:sz w:val="22"/>
          <w:szCs w:val="22"/>
          <w:color w:val="auto"/>
        </w:rPr>
      </w:pPr>
    </w:p>
    <w:p>
      <w:pPr>
        <w:ind w:left="880" w:firstLine="789"/>
        <w:spacing w:after="0" w:line="258" w:lineRule="auto"/>
        <w:tabs>
          <w:tab w:leader="none" w:pos="2529"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Registration Rights</w:t>
      </w:r>
      <w:r>
        <w:rPr>
          <w:rFonts w:ascii="Times New Roman" w:cs="Times New Roman" w:eastAsia="Times New Roman" w:hAnsi="Times New Roman"/>
          <w:sz w:val="22"/>
          <w:szCs w:val="22"/>
          <w:color w:val="auto"/>
        </w:rPr>
        <w:t>. The Company represents and warrants that it is not a party to, or otherwise subject to, any other agreement granting registration rights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1" w:name="page242"/>
    <w:bookmarkEnd w:id="241"/>
    <w:p>
      <w:pPr>
        <w:jc w:val="both"/>
        <w:ind w:left="880"/>
        <w:spacing w:after="0" w:line="239" w:lineRule="auto"/>
        <w:rPr>
          <w:sz w:val="20"/>
          <w:szCs w:val="20"/>
          <w:color w:val="auto"/>
        </w:rPr>
      </w:pPr>
      <w:r>
        <w:rPr>
          <w:rFonts w:ascii="Times New Roman" w:cs="Times New Roman" w:eastAsia="Times New Roman" w:hAnsi="Times New Roman"/>
          <w:sz w:val="22"/>
          <w:szCs w:val="22"/>
          <w:color w:val="auto"/>
        </w:rPr>
        <w:t>any other Person with respect to any securities of the Company. Except as provided in this Agreement, the Company shall not grant to any Persons the right to request the Company or any Subsidiary to register any Capital Stock of the Company or of any Subsidiary, or any securities convertible or exchangeable into or exercisable for such securities, without the prior written consent of each of the Lead Investor and the Blackstone Investor.</w:t>
      </w:r>
    </w:p>
    <w:p>
      <w:pPr>
        <w:spacing w:after="0" w:line="180"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Piggyback Registrations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2"/>
        <w:spacing w:after="0" w:line="234" w:lineRule="auto"/>
        <w:tabs>
          <w:tab w:leader="none" w:pos="175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Piggyback</w:t>
      </w:r>
      <w:r>
        <w:rPr>
          <w:rFonts w:ascii="Times New Roman" w:cs="Times New Roman" w:eastAsia="Times New Roman" w:hAnsi="Times New Roman"/>
          <w:sz w:val="22"/>
          <w:szCs w:val="22"/>
          <w:color w:val="auto"/>
        </w:rPr>
        <w:t>. Following the IPO, whenever the Company proposes to register any of its securities under the Securities Act (other than (i) pursuant to a Demand Registration, (ii) in connection with registrations on Form F-4 or S-8 promulgated by the Securities and Exchange Commission or any successor or similar forms or (iii) a registration on any form that does not include substantially the same information as would be required to be included in a registration statement covering the sale of Registrable Securities) and the registration form to be used may be used for the registration of Registrable Securities (a “</w:t>
      </w:r>
      <w:r>
        <w:rPr>
          <w:rFonts w:ascii="Times New Roman" w:cs="Times New Roman" w:eastAsia="Times New Roman" w:hAnsi="Times New Roman"/>
          <w:sz w:val="22"/>
          <w:szCs w:val="22"/>
          <w:b w:val="1"/>
          <w:bCs w:val="1"/>
          <w:i w:val="1"/>
          <w:iCs w:val="1"/>
          <w:color w:val="auto"/>
        </w:rPr>
        <w:t>Piggyback Registration</w:t>
      </w:r>
      <w:r>
        <w:rPr>
          <w:rFonts w:ascii="Times New Roman" w:cs="Times New Roman" w:eastAsia="Times New Roman" w:hAnsi="Times New Roman"/>
          <w:sz w:val="22"/>
          <w:szCs w:val="22"/>
          <w:color w:val="auto"/>
        </w:rPr>
        <w:t xml:space="preserve">”), the Company shall give prompt written notice to all Holders who hold Registrable Securities of its intention to effect such Piggyback Registration and, subject to the terms of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shall include in such Piggyback Registration (and in all related registrations or qualifications under blue sky laws and in any related underwriting) all Registrable Securities with respect to which the Company has received written requests for inclusion therein within fifteen days after delivery of the Company’s notice.</w:t>
      </w:r>
    </w:p>
    <w:p>
      <w:pPr>
        <w:spacing w:after="0" w:line="179" w:lineRule="exact"/>
        <w:rPr>
          <w:rFonts w:ascii="Times New Roman" w:cs="Times New Roman" w:eastAsia="Times New Roman" w:hAnsi="Times New Roman"/>
          <w:sz w:val="22"/>
          <w:szCs w:val="22"/>
          <w:color w:val="auto"/>
        </w:rPr>
      </w:pPr>
    </w:p>
    <w:p>
      <w:pPr>
        <w:ind w:firstLine="872"/>
        <w:spacing w:after="0" w:line="258" w:lineRule="auto"/>
        <w:tabs>
          <w:tab w:leader="none" w:pos="176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Piggyback Expenses</w:t>
      </w:r>
      <w:r>
        <w:rPr>
          <w:rFonts w:ascii="Times New Roman" w:cs="Times New Roman" w:eastAsia="Times New Roman" w:hAnsi="Times New Roman"/>
          <w:sz w:val="22"/>
          <w:szCs w:val="22"/>
          <w:color w:val="auto"/>
        </w:rPr>
        <w:t>. The Registration Expenses of the Holders shall be paid by the Company in all Piggyback Registrations, whether or not any such registration became effective.</w:t>
      </w:r>
    </w:p>
    <w:p>
      <w:pPr>
        <w:spacing w:after="0" w:line="158" w:lineRule="exact"/>
        <w:rPr>
          <w:rFonts w:ascii="Times New Roman" w:cs="Times New Roman" w:eastAsia="Times New Roman" w:hAnsi="Times New Roman"/>
          <w:sz w:val="22"/>
          <w:szCs w:val="22"/>
          <w:color w:val="auto"/>
        </w:rPr>
      </w:pPr>
    </w:p>
    <w:p>
      <w:pPr>
        <w:jc w:val="both"/>
        <w:ind w:firstLine="872"/>
        <w:spacing w:after="0" w:line="233" w:lineRule="auto"/>
        <w:tabs>
          <w:tab w:leader="none" w:pos="175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Priority on Primary Registrations</w:t>
      </w:r>
      <w:r>
        <w:rPr>
          <w:rFonts w:ascii="Times New Roman" w:cs="Times New Roman" w:eastAsia="Times New Roman" w:hAnsi="Times New Roman"/>
          <w:sz w:val="22"/>
          <w:szCs w:val="22"/>
          <w:color w:val="auto"/>
        </w:rPr>
        <w:t>. If a Piggyback Registration is an underwritten primary registration on behalf of the Company, and the managing underwriters advise the Company in writing that in their opinion the number of securities requested to be included in such registration exceeds the number which can be sold in such offering without adversely affecting the marketability, proposed offering price, timing or method of distribution of the offering, the Company shall include in such registration (i) first, the securities the Company proposes to sell, (ii) second, the Registrable Securities requested to be included in such registration which, in the opinion of the underwriters, can be sold without any such adverse effect, pro rata among the Holders on the basis of the number of Registrable Securities owned by each such Holder that such Holder of Registrable Securities shall have requested to be included therein, and (iii) third, other securities requested to be included in such registration which, in the opinion of the underwriters, can be sold without any such adverse effect. Notwithstanding the foregoing, in no event shall any Registrable Securities be excluded from such offering unless all other shareholders’ securities have been first excluded from the offering.</w:t>
      </w:r>
    </w:p>
    <w:p>
      <w:pPr>
        <w:spacing w:after="0" w:line="187" w:lineRule="exact"/>
        <w:rPr>
          <w:rFonts w:ascii="Times New Roman" w:cs="Times New Roman" w:eastAsia="Times New Roman" w:hAnsi="Times New Roman"/>
          <w:sz w:val="22"/>
          <w:szCs w:val="22"/>
          <w:color w:val="auto"/>
        </w:rPr>
      </w:pPr>
    </w:p>
    <w:p>
      <w:pPr>
        <w:jc w:val="both"/>
        <w:ind w:firstLine="872"/>
        <w:spacing w:after="0" w:line="238" w:lineRule="auto"/>
        <w:tabs>
          <w:tab w:leader="none" w:pos="176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Underwriters</w:t>
      </w:r>
      <w:r>
        <w:rPr>
          <w:rFonts w:ascii="Times New Roman" w:cs="Times New Roman" w:eastAsia="Times New Roman" w:hAnsi="Times New Roman"/>
          <w:sz w:val="22"/>
          <w:szCs w:val="22"/>
          <w:color w:val="auto"/>
        </w:rPr>
        <w:t xml:space="preserve">. If any Piggyback Registration is an underwritten offering, the selection of investment banker(s) and manager(s) for the offering shall be at the election of the Company (in the case of a primary registration) or at the election of the Holders of other Company securities requesting such registration (in the case of a secondary registration);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Holders representing a Majority of the Registrable Securities included in such Piggyback Registration may request that one or more investment banker(s) or manager(s) be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2" w:name="page243"/>
    <w:bookmarkEnd w:id="242"/>
    <w:p>
      <w:pPr>
        <w:ind w:right="20"/>
        <w:spacing w:after="0" w:line="258" w:lineRule="auto"/>
        <w:rPr>
          <w:sz w:val="20"/>
          <w:szCs w:val="20"/>
          <w:color w:val="auto"/>
        </w:rPr>
      </w:pPr>
      <w:r>
        <w:rPr>
          <w:rFonts w:ascii="Times New Roman" w:cs="Times New Roman" w:eastAsia="Times New Roman" w:hAnsi="Times New Roman"/>
          <w:sz w:val="22"/>
          <w:szCs w:val="22"/>
          <w:color w:val="auto"/>
        </w:rPr>
        <w:t>included in such offering (such request not to be binding on the Company or such other initiating Holders of Company securities).</w:t>
      </w:r>
    </w:p>
    <w:p>
      <w:pPr>
        <w:spacing w:after="0" w:line="158" w:lineRule="exact"/>
        <w:rPr>
          <w:sz w:val="20"/>
          <w:szCs w:val="20"/>
          <w:color w:val="auto"/>
        </w:rPr>
      </w:pPr>
    </w:p>
    <w:p>
      <w:pPr>
        <w:jc w:val="both"/>
        <w:ind w:firstLine="872"/>
        <w:spacing w:after="0" w:line="244" w:lineRule="auto"/>
        <w:tabs>
          <w:tab w:leader="none" w:pos="175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Terminate Registration</w:t>
      </w:r>
      <w:r>
        <w:rPr>
          <w:rFonts w:ascii="Times New Roman" w:cs="Times New Roman" w:eastAsia="Times New Roman" w:hAnsi="Times New Roman"/>
          <w:sz w:val="22"/>
          <w:szCs w:val="22"/>
          <w:color w:val="auto"/>
        </w:rPr>
        <w:t xml:space="preserve">. The Company shall have the right to terminate or withdraw any registration initiated by it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whether or not any Holder has elected to include securities in such registration. The Registration Expenses of such withdrawn registration shall be borne by the Company in accordance with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864"/>
        <w:spacing w:after="0" w:line="23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Lock-Up Agreements</w:t>
      </w:r>
      <w:r>
        <w:rPr>
          <w:rFonts w:ascii="Times New Roman" w:cs="Times New Roman" w:eastAsia="Times New Roman" w:hAnsi="Times New Roman"/>
          <w:sz w:val="22"/>
          <w:szCs w:val="22"/>
          <w:color w:val="auto"/>
        </w:rPr>
        <w:t>. In connection with the IPO, each Holder (each a “</w:t>
      </w:r>
      <w:r>
        <w:rPr>
          <w:rFonts w:ascii="Times New Roman" w:cs="Times New Roman" w:eastAsia="Times New Roman" w:hAnsi="Times New Roman"/>
          <w:sz w:val="22"/>
          <w:szCs w:val="22"/>
          <w:b w:val="1"/>
          <w:bCs w:val="1"/>
          <w:i w:val="1"/>
          <w:iCs w:val="1"/>
          <w:color w:val="auto"/>
        </w:rPr>
        <w:t>Lock-Up Party</w:t>
      </w:r>
      <w:r>
        <w:rPr>
          <w:rFonts w:ascii="Times New Roman" w:cs="Times New Roman" w:eastAsia="Times New Roman" w:hAnsi="Times New Roman"/>
          <w:sz w:val="22"/>
          <w:szCs w:val="22"/>
          <w:color w:val="auto"/>
        </w:rPr>
        <w:t>”) has entered into a customary lock-up agreement with Morgan Stanley &amp; Co. LLC, J.P. Morgan Securities LLC, and Credit Suisse Securities (USA) LLC, as representatives (the “</w:t>
      </w:r>
      <w:r>
        <w:rPr>
          <w:rFonts w:ascii="Times New Roman" w:cs="Times New Roman" w:eastAsia="Times New Roman" w:hAnsi="Times New Roman"/>
          <w:sz w:val="22"/>
          <w:szCs w:val="22"/>
          <w:b w:val="1"/>
          <w:bCs w:val="1"/>
          <w:i w:val="1"/>
          <w:iCs w:val="1"/>
          <w:color w:val="auto"/>
        </w:rPr>
        <w:t>Underwriter Representatives</w:t>
      </w:r>
      <w:r>
        <w:rPr>
          <w:rFonts w:ascii="Times New Roman" w:cs="Times New Roman" w:eastAsia="Times New Roman" w:hAnsi="Times New Roman"/>
          <w:sz w:val="22"/>
          <w:szCs w:val="22"/>
          <w:color w:val="auto"/>
        </w:rPr>
        <w:t>”) of the several underwriters, pursuant to which each Lock-Up Party has agreed to certain restrictions relating to the shares of Capital Stock and certain other securities held by them (collectively, the “</w:t>
      </w:r>
      <w:r>
        <w:rPr>
          <w:rFonts w:ascii="Times New Roman" w:cs="Times New Roman" w:eastAsia="Times New Roman" w:hAnsi="Times New Roman"/>
          <w:sz w:val="22"/>
          <w:szCs w:val="22"/>
          <w:b w:val="1"/>
          <w:bCs w:val="1"/>
          <w:i w:val="1"/>
          <w:iCs w:val="1"/>
          <w:color w:val="auto"/>
        </w:rPr>
        <w:t>Lock-Up Restrictions</w:t>
      </w:r>
      <w:r>
        <w:rPr>
          <w:rFonts w:ascii="Times New Roman" w:cs="Times New Roman" w:eastAsia="Times New Roman" w:hAnsi="Times New Roman"/>
          <w:sz w:val="22"/>
          <w:szCs w:val="22"/>
          <w:color w:val="auto"/>
        </w:rPr>
        <w:t>”) during the period ending 180 days after the date of the final prospectus issued in connection with the IPO (such period, the “</w:t>
      </w:r>
      <w:r>
        <w:rPr>
          <w:rFonts w:ascii="Times New Roman" w:cs="Times New Roman" w:eastAsia="Times New Roman" w:hAnsi="Times New Roman"/>
          <w:sz w:val="22"/>
          <w:szCs w:val="22"/>
          <w:b w:val="1"/>
          <w:bCs w:val="1"/>
          <w:i w:val="1"/>
          <w:iCs w:val="1"/>
          <w:color w:val="auto"/>
        </w:rPr>
        <w:t>Lock-Up Period</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Registration Procedures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2"/>
        <w:spacing w:after="0" w:line="239" w:lineRule="auto"/>
        <w:tabs>
          <w:tab w:leader="none" w:pos="175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Holders have requested that any Registrable Securities be registered pursuant to this Agreement or have initiated a Shelf Offering, the Company shall use its reasonable best efforts to effect the registration and the sale of such Registrable Securities in accordance with the intended method of disposition thereof, and pursuant thereto the Company shall as expeditiously as possible:</w:t>
      </w:r>
    </w:p>
    <w:p>
      <w:pPr>
        <w:spacing w:after="0" w:line="180" w:lineRule="exact"/>
        <w:rPr>
          <w:rFonts w:ascii="Times New Roman" w:cs="Times New Roman" w:eastAsia="Times New Roman" w:hAnsi="Times New Roman"/>
          <w:sz w:val="22"/>
          <w:szCs w:val="22"/>
          <w:color w:val="auto"/>
        </w:rPr>
      </w:pPr>
    </w:p>
    <w:p>
      <w:pPr>
        <w:jc w:val="both"/>
        <w:ind w:left="880" w:firstLine="789"/>
        <w:spacing w:after="0" w:line="234" w:lineRule="auto"/>
        <w:tabs>
          <w:tab w:leader="none" w:pos="252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Securities Act and all applicable rules and regulations promulgated thereunder, prepare and file with the Securities and Exchange Commission (subject to the availability of required financial information) a registration statement, and all amendments and supplements thereto and related prospectuses, with respect to such Registrable Securities and use its reasonable best efforts to cause such registration statement to become effective (provided that before filing a registration statement or prospectus or any amendments or supplements thereto, the Company shall furnish to the counsel selected by the Holder(s) initiating a Demand Registration or, in all other cases, the Holders representing a Majority of the Registrable Securities covered by such registration statement copies of all such documents proposed to be filed, which documents shall be subject to the review and comment of such counsel);</w:t>
      </w:r>
    </w:p>
    <w:p>
      <w:pPr>
        <w:spacing w:after="0" w:line="183" w:lineRule="exact"/>
        <w:rPr>
          <w:rFonts w:ascii="Times New Roman" w:cs="Times New Roman" w:eastAsia="Times New Roman" w:hAnsi="Times New Roman"/>
          <w:sz w:val="22"/>
          <w:szCs w:val="22"/>
          <w:color w:val="auto"/>
        </w:rPr>
      </w:pPr>
    </w:p>
    <w:p>
      <w:pPr>
        <w:jc w:val="both"/>
        <w:ind w:left="880" w:firstLine="789"/>
        <w:spacing w:after="0" w:line="238" w:lineRule="auto"/>
        <w:tabs>
          <w:tab w:leader="none" w:pos="258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each Holder of Registrable Securities of (A) the issuance by the Securities and Exchange Commission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176" w:lineRule="exact"/>
        <w:rPr>
          <w:rFonts w:ascii="Times New Roman" w:cs="Times New Roman" w:eastAsia="Times New Roman" w:hAnsi="Times New Roman"/>
          <w:sz w:val="22"/>
          <w:szCs w:val="22"/>
          <w:color w:val="auto"/>
        </w:rPr>
      </w:pPr>
    </w:p>
    <w:p>
      <w:pPr>
        <w:ind w:left="880" w:firstLine="789"/>
        <w:spacing w:after="0" w:line="258" w:lineRule="auto"/>
        <w:tabs>
          <w:tab w:leader="none" w:pos="264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with the Securities and Exchange Commission such amendments and supplements to such registration statement and the prospectus used 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3" w:name="page244"/>
    <w:bookmarkEnd w:id="243"/>
    <w:p>
      <w:pPr>
        <w:jc w:val="both"/>
        <w:spacing w:after="0" w:line="234" w:lineRule="auto"/>
        <w:rPr>
          <w:sz w:val="20"/>
          <w:szCs w:val="20"/>
          <w:color w:val="auto"/>
        </w:rPr>
      </w:pPr>
      <w:r>
        <w:rPr>
          <w:rFonts w:ascii="Times New Roman" w:cs="Times New Roman" w:eastAsia="Times New Roman" w:hAnsi="Times New Roman"/>
          <w:sz w:val="22"/>
          <w:szCs w:val="22"/>
          <w:color w:val="auto"/>
        </w:rPr>
        <w:t>connection therewith as may be necessary to keep such registration statement effective for a period ending when all of the securities covered by such registration statement have been disposed of in accordance with the intended methods of distribution by the sellers thereof set forth in such registration statement (but in any event not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83" w:lineRule="exact"/>
        <w:rPr>
          <w:sz w:val="20"/>
          <w:szCs w:val="20"/>
          <w:color w:val="auto"/>
        </w:rPr>
      </w:pPr>
    </w:p>
    <w:p>
      <w:pPr>
        <w:jc w:val="both"/>
        <w:ind w:firstLine="789"/>
        <w:spacing w:after="0" w:line="239" w:lineRule="auto"/>
        <w:tabs>
          <w:tab w:leader="none" w:pos="1757"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each seller of Registrable Securities thereunder such number of copies of such registration statement, each amendment and supplement thereto, the prospectus included in such registration statement (including each preliminary prospectus), each Free-Writing Prospectus and such other documents as such seller may reasonably request in order to facilitate the disposition of the Registrable Securities owned by such seller;</w:t>
      </w:r>
    </w:p>
    <w:p>
      <w:pPr>
        <w:spacing w:after="0" w:line="180" w:lineRule="exact"/>
        <w:rPr>
          <w:rFonts w:ascii="Times New Roman" w:cs="Times New Roman" w:eastAsia="Times New Roman" w:hAnsi="Times New Roman"/>
          <w:sz w:val="22"/>
          <w:szCs w:val="22"/>
          <w:color w:val="auto"/>
        </w:rPr>
      </w:pPr>
    </w:p>
    <w:p>
      <w:pPr>
        <w:jc w:val="both"/>
        <w:ind w:firstLine="789"/>
        <w:spacing w:after="0" w:line="235" w:lineRule="auto"/>
        <w:tabs>
          <w:tab w:leader="none" w:pos="1697"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(provided that the Company shall not be required to (A) qualify generally to do business in any jurisdiction where it would not otherwise be required to qualify but for this subparagraph, (B) consent to general service of process in any such jurisdiction or (C) subject itself to taxation in any such jurisdiction);</w:t>
      </w:r>
    </w:p>
    <w:p>
      <w:pPr>
        <w:spacing w:after="0" w:line="183" w:lineRule="exact"/>
        <w:rPr>
          <w:rFonts w:ascii="Times New Roman" w:cs="Times New Roman" w:eastAsia="Times New Roman" w:hAnsi="Times New Roman"/>
          <w:sz w:val="22"/>
          <w:szCs w:val="22"/>
          <w:color w:val="auto"/>
        </w:rPr>
      </w:pPr>
    </w:p>
    <w:p>
      <w:pPr>
        <w:jc w:val="both"/>
        <w:ind w:firstLine="789"/>
        <w:spacing w:after="0" w:line="245" w:lineRule="auto"/>
        <w:tabs>
          <w:tab w:leader="none" w:pos="1757"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notify each seller of such Registrable Securities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request by the Securities and Exchange Commission for the amendment or supplementing of such registration statement or prospectus or for additional information and (C)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subject to </w:t>
      </w:r>
      <w:r>
        <w:rPr>
          <w:rFonts w:ascii="Times New Roman" w:cs="Times New Roman" w:eastAsia="Times New Roman" w:hAnsi="Times New Roman"/>
          <w:sz w:val="21"/>
          <w:szCs w:val="21"/>
          <w:u w:val="single" w:color="auto"/>
          <w:color w:val="auto"/>
        </w:rPr>
        <w:t>Section 2(f)</w:t>
      </w:r>
      <w:r>
        <w:rPr>
          <w:rFonts w:ascii="Times New Roman" w:cs="Times New Roman" w:eastAsia="Times New Roman" w:hAnsi="Times New Roman"/>
          <w:sz w:val="21"/>
          <w:szCs w:val="21"/>
          <w:color w:val="auto"/>
        </w:rPr>
        <w:t>, at the request of any such seller, the Company shall prepare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17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66675</wp:posOffset>
            </wp:positionV>
            <wp:extent cx="71748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42" w:right="339" w:bottom="1440" w:gutter="0" w:footer="0" w:header="0"/>
        </w:sectPr>
      </w:pPr>
    </w:p>
    <w:bookmarkStart w:id="244" w:name="page245"/>
    <w:bookmarkEnd w:id="244"/>
    <w:p>
      <w:pPr>
        <w:jc w:val="both"/>
        <w:ind w:left="-240" w:firstLine="789"/>
        <w:spacing w:after="0" w:line="239" w:lineRule="auto"/>
        <w:tabs>
          <w:tab w:leader="none" w:pos="157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reasonable best efforts to cause all such Registrable Securities to be listed on each securities exchange on which similar securities issued by the Company are then listed and, if not so listed, to be listed on a securities exchange and, without limiting the generality of the foregoing, to arrange for at least two market markers to register as such with respect to such Registrable Securities with FINRA;</w:t>
      </w:r>
    </w:p>
    <w:p>
      <w:pPr>
        <w:spacing w:after="0" w:line="180" w:lineRule="exact"/>
        <w:rPr>
          <w:rFonts w:ascii="Times New Roman" w:cs="Times New Roman" w:eastAsia="Times New Roman" w:hAnsi="Times New Roman"/>
          <w:sz w:val="22"/>
          <w:szCs w:val="22"/>
          <w:color w:val="auto"/>
        </w:rPr>
      </w:pPr>
    </w:p>
    <w:p>
      <w:pPr>
        <w:ind w:left="-240" w:firstLine="789"/>
        <w:spacing w:after="0" w:line="258" w:lineRule="auto"/>
        <w:tabs>
          <w:tab w:leader="none" w:pos="163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reasonable efforts to provide a transfer agent and registrar for all such Registrable Securities not later than the effective date of such registration statement;</w:t>
      </w:r>
    </w:p>
    <w:p>
      <w:pPr>
        <w:spacing w:after="0" w:line="158" w:lineRule="exact"/>
        <w:rPr>
          <w:rFonts w:ascii="Times New Roman" w:cs="Times New Roman" w:eastAsia="Times New Roman" w:hAnsi="Times New Roman"/>
          <w:sz w:val="22"/>
          <w:szCs w:val="22"/>
          <w:color w:val="auto"/>
        </w:rPr>
      </w:pPr>
    </w:p>
    <w:p>
      <w:pPr>
        <w:jc w:val="both"/>
        <w:ind w:left="-240" w:firstLine="789"/>
        <w:spacing w:after="0" w:line="238" w:lineRule="auto"/>
        <w:tabs>
          <w:tab w:leader="none" w:pos="151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and perform such customary agreements (including underwriting agreements in customary form) and take all such other actions as the Holders representing a Majority of the Registrable Securities being sold or the underwriters, if any, reasonably request in order to expedite or facilitate the disposition of such Registrable Securities (including, without limitation, effecting a share split, combination of shares, recapitalization or reorganization);</w:t>
      </w:r>
    </w:p>
    <w:p>
      <w:pPr>
        <w:spacing w:after="0" w:line="176" w:lineRule="exact"/>
        <w:rPr>
          <w:rFonts w:ascii="Times New Roman" w:cs="Times New Roman" w:eastAsia="Times New Roman" w:hAnsi="Times New Roman"/>
          <w:sz w:val="22"/>
          <w:szCs w:val="22"/>
          <w:color w:val="auto"/>
        </w:rPr>
      </w:pPr>
    </w:p>
    <w:p>
      <w:pPr>
        <w:jc w:val="both"/>
        <w:ind w:left="-240" w:firstLine="789"/>
        <w:spacing w:after="0" w:line="235" w:lineRule="auto"/>
        <w:tabs>
          <w:tab w:leader="none" w:pos="145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and business documents and properties of the Company as shall be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w:t>
      </w:r>
    </w:p>
    <w:p>
      <w:pPr>
        <w:spacing w:after="0" w:line="183" w:lineRule="exact"/>
        <w:rPr>
          <w:rFonts w:ascii="Times New Roman" w:cs="Times New Roman" w:eastAsia="Times New Roman" w:hAnsi="Times New Roman"/>
          <w:sz w:val="22"/>
          <w:szCs w:val="22"/>
          <w:color w:val="auto"/>
        </w:rPr>
      </w:pPr>
    </w:p>
    <w:p>
      <w:pPr>
        <w:jc w:val="both"/>
        <w:ind w:left="-240" w:firstLine="789"/>
        <w:spacing w:after="0" w:line="236" w:lineRule="auto"/>
        <w:tabs>
          <w:tab w:leader="none" w:pos="151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reasonable actions to ensure that any Free-Writing Prospectus utilized in connection with any Demand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181" w:lineRule="exact"/>
        <w:rPr>
          <w:rFonts w:ascii="Times New Roman" w:cs="Times New Roman" w:eastAsia="Times New Roman" w:hAnsi="Times New Roman"/>
          <w:sz w:val="22"/>
          <w:szCs w:val="22"/>
          <w:color w:val="auto"/>
        </w:rPr>
      </w:pPr>
    </w:p>
    <w:p>
      <w:pPr>
        <w:jc w:val="both"/>
        <w:ind w:left="-240" w:firstLine="789"/>
        <w:spacing w:after="0" w:line="238" w:lineRule="auto"/>
        <w:tabs>
          <w:tab w:leader="none" w:pos="157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use its reasonable best efforts to comply with all applicable rules and regulations of the Securities and Exchange Commission, and make available to its security holders, as soon as reasonably practicable, an earnings statement covering the period of at least twelve months beginning with the first day of the Company’s first full calendar quarter after the effective date of the registration statement, which earnings statement shall satisfy the provisions of Section 11(a) of the Securities Act and Rule 158;</w:t>
      </w:r>
    </w:p>
    <w:p>
      <w:pPr>
        <w:spacing w:after="0" w:line="176" w:lineRule="exact"/>
        <w:rPr>
          <w:rFonts w:ascii="Times New Roman" w:cs="Times New Roman" w:eastAsia="Times New Roman" w:hAnsi="Times New Roman"/>
          <w:sz w:val="22"/>
          <w:szCs w:val="22"/>
          <w:color w:val="auto"/>
        </w:rPr>
      </w:pPr>
    </w:p>
    <w:p>
      <w:pPr>
        <w:jc w:val="both"/>
        <w:ind w:left="-240" w:firstLine="789"/>
        <w:spacing w:after="0" w:line="238" w:lineRule="auto"/>
        <w:tabs>
          <w:tab w:leader="none" w:pos="163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 Holder, in its sole and exclusive judgment, might be deemed to be an underwriter of any Registrable Securities or a controlling person of the Company, permit such Holder to participate in the preparation of such registration or comparable statement and allow such Holder to provide language for insertion therein, in form and substance satisfactory to the Company, which in the reasonable judgment of such Holder and its counsel should be included;</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748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245" w:name="page246"/>
    <w:bookmarkEnd w:id="245"/>
    <w:p>
      <w:pPr>
        <w:jc w:val="both"/>
        <w:ind w:left="-240" w:firstLine="789"/>
        <w:spacing w:after="0" w:line="239" w:lineRule="auto"/>
        <w:tabs>
          <w:tab w:leader="none" w:pos="162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issuance of any stop order suspending the effectiveness of a registration statement, or the issuance of any order suspending or preventing the use of any related prospectus or suspending the qualification of any Shares included in such registration statement for sale in any jurisdiction, use reasonable efforts promptly to obtain the withdrawal of such order;</w:t>
      </w:r>
    </w:p>
    <w:p>
      <w:pPr>
        <w:spacing w:after="0" w:line="180" w:lineRule="exact"/>
        <w:rPr>
          <w:rFonts w:ascii="Times New Roman" w:cs="Times New Roman" w:eastAsia="Times New Roman" w:hAnsi="Times New Roman"/>
          <w:sz w:val="22"/>
          <w:szCs w:val="22"/>
          <w:color w:val="auto"/>
        </w:rPr>
      </w:pPr>
    </w:p>
    <w:p>
      <w:pPr>
        <w:jc w:val="both"/>
        <w:ind w:left="-240" w:firstLine="789"/>
        <w:spacing w:after="0" w:line="244" w:lineRule="auto"/>
        <w:tabs>
          <w:tab w:leader="none" w:pos="156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73" w:lineRule="exact"/>
        <w:rPr>
          <w:rFonts w:ascii="Times New Roman" w:cs="Times New Roman" w:eastAsia="Times New Roman" w:hAnsi="Times New Roman"/>
          <w:sz w:val="22"/>
          <w:szCs w:val="22"/>
          <w:color w:val="auto"/>
        </w:rPr>
      </w:pPr>
    </w:p>
    <w:p>
      <w:pPr>
        <w:jc w:val="both"/>
        <w:ind w:left="-240" w:firstLine="789"/>
        <w:spacing w:after="0" w:line="238" w:lineRule="auto"/>
        <w:tabs>
          <w:tab w:leader="none" w:pos="162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the Holders of Registrable Securities covered by the registration statement and the managing underwriter or agent, if any, to facilitate the timely preparation and delivery of certificates (not bearing any restrictive legends) representing securities to be sold under the registration statement and enable such securities to be in such denominations and registered in such names as the managing underwriter, or agent, if any, or such Holders may request;</w:t>
      </w:r>
    </w:p>
    <w:p>
      <w:pPr>
        <w:spacing w:after="0" w:line="176" w:lineRule="exact"/>
        <w:rPr>
          <w:rFonts w:ascii="Times New Roman" w:cs="Times New Roman" w:eastAsia="Times New Roman" w:hAnsi="Times New Roman"/>
          <w:sz w:val="22"/>
          <w:szCs w:val="22"/>
          <w:color w:val="auto"/>
        </w:rPr>
      </w:pPr>
    </w:p>
    <w:p>
      <w:pPr>
        <w:jc w:val="both"/>
        <w:ind w:left="-240" w:firstLine="789"/>
        <w:spacing w:after="0" w:line="244" w:lineRule="auto"/>
        <w:tabs>
          <w:tab w:leader="none" w:pos="168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each Holder of Registrable Securities covered by the registration statement and each underwriter or agent participating in the disposition of such Registrable Securities and their respective counsel in connection with any filings required to be made with FINRA;</w:t>
      </w:r>
    </w:p>
    <w:p>
      <w:pPr>
        <w:spacing w:after="0" w:line="173" w:lineRule="exact"/>
        <w:rPr>
          <w:rFonts w:ascii="Times New Roman" w:cs="Times New Roman" w:eastAsia="Times New Roman" w:hAnsi="Times New Roman"/>
          <w:sz w:val="22"/>
          <w:szCs w:val="22"/>
          <w:color w:val="auto"/>
        </w:rPr>
      </w:pPr>
    </w:p>
    <w:p>
      <w:pPr>
        <w:jc w:val="both"/>
        <w:ind w:left="-240" w:firstLine="789"/>
        <w:spacing w:after="0" w:line="239" w:lineRule="auto"/>
        <w:tabs>
          <w:tab w:leader="none" w:pos="174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make available the executive officers of the Company to participate with the Holders of Registrable Securities covered by the registration statement and any underwriters in any “road shows” or other selling efforts that may be reasonably requested by the Holders in connection with the methods of distribution for the Registrable Securities;</w:t>
      </w:r>
    </w:p>
    <w:p>
      <w:pPr>
        <w:spacing w:after="0" w:line="180" w:lineRule="exact"/>
        <w:rPr>
          <w:rFonts w:ascii="Times New Roman" w:cs="Times New Roman" w:eastAsia="Times New Roman" w:hAnsi="Times New Roman"/>
          <w:sz w:val="22"/>
          <w:szCs w:val="22"/>
          <w:color w:val="auto"/>
        </w:rPr>
      </w:pPr>
    </w:p>
    <w:p>
      <w:pPr>
        <w:jc w:val="both"/>
        <w:ind w:left="-240" w:firstLine="789"/>
        <w:spacing w:after="0" w:line="239" w:lineRule="auto"/>
        <w:tabs>
          <w:tab w:leader="none" w:pos="162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underwritten Public Offering, use its reasonable best efforts to obtain one or more cold comfort letters from the Company’s independent public accountants in customary form and covering such matters of the type customarily covered by cold comfort letters as the Holders representing a Majority of the Registrable Securities being sold reasonably request;</w:t>
      </w:r>
    </w:p>
    <w:p>
      <w:pPr>
        <w:spacing w:after="0" w:line="180" w:lineRule="exact"/>
        <w:rPr>
          <w:rFonts w:ascii="Times New Roman" w:cs="Times New Roman" w:eastAsia="Times New Roman" w:hAnsi="Times New Roman"/>
          <w:sz w:val="22"/>
          <w:szCs w:val="22"/>
          <w:color w:val="auto"/>
        </w:rPr>
      </w:pPr>
    </w:p>
    <w:p>
      <w:pPr>
        <w:jc w:val="both"/>
        <w:ind w:left="-240" w:firstLine="789"/>
        <w:spacing w:after="0" w:line="239" w:lineRule="auto"/>
        <w:tabs>
          <w:tab w:leader="none" w:pos="156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underwritten Public Offering, use its reasonable best efforts to provide a legal opinion of the Company’s outside counsel, dated the closing date of the Public Offering, in customary form and covering such matters of the type customarily covered by legal opinions of such nature, which opinion shall be addressed to the underwriters and the Holders of such Registrable Securities being sold;</w:t>
      </w:r>
    </w:p>
    <w:p>
      <w:pPr>
        <w:spacing w:after="0" w:line="180" w:lineRule="exact"/>
        <w:rPr>
          <w:rFonts w:ascii="Times New Roman" w:cs="Times New Roman" w:eastAsia="Times New Roman" w:hAnsi="Times New Roman"/>
          <w:sz w:val="22"/>
          <w:szCs w:val="22"/>
          <w:color w:val="auto"/>
        </w:rPr>
      </w:pPr>
    </w:p>
    <w:p>
      <w:pPr>
        <w:jc w:val="both"/>
        <w:ind w:left="-240" w:firstLine="789"/>
        <w:spacing w:after="0" w:line="239" w:lineRule="auto"/>
        <w:tabs>
          <w:tab w:leader="none" w:pos="162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files an Automatic Shelf Registration Statement covering any Registrable Securities, use its reasonable best efforts to remain a WKSI (and not become an ineligible issuer (as defined in Rule 405 under the Securities Act)) during the period during which such Automatic Shelf Registration Statement is required to remain effective;</w:t>
      </w:r>
    </w:p>
    <w:p>
      <w:pPr>
        <w:spacing w:after="0" w:line="18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748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246" w:name="page247"/>
    <w:bookmarkEnd w:id="246"/>
    <w:p>
      <w:pPr>
        <w:jc w:val="both"/>
        <w:ind w:left="880" w:firstLine="789"/>
        <w:spacing w:after="0" w:line="244" w:lineRule="auto"/>
        <w:tabs>
          <w:tab w:leader="none" w:pos="2805"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does not pay the filing fee covering the Registrable Securities at the time an Automatic Shelf Registration Statement is filed, pay such fee at such time or times as the Registrable Securities are to be sold; and</w:t>
      </w:r>
    </w:p>
    <w:p>
      <w:pPr>
        <w:spacing w:after="0" w:line="173" w:lineRule="exact"/>
        <w:rPr>
          <w:rFonts w:ascii="Times New Roman" w:cs="Times New Roman" w:eastAsia="Times New Roman" w:hAnsi="Times New Roman"/>
          <w:sz w:val="22"/>
          <w:szCs w:val="22"/>
          <w:color w:val="auto"/>
        </w:rPr>
      </w:pPr>
    </w:p>
    <w:p>
      <w:pPr>
        <w:jc w:val="both"/>
        <w:ind w:left="880" w:firstLine="789"/>
        <w:spacing w:after="0" w:line="236" w:lineRule="auto"/>
        <w:tabs>
          <w:tab w:leader="none" w:pos="2865"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Automatic Shelf Registration Statement has been outstanding for at least three (3) years, at the end of the third year, file a new Automatic Shelf Registration Statement covering the Registrable Securities, and, if at any time when the Company is required to re-evaluate its WKSI status the Company determines that it is not a WKSI, use its reasonable efforts to refile the Shelf Registration Statement on Form F-3 and, if such form is not available, Form F-1 and keep such registration statement effective during the period during which such registration statement is required to be kept effective.</w:t>
      </w:r>
    </w:p>
    <w:p>
      <w:pPr>
        <w:spacing w:after="0" w:line="181" w:lineRule="exact"/>
        <w:rPr>
          <w:rFonts w:ascii="Times New Roman" w:cs="Times New Roman" w:eastAsia="Times New Roman" w:hAnsi="Times New Roman"/>
          <w:sz w:val="22"/>
          <w:szCs w:val="22"/>
          <w:color w:val="auto"/>
        </w:rPr>
      </w:pPr>
    </w:p>
    <w:p>
      <w:pPr>
        <w:jc w:val="both"/>
        <w:ind w:firstLine="872"/>
        <w:spacing w:after="0" w:line="239" w:lineRule="auto"/>
        <w:tabs>
          <w:tab w:leader="none" w:pos="176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officer of the Company who is a Holder agrees that if and for so long as he or she is employed by the Company or any Subsidiary thereof, he or she shall participate fully in the sale process in a manner customary and reasonable for persons in like positions and consistent with his or her other duties with the Company and in accordance with applicable law, including the preparation of the registration statement and the preparation and presentation of any road shows.</w:t>
      </w:r>
    </w:p>
    <w:p>
      <w:pPr>
        <w:spacing w:after="0" w:line="180" w:lineRule="exact"/>
        <w:rPr>
          <w:rFonts w:ascii="Times New Roman" w:cs="Times New Roman" w:eastAsia="Times New Roman" w:hAnsi="Times New Roman"/>
          <w:sz w:val="22"/>
          <w:szCs w:val="22"/>
          <w:color w:val="auto"/>
        </w:rPr>
      </w:pPr>
    </w:p>
    <w:p>
      <w:pPr>
        <w:jc w:val="both"/>
        <w:ind w:firstLine="872"/>
        <w:spacing w:after="0" w:line="244" w:lineRule="auto"/>
        <w:tabs>
          <w:tab w:leader="none" w:pos="175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require each Holder requesting, or electing to participate in, any registration to furnish the Company such information regarding such Holder and the distribution of such Registrable Securities as the Company may from time to time reasonably request in writing and as is required to effect any such registration.</w:t>
      </w:r>
    </w:p>
    <w:p>
      <w:pPr>
        <w:spacing w:after="0" w:line="173" w:lineRule="exact"/>
        <w:rPr>
          <w:rFonts w:ascii="Times New Roman" w:cs="Times New Roman" w:eastAsia="Times New Roman" w:hAnsi="Times New Roman"/>
          <w:sz w:val="22"/>
          <w:szCs w:val="22"/>
          <w:color w:val="auto"/>
        </w:rPr>
      </w:pPr>
    </w:p>
    <w:p>
      <w:pPr>
        <w:jc w:val="both"/>
        <w:ind w:firstLine="872"/>
        <w:spacing w:after="0" w:line="232" w:lineRule="auto"/>
        <w:tabs>
          <w:tab w:leader="none" w:pos="176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Holders or any of their respective Affiliates seek to effectuate one or more distribution(s), sale(s) or other form of transfer(s) of all or part of their respective Registrable Securities to their respective direct or indirect equityholders, the Company shall, subject to any applicable lock-ups, work with the foregoing persons to facilitate such distribution in the manner reasonably requested, and such distributee shall have the right to become a party to this Agreement by an executed joinder to this Agreement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 “</w:t>
      </w:r>
      <w:r>
        <w:rPr>
          <w:rFonts w:ascii="Times New Roman" w:cs="Times New Roman" w:eastAsia="Times New Roman" w:hAnsi="Times New Roman"/>
          <w:sz w:val="22"/>
          <w:szCs w:val="22"/>
          <w:b w:val="1"/>
          <w:bCs w:val="1"/>
          <w:i w:val="1"/>
          <w:iCs w:val="1"/>
          <w:color w:val="auto"/>
        </w:rPr>
        <w:t>Joinder</w:t>
      </w:r>
      <w:r>
        <w:rPr>
          <w:rFonts w:ascii="Times New Roman" w:cs="Times New Roman" w:eastAsia="Times New Roman" w:hAnsi="Times New Roman"/>
          <w:sz w:val="22"/>
          <w:szCs w:val="22"/>
          <w:color w:val="auto"/>
        </w:rPr>
        <w:t>”) and thereby have all of the rights of such distributing Holder under this Agreement. If the Lead Investor effectuates one or more distribution(s), sale(s) or other form of transfer(s) such that (i) China Resources Verlinvest Health Investment Limited (“</w:t>
      </w:r>
      <w:r>
        <w:rPr>
          <w:rFonts w:ascii="Times New Roman" w:cs="Times New Roman" w:eastAsia="Times New Roman" w:hAnsi="Times New Roman"/>
          <w:sz w:val="22"/>
          <w:szCs w:val="22"/>
          <w:b w:val="1"/>
          <w:bCs w:val="1"/>
          <w:i w:val="1"/>
          <w:iCs w:val="1"/>
          <w:color w:val="auto"/>
        </w:rPr>
        <w:t>CRVH</w:t>
      </w:r>
      <w:r>
        <w:rPr>
          <w:rFonts w:ascii="Times New Roman" w:cs="Times New Roman" w:eastAsia="Times New Roman" w:hAnsi="Times New Roman"/>
          <w:sz w:val="22"/>
          <w:szCs w:val="22"/>
          <w:color w:val="auto"/>
        </w:rPr>
        <w:t>”) holds any of its Registrable Securities directly rather than indirectly through the Lead Investor, then CRVH shall also constitute a Lead Investor and shall, in addition to Nativus Company Limited, have the rights of the Lead Investor under this Agreement or (ii) Verlinvest S.A. (“</w:t>
      </w:r>
      <w:r>
        <w:rPr>
          <w:rFonts w:ascii="Times New Roman" w:cs="Times New Roman" w:eastAsia="Times New Roman" w:hAnsi="Times New Roman"/>
          <w:sz w:val="22"/>
          <w:szCs w:val="22"/>
          <w:b w:val="1"/>
          <w:bCs w:val="1"/>
          <w:i w:val="1"/>
          <w:iCs w:val="1"/>
          <w:color w:val="auto"/>
        </w:rPr>
        <w:t>Verlinvest</w:t>
      </w:r>
      <w:r>
        <w:rPr>
          <w:rFonts w:ascii="Times New Roman" w:cs="Times New Roman" w:eastAsia="Times New Roman" w:hAnsi="Times New Roman"/>
          <w:sz w:val="22"/>
          <w:szCs w:val="22"/>
          <w:color w:val="auto"/>
        </w:rPr>
        <w:t>”) and Blossom Key Holdings Limited (“</w:t>
      </w:r>
      <w:r>
        <w:rPr>
          <w:rFonts w:ascii="Times New Roman" w:cs="Times New Roman" w:eastAsia="Times New Roman" w:hAnsi="Times New Roman"/>
          <w:sz w:val="22"/>
          <w:szCs w:val="22"/>
          <w:b w:val="1"/>
          <w:bCs w:val="1"/>
          <w:i w:val="1"/>
          <w:iCs w:val="1"/>
          <w:color w:val="auto"/>
        </w:rPr>
        <w:t>CRC</w:t>
      </w:r>
      <w:r>
        <w:rPr>
          <w:rFonts w:ascii="Times New Roman" w:cs="Times New Roman" w:eastAsia="Times New Roman" w:hAnsi="Times New Roman"/>
          <w:sz w:val="22"/>
          <w:szCs w:val="22"/>
          <w:color w:val="auto"/>
        </w:rPr>
        <w:t>”), or their respective Affiliates, hold any of their respective Registrable Securities directly rather than indirectly through the Lead Investor, then Verlinvest and CRC shall each constitute a Lead Investor, in addition to Nativus Company Limited, and shall each have the rights of the Lead Investor under this Agreement; provided in the case of (ii), in order to be deemed a Lead Investor under this Agreement (other than under Section 2 and Section 16 of this Agreement, which shall not be subject to the threshold set forth in this proviso), Verlinvest (including its Affiliates) or CRC (including its Affiliates), as applicable, shall beneficially own, in the aggregate, the number of Shares representing at least fifteen percent (15%) of the voting power of the Shares immediately after the IPO (excluding, for purposes of calculating the denominator of such percentage threshold, any (A) unvested or unexercised equity incentive awards, which are not entitled to voting, and (B) Shares resulting from conversion, capitalization or the like of 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7" w:name="page248"/>
    <w:bookmarkEnd w:id="247"/>
    <w:p>
      <w:pPr>
        <w:jc w:val="both"/>
        <w:spacing w:after="0" w:line="238" w:lineRule="auto"/>
        <w:rPr>
          <w:sz w:val="20"/>
          <w:szCs w:val="20"/>
          <w:color w:val="auto"/>
        </w:rPr>
      </w:pPr>
      <w:r>
        <w:rPr>
          <w:rFonts w:ascii="Times New Roman" w:cs="Times New Roman" w:eastAsia="Times New Roman" w:hAnsi="Times New Roman"/>
          <w:sz w:val="22"/>
          <w:szCs w:val="22"/>
          <w:color w:val="auto"/>
        </w:rPr>
        <w:t>loan from any shareholder of the Company or its Affiliates to the Company or its Affiliates), as adjusted appropriately to reflect any share subdivision, combination, consolidation, reverse share split, reclassification, share dividend or share distribution that may have occurred subsequent thereto and for the purposes of calculating the shareholding of Verlinvest or CRC under this proviso, the Shares held by Nativus Company Limited or CRVH shall be deemed as Shares held by Verlinvest or CRC (as the case may be) indirectly based on their respective interest in such Shares.</w:t>
      </w:r>
    </w:p>
    <w:p>
      <w:pPr>
        <w:spacing w:after="0" w:line="177"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Registration Expenses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2"/>
        <w:spacing w:after="0" w:line="245" w:lineRule="auto"/>
        <w:tabs>
          <w:tab w:leader="none" w:pos="1751"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Company’s Obligation</w:t>
      </w:r>
      <w:r>
        <w:rPr>
          <w:rFonts w:ascii="Times New Roman" w:cs="Times New Roman" w:eastAsia="Times New Roman" w:hAnsi="Times New Roman"/>
          <w:sz w:val="21"/>
          <w:szCs w:val="21"/>
          <w:color w:val="auto"/>
        </w:rPr>
        <w:t>. All expenses incident to the Company’s performance of or compliance with this Agreement (including, without limitation, all registration, qualification and filing fees, fees and expenses of compliance with securities or blue sky laws, printing expenses, messenger and delivery expenses, fees and disbursements of custodians, and fees and disbursements of counsel for the Company and all independent certified public accountants, underwriters (excluding underwriting discounts and commissions) and other Persons retained by the Company) (all such expenses being herein called “</w:t>
      </w:r>
      <w:r>
        <w:rPr>
          <w:rFonts w:ascii="Times New Roman" w:cs="Times New Roman" w:eastAsia="Times New Roman" w:hAnsi="Times New Roman"/>
          <w:sz w:val="21"/>
          <w:szCs w:val="21"/>
          <w:b w:val="1"/>
          <w:bCs w:val="1"/>
          <w:i w:val="1"/>
          <w:iCs w:val="1"/>
          <w:color w:val="auto"/>
        </w:rPr>
        <w:t>Registration Expenses</w:t>
      </w:r>
      <w:r>
        <w:rPr>
          <w:rFonts w:ascii="Times New Roman" w:cs="Times New Roman" w:eastAsia="Times New Roman" w:hAnsi="Times New Roman"/>
          <w:sz w:val="21"/>
          <w:szCs w:val="21"/>
          <w:color w:val="auto"/>
        </w:rPr>
        <w:t>”), shall be borne by the Company, and for the avoidance of doubt, the Company shall, in any event, pay its internal expenses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the Company are then listed. Each Person that sells securities pursuant to a Demand Registration or Piggyback Registration hereunder shall bear and pay all underwriting discounts and commissions applicable to the securities sold for such Person’s account.</w:t>
      </w:r>
    </w:p>
    <w:p>
      <w:pPr>
        <w:spacing w:after="0" w:line="177" w:lineRule="exact"/>
        <w:rPr>
          <w:rFonts w:ascii="Times New Roman" w:cs="Times New Roman" w:eastAsia="Times New Roman" w:hAnsi="Times New Roman"/>
          <w:sz w:val="21"/>
          <w:szCs w:val="21"/>
          <w:color w:val="auto"/>
        </w:rPr>
      </w:pPr>
    </w:p>
    <w:p>
      <w:pPr>
        <w:jc w:val="both"/>
        <w:ind w:firstLine="872"/>
        <w:spacing w:after="0" w:line="239" w:lineRule="auto"/>
        <w:tabs>
          <w:tab w:leader="none" w:pos="176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Counsel Fees and Disbursements</w:t>
      </w:r>
      <w:r>
        <w:rPr>
          <w:rFonts w:ascii="Times New Roman" w:cs="Times New Roman" w:eastAsia="Times New Roman" w:hAnsi="Times New Roman"/>
          <w:sz w:val="22"/>
          <w:szCs w:val="22"/>
          <w:color w:val="auto"/>
        </w:rPr>
        <w:t>. In connection with each Demand Registration, each Piggyback Registration and each Shelf Offering, the Company shall reimburse the Holders of Registrable Securities included in such registration for the reasonable fees and disbursements of not more than one law firm (for each of the Lead Investor, if participating in such registration, and the Blackstone Investor, if participating in such registration).</w:t>
      </w:r>
    </w:p>
    <w:p>
      <w:pPr>
        <w:spacing w:after="0" w:line="180"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Indemnification and Contribution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2"/>
        <w:spacing w:after="0" w:line="246" w:lineRule="auto"/>
        <w:tabs>
          <w:tab w:leader="none" w:pos="1751"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By the Company</w:t>
      </w:r>
      <w:r>
        <w:rPr>
          <w:rFonts w:ascii="Times New Roman" w:cs="Times New Roman" w:eastAsia="Times New Roman" w:hAnsi="Times New Roman"/>
          <w:sz w:val="21"/>
          <w:szCs w:val="21"/>
          <w:color w:val="auto"/>
        </w:rPr>
        <w:t>. The Company shall indemnify and hold harmless, to the extent permitted by law, each Holder, such Holder’s officers, directors, managers, employees, partners, stockholders, members, trustees, Affiliates, agents and representatives, and each Person who controls such Holder (within the meaning of the Securities Act) (the “</w:t>
      </w:r>
      <w:r>
        <w:rPr>
          <w:rFonts w:ascii="Times New Roman" w:cs="Times New Roman" w:eastAsia="Times New Roman" w:hAnsi="Times New Roman"/>
          <w:sz w:val="21"/>
          <w:szCs w:val="21"/>
          <w:b w:val="1"/>
          <w:bCs w:val="1"/>
          <w:i w:val="1"/>
          <w:iCs w:val="1"/>
          <w:color w:val="auto"/>
        </w:rPr>
        <w:t>Holder 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 against all losses, claims, actions, damages, liabilities and expenses (including with respect to actions or proceedings,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whether commenced or threatened, and including reasonable attorney fees and expenses) caused by, resulting from, arising out of, based upon or related to any of the following statements, omissions or violations (each a “</w:t>
      </w:r>
      <w:r>
        <w:rPr>
          <w:rFonts w:ascii="Times New Roman" w:cs="Times New Roman" w:eastAsia="Times New Roman" w:hAnsi="Times New Roman"/>
          <w:sz w:val="21"/>
          <w:szCs w:val="21"/>
          <w:b w:val="1"/>
          <w:bCs w:val="1"/>
          <w:i w:val="1"/>
          <w:iCs w:val="1"/>
          <w:color w:val="auto"/>
        </w:rPr>
        <w:t>Violation</w:t>
      </w:r>
      <w:r>
        <w:rPr>
          <w:rFonts w:ascii="Times New Roman" w:cs="Times New Roman" w:eastAsia="Times New Roman" w:hAnsi="Times New Roman"/>
          <w:sz w:val="21"/>
          <w:szCs w:val="21"/>
          <w:color w:val="auto"/>
        </w:rPr>
        <w:t xml:space="preserve">”) by the Company: (i) any untrue or alleged untrue statement of material fact contained in (A) any registration statement, prospectus, preliminary prospectus or Free-Writing Prospectus, or any amendment thereof or supplement thereto or (B) any application or other document or communication (in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collectively called an “</w:t>
      </w:r>
      <w:r>
        <w:rPr>
          <w:rFonts w:ascii="Times New Roman" w:cs="Times New Roman" w:eastAsia="Times New Roman" w:hAnsi="Times New Roman"/>
          <w:sz w:val="21"/>
          <w:szCs w:val="21"/>
          <w:b w:val="1"/>
          <w:bCs w:val="1"/>
          <w:i w:val="1"/>
          <w:iCs w:val="1"/>
          <w:color w:val="auto"/>
        </w:rPr>
        <w:t>application</w:t>
      </w:r>
      <w:r>
        <w:rPr>
          <w:rFonts w:ascii="Times New Roman" w:cs="Times New Roman" w:eastAsia="Times New Roman" w:hAnsi="Times New Roman"/>
          <w:sz w:val="21"/>
          <w:szCs w:val="21"/>
          <w:color w:val="auto"/>
        </w:rPr>
        <w:t>”) executed by or on behalf of the Company or based upon written information furnished by or on behalf of the Company filed in any jurisdiction in order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8" w:name="page249"/>
    <w:bookmarkEnd w:id="248"/>
    <w:p>
      <w:pPr>
        <w:jc w:val="both"/>
        <w:spacing w:after="0" w:line="232" w:lineRule="auto"/>
        <w:rPr>
          <w:sz w:val="20"/>
          <w:szCs w:val="20"/>
          <w:color w:val="auto"/>
        </w:rPr>
      </w:pPr>
      <w:r>
        <w:rPr>
          <w:rFonts w:ascii="Times New Roman" w:cs="Times New Roman" w:eastAsia="Times New Roman" w:hAnsi="Times New Roman"/>
          <w:sz w:val="22"/>
          <w:szCs w:val="22"/>
          <w:color w:val="auto"/>
        </w:rPr>
        <w:t>qualify any securities covered by such registration under the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Holder Indemnified Party for any legal or any other expenses reasonably incurred by them in connection with investigating or defending any such losses. Notwithstanding the foregoing, the Company shall not be liable in any such case to the extent that any such losses result from, arise out of, are based upon, or relate to an untrue statement or alleged untrue statement, or omission or alleged omission, made in such registration statement, any such prospectus, preliminary prospectus or Free-Writing Prospectus or any amendment or supplement thereto, or in any application, in reliance upon, and in conformity with, written information prepared and furnished in writing to the Company by such Holder Indemnified Party expressly for use therein or by such Holder Indemnified Party’s failure to deliver a copy of the registration statement or prospectus or any amendments or supplements thereto after the Company has furnished such Holder Indemnified Party with a sufficient number of copies of the same. In connection with an underwritten offering, the Company shall indemnify such underwriters, their officers and directors, and each Person who controls such underwriters (within the meaning of the Securities Act) to the same extent as provided above with respect to the indemnification of the Holder Indemnified Parties.</w:t>
      </w:r>
    </w:p>
    <w:p>
      <w:pPr>
        <w:spacing w:after="0" w:line="191" w:lineRule="exact"/>
        <w:rPr>
          <w:sz w:val="20"/>
          <w:szCs w:val="20"/>
          <w:color w:val="auto"/>
        </w:rPr>
      </w:pPr>
    </w:p>
    <w:p>
      <w:pPr>
        <w:jc w:val="both"/>
        <w:ind w:firstLine="872"/>
        <w:spacing w:after="0" w:line="233" w:lineRule="auto"/>
        <w:tabs>
          <w:tab w:leader="none" w:pos="176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Each Holder</w:t>
      </w:r>
      <w:r>
        <w:rPr>
          <w:rFonts w:ascii="Times New Roman" w:cs="Times New Roman" w:eastAsia="Times New Roman" w:hAnsi="Times New Roman"/>
          <w:sz w:val="22"/>
          <w:szCs w:val="22"/>
          <w:color w:val="auto"/>
        </w:rPr>
        <w:t xml:space="preserve">. In connection with any registration statement in which a Holder is participating, each such Holder shall furnish to the Company in writing such information as the Company reasonably requests which is required for use in connection with any such registration statement or prospectus and, to the extent permitted by law, shall indemnify the Company, its officers, directors, managers, employees, agents and representatives, and each Person who controls the Company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obligation to indemnify shall be individual, not joint and several, for each Holder and shall be limited to the net amount of proceeds received by such Holder from the sale of Registrable Securities pursuant to such registration statement.</w:t>
      </w:r>
    </w:p>
    <w:p>
      <w:pPr>
        <w:spacing w:after="0" w:line="187" w:lineRule="exact"/>
        <w:rPr>
          <w:rFonts w:ascii="Times New Roman" w:cs="Times New Roman" w:eastAsia="Times New Roman" w:hAnsi="Times New Roman"/>
          <w:sz w:val="22"/>
          <w:szCs w:val="22"/>
          <w:color w:val="auto"/>
        </w:rPr>
      </w:pPr>
    </w:p>
    <w:p>
      <w:pPr>
        <w:jc w:val="both"/>
        <w:ind w:firstLine="872"/>
        <w:spacing w:after="0" w:line="235" w:lineRule="auto"/>
        <w:tabs>
          <w:tab w:leader="none" w:pos="175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 Procedure</w:t>
      </w:r>
      <w:r>
        <w:rPr>
          <w:rFonts w:ascii="Times New Roman" w:cs="Times New Roman" w:eastAsia="Times New Roman" w:hAnsi="Times New Roman"/>
          <w:sz w:val="22"/>
          <w:szCs w:val="22"/>
          <w:color w:val="auto"/>
        </w:rPr>
        <w:t>. Any Person entitled to indemnification hereunder shall (i) give prompt written notice to the indemnifying party of any claim with respect to which it seeks indemnification (provided that the failure to give prompt notice shall impair any Person’s right to indemnification hereunder only to the extent such failure has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9" w:name="page250"/>
    <w:bookmarkEnd w:id="249"/>
    <w:p>
      <w:pPr>
        <w:jc w:val="both"/>
        <w:spacing w:after="0" w:line="236" w:lineRule="auto"/>
        <w:rPr>
          <w:sz w:val="20"/>
          <w:szCs w:val="20"/>
          <w:color w:val="auto"/>
        </w:rPr>
      </w:pPr>
      <w:r>
        <w:rPr>
          <w:rFonts w:ascii="Times New Roman" w:cs="Times New Roman" w:eastAsia="Times New Roman" w:hAnsi="Times New Roman"/>
          <w:sz w:val="22"/>
          <w:szCs w:val="22"/>
          <w:color w:val="auto"/>
        </w:rPr>
        <w:t>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shall have a right to retain one separate counsel, chosen by the Holders representing a Majority of the Registrable Securities included in the registration by such Holders that are conflicted indemnified parties, at the expense of the indemnifying party.</w:t>
      </w:r>
    </w:p>
    <w:p>
      <w:pPr>
        <w:spacing w:after="0" w:line="181" w:lineRule="exact"/>
        <w:rPr>
          <w:sz w:val="20"/>
          <w:szCs w:val="20"/>
          <w:color w:val="auto"/>
        </w:rPr>
      </w:pPr>
    </w:p>
    <w:p>
      <w:pPr>
        <w:jc w:val="both"/>
        <w:ind w:firstLine="872"/>
        <w:spacing w:after="0" w:line="232" w:lineRule="auto"/>
        <w:tabs>
          <w:tab w:leader="none" w:pos="176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xml:space="preserve">. If the indemnification provided for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is held by a court of competent jurisdiction to be unavailable to, or is insufficient to hold harmless, an indemnified party or is otherwise unenforceable with respect to any loss, claim, damage, liability or action referred to herein, then the indemnifying party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hand in connection with the statements or omissions which resulted in such loss, claim, damage, liability or action as well as any other relevant equitable considerations; provided that the maximum amount of liability in respect of such contribution shall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7(d)</w:t>
      </w:r>
      <w:r>
        <w:rPr>
          <w:rFonts w:ascii="Times New Roman" w:cs="Times New Roman" w:eastAsia="Times New Roman" w:hAnsi="Times New Roman"/>
          <w:sz w:val="22"/>
          <w:szCs w:val="22"/>
          <w:color w:val="auto"/>
        </w:rPr>
        <w:t xml:space="preserve"> were to be determined by pro rata allocation or by any other method of allocation that does not take into account such equitable considerations. The amount paid or payable by an indemnified party as a result of the losses, claims, damages, liabilities or expenses referred to herein shall be deemed to include any legal or other expenses reasonably incurred by such indemnified party in connection with investigating or defending against any action or claim which is the subject hereof. No person guilty of fraudulent misrepresentation (within the meaning of Section 11(t) of the Securities Act) shall be entitled to contribution from any Person who is not guilty of such fraudulent misrepresentation.</w:t>
      </w:r>
    </w:p>
    <w:p>
      <w:pPr>
        <w:spacing w:after="0" w:line="186" w:lineRule="exact"/>
        <w:rPr>
          <w:rFonts w:ascii="Times New Roman" w:cs="Times New Roman" w:eastAsia="Times New Roman" w:hAnsi="Times New Roman"/>
          <w:sz w:val="22"/>
          <w:szCs w:val="22"/>
          <w:color w:val="auto"/>
        </w:rPr>
      </w:pPr>
    </w:p>
    <w:p>
      <w:pPr>
        <w:jc w:val="both"/>
        <w:ind w:firstLine="872"/>
        <w:spacing w:after="0" w:line="236" w:lineRule="auto"/>
        <w:tabs>
          <w:tab w:leader="none" w:pos="175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No indemnifying party shall,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 Notwithstanding anything to the contrary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an indemnifying party shall not be liable for any amounts paid in settlement of any loss, claim, damage, liability, or action if such settlement is effected without the consent of the indemnifying party, such consent not to be unreasonably withheld, conditioned or delayed.</w:t>
      </w:r>
    </w:p>
    <w:p>
      <w:pPr>
        <w:spacing w:after="0" w:line="181" w:lineRule="exact"/>
        <w:rPr>
          <w:rFonts w:ascii="Times New Roman" w:cs="Times New Roman" w:eastAsia="Times New Roman" w:hAnsi="Times New Roman"/>
          <w:sz w:val="22"/>
          <w:szCs w:val="22"/>
          <w:color w:val="auto"/>
        </w:rPr>
      </w:pPr>
    </w:p>
    <w:p>
      <w:pPr>
        <w:jc w:val="both"/>
        <w:ind w:firstLine="872"/>
        <w:spacing w:after="0" w:line="239" w:lineRule="auto"/>
        <w:tabs>
          <w:tab w:leader="none" w:pos="172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Non-exclusive Remedy; Survival</w:t>
      </w:r>
      <w:r>
        <w:rPr>
          <w:rFonts w:ascii="Times New Roman" w:cs="Times New Roman" w:eastAsia="Times New Roman" w:hAnsi="Times New Roman"/>
          <w:sz w:val="22"/>
          <w:szCs w:val="22"/>
          <w:color w:val="auto"/>
        </w:rPr>
        <w:t>. The indemnification and contribution provided for under this Agreement shall be in addition to any other rights to indemnification or contribution that any indemnified party may have pursuant to law or contract and shall remain in full force and effect regardless of any investigation made by or on behalf of the indemnified party or any officer,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0" w:name="page251"/>
    <w:bookmarkEnd w:id="250"/>
    <w:p>
      <w:pPr>
        <w:jc w:val="both"/>
        <w:spacing w:after="0" w:line="239" w:lineRule="auto"/>
        <w:rPr>
          <w:sz w:val="20"/>
          <w:szCs w:val="20"/>
          <w:color w:val="auto"/>
        </w:rPr>
      </w:pPr>
      <w:r>
        <w:rPr>
          <w:rFonts w:ascii="Times New Roman" w:cs="Times New Roman" w:eastAsia="Times New Roman" w:hAnsi="Times New Roman"/>
          <w:sz w:val="22"/>
          <w:szCs w:val="22"/>
          <w:color w:val="auto"/>
        </w:rPr>
        <w:t>director or controlling Person of such indemnified party and shall survive the transfer of Registrable Securities and the termination or expiration of this Agreement.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0"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u w:val="single" w:color="auto"/>
          <w:color w:val="auto"/>
        </w:rPr>
        <w:t>Underwritten Registrations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2"/>
        <w:spacing w:after="0" w:line="233" w:lineRule="auto"/>
        <w:tabs>
          <w:tab w:leader="none" w:pos="175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xml:space="preserve">. No Person may participate in any Public Offering hereunder which is underwritten unless such Person (i) agrees to sell such Person’s securities on the basis provided in any underwriting arrangements approved by the Person or Persons entitled hereunder to approve such arrangements (including, without limitation, pursuant to any over-allotment or “green shoe” option requested by the underwriters; provided that no Holder shall be required to sell more than the number of Registrable Securities such Holder has requested to include) and (ii) completes and executes all questionnaires, powers of attorney, indemnities, underwriting agreements, custody agreements and other documents required under the terms of such underwriting arrangements. Each Holder shall execute and deliver such other agreements as may be reasonably requested by the Company and the lead managing underwriter(s) that are consistent with such Holder’s obligations under </w:t>
      </w:r>
      <w:r>
        <w:rPr>
          <w:rFonts w:ascii="Times New Roman" w:cs="Times New Roman" w:eastAsia="Times New Roman" w:hAnsi="Times New Roman"/>
          <w:sz w:val="22"/>
          <w:szCs w:val="22"/>
          <w:b w:val="1"/>
          <w:bCs w:val="1"/>
          <w:u w:val="single" w:color="auto"/>
          <w:color w:val="auto"/>
        </w:rPr>
        <w:t>Error! Reference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source not found.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that are necessary to give further effect thereto. To the extent that any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is entered into pursuant to, and consistent with, </w:t>
      </w:r>
      <w:r>
        <w:rPr>
          <w:rFonts w:ascii="Times New Roman" w:cs="Times New Roman" w:eastAsia="Times New Roman" w:hAnsi="Times New Roman"/>
          <w:sz w:val="22"/>
          <w:szCs w:val="22"/>
          <w:b w:val="1"/>
          <w:bCs w:val="1"/>
          <w:u w:val="single" w:color="auto"/>
          <w:color w:val="auto"/>
        </w:rPr>
        <w:t>Error! Reference source not found.</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the respective rights and obligations created under such agreement shall supersede the respective rights and obligations of the Holders, the Company and the underwriters created pursuant to this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872"/>
        <w:spacing w:after="0" w:line="239" w:lineRule="auto"/>
        <w:tabs>
          <w:tab w:leader="none" w:pos="176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Price and Underwriting Discounts</w:t>
      </w:r>
      <w:r>
        <w:rPr>
          <w:rFonts w:ascii="Times New Roman" w:cs="Times New Roman" w:eastAsia="Times New Roman" w:hAnsi="Times New Roman"/>
          <w:sz w:val="22"/>
          <w:szCs w:val="22"/>
          <w:color w:val="auto"/>
        </w:rPr>
        <w:t>. In the case of an underwritten Demand Registration or Underwritten Takedown requested by the Holders pursuant to this Agreement, the price, underwriting discount and other financial terms of the related underwriting agreement for the Registrable Securities shall be determined by the Holders representing a Majority of the Registrable Securities included in such underwritten offering.</w:t>
      </w:r>
    </w:p>
    <w:p>
      <w:pPr>
        <w:spacing w:after="0" w:line="180" w:lineRule="exact"/>
        <w:rPr>
          <w:rFonts w:ascii="Times New Roman" w:cs="Times New Roman" w:eastAsia="Times New Roman" w:hAnsi="Times New Roman"/>
          <w:sz w:val="22"/>
          <w:szCs w:val="22"/>
          <w:color w:val="auto"/>
        </w:rPr>
      </w:pPr>
    </w:p>
    <w:p>
      <w:pPr>
        <w:jc w:val="both"/>
        <w:ind w:firstLine="872"/>
        <w:spacing w:after="0" w:line="234" w:lineRule="auto"/>
        <w:tabs>
          <w:tab w:leader="none" w:pos="175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Suspended Distributions</w:t>
      </w:r>
      <w:r>
        <w:rPr>
          <w:rFonts w:ascii="Times New Roman" w:cs="Times New Roman" w:eastAsia="Times New Roman" w:hAnsi="Times New Roman"/>
          <w:sz w:val="22"/>
          <w:szCs w:val="22"/>
          <w:color w:val="auto"/>
        </w:rPr>
        <w:t xml:space="preserve">. Each Person that is participating in any registration under this Agreement, upon receipt of any notice from the Company of the happening of any event of the kind described in </w:t>
      </w:r>
      <w:r>
        <w:rPr>
          <w:rFonts w:ascii="Times New Roman" w:cs="Times New Roman" w:eastAsia="Times New Roman" w:hAnsi="Times New Roman"/>
          <w:sz w:val="22"/>
          <w:szCs w:val="22"/>
          <w:u w:val="single" w:color="auto"/>
          <w:color w:val="auto"/>
        </w:rPr>
        <w:t>Section 5(a)(vi)(B)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shall immediately discontinue the disposition of its Registrable Securities pursuant to the registration statement until such Person’s receipt of the copies of a supplemented or amended prospectus as contemplated by </w:t>
      </w:r>
      <w:r>
        <w:rPr>
          <w:rFonts w:ascii="Times New Roman" w:cs="Times New Roman" w:eastAsia="Times New Roman" w:hAnsi="Times New Roman"/>
          <w:sz w:val="22"/>
          <w:szCs w:val="22"/>
          <w:u w:val="single" w:color="auto"/>
          <w:color w:val="auto"/>
        </w:rPr>
        <w:t>Section 5(a)(vi)</w:t>
      </w:r>
      <w:r>
        <w:rPr>
          <w:rFonts w:ascii="Times New Roman" w:cs="Times New Roman" w:eastAsia="Times New Roman" w:hAnsi="Times New Roman"/>
          <w:sz w:val="22"/>
          <w:szCs w:val="22"/>
          <w:color w:val="auto"/>
        </w:rPr>
        <w:t xml:space="preserve">. In the event the Company has given any such notice, the applicable time period set forth in </w:t>
      </w:r>
      <w:r>
        <w:rPr>
          <w:rFonts w:ascii="Times New Roman" w:cs="Times New Roman" w:eastAsia="Times New Roman" w:hAnsi="Times New Roman"/>
          <w:sz w:val="22"/>
          <w:szCs w:val="22"/>
          <w:u w:val="single" w:color="auto"/>
          <w:color w:val="auto"/>
        </w:rPr>
        <w:t>Section 5(a)(iii)</w:t>
      </w:r>
      <w:r>
        <w:rPr>
          <w:rFonts w:ascii="Times New Roman" w:cs="Times New Roman" w:eastAsia="Times New Roman" w:hAnsi="Times New Roman"/>
          <w:sz w:val="22"/>
          <w:szCs w:val="22"/>
          <w:color w:val="auto"/>
        </w:rPr>
        <w:t xml:space="preserve"> during which a registration statement is to remain effective shall be extended by the number of days during the period from and including the date of the giving of such notice pursuant to this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to and including the date when each seller of Registrable Securities covered by such registration statement shall have received the copies of the supplemented or amended prospectus contemplated by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Additional Parties; Joinder</w:t>
      </w:r>
      <w:r>
        <w:rPr>
          <w:rFonts w:ascii="Times New Roman" w:cs="Times New Roman" w:eastAsia="Times New Roman" w:hAnsi="Times New Roman"/>
          <w:sz w:val="22"/>
          <w:szCs w:val="22"/>
          <w:color w:val="auto"/>
        </w:rPr>
        <w:t>. Subject to the prior written consent of the Lead Investor and, for so long as the Blackstone Investor holds at least 50% of the Registrable Securities owned by the Blackstone Investor as of the date hereof, the Blackstone Investor, the Company may make any Person who acquires Shares or rights to acquire Shares from the Company after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1" w:name="page252"/>
    <w:bookmarkEnd w:id="251"/>
    <w:p>
      <w:pPr>
        <w:jc w:val="both"/>
        <w:spacing w:after="0" w:line="236" w:lineRule="auto"/>
        <w:rPr>
          <w:sz w:val="20"/>
          <w:szCs w:val="20"/>
          <w:color w:val="auto"/>
        </w:rPr>
      </w:pPr>
      <w:r>
        <w:rPr>
          <w:rFonts w:ascii="Times New Roman" w:cs="Times New Roman" w:eastAsia="Times New Roman" w:hAnsi="Times New Roman"/>
          <w:sz w:val="22"/>
          <w:szCs w:val="22"/>
          <w:color w:val="auto"/>
        </w:rPr>
        <w:t>date hereof a party to this Agreement (each such Person, an “</w:t>
      </w:r>
      <w:r>
        <w:rPr>
          <w:rFonts w:ascii="Times New Roman" w:cs="Times New Roman" w:eastAsia="Times New Roman" w:hAnsi="Times New Roman"/>
          <w:sz w:val="22"/>
          <w:szCs w:val="22"/>
          <w:b w:val="1"/>
          <w:bCs w:val="1"/>
          <w:i w:val="1"/>
          <w:iCs w:val="1"/>
          <w:color w:val="auto"/>
        </w:rPr>
        <w:t>Additional Holder</w:t>
      </w:r>
      <w:r>
        <w:rPr>
          <w:rFonts w:ascii="Times New Roman" w:cs="Times New Roman" w:eastAsia="Times New Roman" w:hAnsi="Times New Roman"/>
          <w:sz w:val="22"/>
          <w:szCs w:val="22"/>
          <w:color w:val="auto"/>
        </w:rPr>
        <w:t xml:space="preserve">”) and to succeed to all of the rights and obligations of a Holder under this Agreement by obtaining a Joinder from such Additional Holder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Upon the execution and delivery of a Joinder by such Additional Holder, the Shares (or Shares to be issued upon the conversion of the undersigned’s shares convertible into Shares) of the Company acquired by such Additional Holder (the “</w:t>
      </w:r>
      <w:r>
        <w:rPr>
          <w:rFonts w:ascii="Times New Roman" w:cs="Times New Roman" w:eastAsia="Times New Roman" w:hAnsi="Times New Roman"/>
          <w:sz w:val="22"/>
          <w:szCs w:val="22"/>
          <w:b w:val="1"/>
          <w:bCs w:val="1"/>
          <w:i w:val="1"/>
          <w:iCs w:val="1"/>
          <w:color w:val="auto"/>
        </w:rPr>
        <w:t>Acquired Shares</w:t>
      </w:r>
      <w:r>
        <w:rPr>
          <w:rFonts w:ascii="Times New Roman" w:cs="Times New Roman" w:eastAsia="Times New Roman" w:hAnsi="Times New Roman"/>
          <w:sz w:val="22"/>
          <w:szCs w:val="22"/>
          <w:color w:val="auto"/>
        </w:rPr>
        <w:t>”) shall be Registrable Securities to the extent provided herein, such Additional Holder shall be a Holder under this Agreement with respect to the Acquired Shares, and the Company shall add such Additional Holder’s name and address to the Schedule of Holders and circulate such information to the parties to this Agreement.</w:t>
      </w:r>
    </w:p>
    <w:p>
      <w:pPr>
        <w:spacing w:after="0" w:line="182"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Rule 144</w:t>
      </w:r>
      <w:r>
        <w:rPr>
          <w:rFonts w:ascii="Times New Roman" w:cs="Times New Roman" w:eastAsia="Times New Roman" w:hAnsi="Times New Roman"/>
          <w:sz w:val="21"/>
          <w:szCs w:val="21"/>
          <w:color w:val="auto"/>
        </w:rPr>
        <w:t>. At all times after the Company has filed a registration statement with the Securities and Exchange Commission pursuant to the requirements of either the Securities Act or the Exchange Act, the Company shall (i) make and keep public information available, as those terms are understood and defined in Rule 144, at all times after the effective date of the IPO, (ii) file all reports and other documents required to be filed by it under the Securities Act and the Exchange Act, (iii) furnish to any Holder, so long as the Holder owns any Registrable Securities, forthwith upon request (A) to the extent accurate, a written statement by the Company that it has complied with the reporting requirements of Rule 144 (at any time after ninety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F 3 (at any time after it so qualifies), (B) a copy of the most recent annual or quarterly report of the Company and such other reports and documents so filed by the Company, which may be furnished through the Company’s filing on the Securities and Exchange Commission’s EDGAR site, and (C) such other information as may be reasonably requested to avail any Holder of any rule or regulation of the Securities and Exchange Commission that permits the selling of any such securities without registration (at any time after the Company has become subject to the reporting requirements under the Securities Act or pursuant to Form F-3 (at any time after the Company so qualifies to use such form)), and (iv) shall take such further action as any Holder may reasonably request, including (x) instructing the transfer agent for the Registrable Securities to remove restrictive legends from any Registrable Securities sold pursuant to Rule 144 (to the extent such removal is permitted under Rule 144 and other applicable law), and (y) cooperating with the Holder of such Registrable Securities to facilitate the transfer of such securities through the facilities of The Depository Trust Company, in such amounts and credited to such accounts as such Holder may request (or, if applicable, the preparation and delivery of certificates representing such securities, in such denominations and registered in such names as such Holder may request), all to the extent required to enable the Holders to sell Registrable Securities pursuant to Rule 144. Upon request, the Company shall deliver to any Holder a written statement as to whether it has complied with such requirements.</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ADS Conversion</w:t>
      </w:r>
      <w:r>
        <w:rPr>
          <w:rFonts w:ascii="Times New Roman" w:cs="Times New Roman" w:eastAsia="Times New Roman" w:hAnsi="Times New Roman"/>
          <w:sz w:val="22"/>
          <w:szCs w:val="22"/>
          <w:color w:val="auto"/>
        </w:rPr>
        <w:t>. To the extent not prohibited by applicable laws, upon written request by any Holder, the Company will use reasonable efforts to facilitate and (if required) approve or consent to the deposit of any or all of the Shares of the Holder with the depositary for the issuance of ADSs (free of any restrictive legend) in accordance with the applicable deposit agreement in connection with the Company’s ADS program. Without limiting the generality of the foregoing, to the extent permitted by applicable laws, the Company agrees to execute, deliver and provide such instrument or document, and carry out any other necessary 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2"/>
          <w:szCs w:val="22"/>
          <w:color w:val="auto"/>
        </w:rPr>
        <w:t>appropriate action, as may be reasonably requested or required by the depositary, the Holder or its securities broker.</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Subsidiary Public Offering</w:t>
      </w:r>
      <w:r>
        <w:rPr>
          <w:rFonts w:ascii="Times New Roman" w:cs="Times New Roman" w:eastAsia="Times New Roman" w:hAnsi="Times New Roman"/>
          <w:sz w:val="22"/>
          <w:szCs w:val="22"/>
          <w:color w:val="auto"/>
        </w:rPr>
        <w:t xml:space="preserve">. If, after an initial Public Offering of the Capital Stock of one of its Subsidiaries (including the Company), the Company distributes securities of such Subsidiary to its equityholders, then the rights and obligations of the Company pursuant to this Agreement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to such Subsidiary, and the Company shall cause such Subsidiary to comply with such Subsidiary’s obligations under this Agreement.</w:t>
      </w:r>
    </w:p>
    <w:p>
      <w:pPr>
        <w:spacing w:after="0" w:line="157"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13.</w:t>
            </w:r>
          </w:p>
        </w:tc>
        <w:tc>
          <w:tcPr>
            <w:tcW w:w="1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RESERVED.</w:t>
            </w:r>
          </w:p>
        </w:tc>
      </w:tr>
      <w:tr>
        <w:trPr>
          <w:trHeight w:val="20"/>
        </w:trPr>
        <w:tc>
          <w:tcPr>
            <w:tcW w:w="1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Section 14.</w:t>
            </w:r>
          </w:p>
        </w:tc>
        <w:tc>
          <w:tcPr>
            <w:tcW w:w="15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6"/>
              </w:rPr>
              <w:t>MNPI Provisions.</w:t>
            </w:r>
          </w:p>
        </w:tc>
      </w:tr>
      <w:tr>
        <w:trPr>
          <w:trHeight w:val="20"/>
        </w:trPr>
        <w:tc>
          <w:tcPr>
            <w:tcW w:w="1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872"/>
        <w:spacing w:after="0" w:line="239" w:lineRule="auto"/>
        <w:tabs>
          <w:tab w:leader="none" w:pos="175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acknowledges that the provisions of this Agreement that require communications by the Company or other Holders to such Holder may result in such Holder and its Representatives (as defined below) acquiring MNPI (which may include, solely by way of illustration, the fact that an offering of the Company’s securities is pending or the number of Company securities or the identity of the selling Holders).</w:t>
      </w:r>
    </w:p>
    <w:p>
      <w:pPr>
        <w:spacing w:after="0" w:line="180" w:lineRule="exact"/>
        <w:rPr>
          <w:rFonts w:ascii="Times New Roman" w:cs="Times New Roman" w:eastAsia="Times New Roman" w:hAnsi="Times New Roman"/>
          <w:sz w:val="22"/>
          <w:szCs w:val="22"/>
          <w:color w:val="auto"/>
        </w:rPr>
      </w:pPr>
    </w:p>
    <w:p>
      <w:pPr>
        <w:jc w:val="both"/>
        <w:ind w:firstLine="872"/>
        <w:spacing w:after="0" w:line="233" w:lineRule="auto"/>
        <w:tabs>
          <w:tab w:leader="none" w:pos="176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agrees that it will maintain the confidentiality of such MNPI and, to the extent such Holder is not a natural person, such confidential treatment shall be in accordance with procedures adopted by it in good faith to protect confidential information of third parties delivered to such Holder (“</w:t>
      </w:r>
      <w:r>
        <w:rPr>
          <w:rFonts w:ascii="Times New Roman" w:cs="Times New Roman" w:eastAsia="Times New Roman" w:hAnsi="Times New Roman"/>
          <w:sz w:val="22"/>
          <w:szCs w:val="22"/>
          <w:b w:val="1"/>
          <w:bCs w:val="1"/>
          <w:i w:val="1"/>
          <w:iCs w:val="1"/>
          <w:color w:val="auto"/>
        </w:rPr>
        <w:t>Policies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Holder may deliver or disclose MNPI to (i) its directors, officers, employees, agents, attorneys, affiliates and financial and other advisors, but solely to the extent such disclosure reasonably relates to its evaluation of exercise of its rights under this Agreement and the sale of any Registrable Securities in connection with the subject of the notice,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in the case of clause (i), the recipients of such MNPI are subject to the Policies or agree to hold confidential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MNPI in a manner substantially consistent with the terms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that in the case of clauses (ii) through (v), such disclosure is required by law and such Holder shall promptly notify the Company of such disclosure to the extent such Holder is legally permitted to give such notice.</w:t>
      </w:r>
    </w:p>
    <w:p>
      <w:pPr>
        <w:spacing w:after="0" w:line="184" w:lineRule="exact"/>
        <w:rPr>
          <w:rFonts w:ascii="Times New Roman" w:cs="Times New Roman" w:eastAsia="Times New Roman" w:hAnsi="Times New Roman"/>
          <w:sz w:val="22"/>
          <w:szCs w:val="22"/>
          <w:color w:val="auto"/>
        </w:rPr>
      </w:pPr>
    </w:p>
    <w:p>
      <w:pPr>
        <w:jc w:val="both"/>
        <w:ind w:firstLine="872"/>
        <w:spacing w:after="0" w:line="234" w:lineRule="auto"/>
        <w:tabs>
          <w:tab w:leader="none" w:pos="175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shall have the right, at any time and from time to time (including after receiving information regarding any potential Public Offering), to elect to not receive any notice that the Company or any other Holders otherwise are required to deliver pursuant to this Agreement by delivering to the Company a written statement signed by such Holder that it does not want to receive any notices hereunder (an “</w:t>
      </w:r>
      <w:r>
        <w:rPr>
          <w:rFonts w:ascii="Times New Roman" w:cs="Times New Roman" w:eastAsia="Times New Roman" w:hAnsi="Times New Roman"/>
          <w:sz w:val="22"/>
          <w:szCs w:val="22"/>
          <w:b w:val="1"/>
          <w:bCs w:val="1"/>
          <w:i w:val="1"/>
          <w:iCs w:val="1"/>
          <w:color w:val="auto"/>
        </w:rPr>
        <w:t>Opt-Out Request</w:t>
      </w:r>
      <w:r>
        <w:rPr>
          <w:rFonts w:ascii="Times New Roman" w:cs="Times New Roman" w:eastAsia="Times New Roman" w:hAnsi="Times New Roman"/>
          <w:sz w:val="22"/>
          <w:szCs w:val="22"/>
          <w:color w:val="auto"/>
        </w:rPr>
        <w:t xml:space="preserve">”);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MNPI.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each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3" w:name="page254"/>
    <w:bookmarkEnd w:id="253"/>
    <w:p>
      <w:pPr>
        <w:ind w:right="20"/>
        <w:spacing w:after="0" w:line="258" w:lineRule="auto"/>
        <w:rPr>
          <w:sz w:val="20"/>
          <w:szCs w:val="20"/>
          <w:color w:val="auto"/>
        </w:rPr>
      </w:pPr>
      <w:r>
        <w:rPr>
          <w:rFonts w:ascii="Times New Roman" w:cs="Times New Roman" w:eastAsia="Times New Roman" w:hAnsi="Times New Roman"/>
          <w:sz w:val="22"/>
          <w:szCs w:val="22"/>
          <w:color w:val="auto"/>
        </w:rPr>
        <w:t>Holder shall use commercially reasonable efforts to minimize the administrative burden on the Company arising in connection with any such Opt-Out Requests.</w:t>
      </w:r>
    </w:p>
    <w:p>
      <w:pPr>
        <w:spacing w:after="0" w:line="158" w:lineRule="exact"/>
        <w:rPr>
          <w:sz w:val="20"/>
          <w:szCs w:val="20"/>
          <w:color w:val="auto"/>
        </w:rPr>
      </w:pPr>
    </w:p>
    <w:p>
      <w:pPr>
        <w:ind w:left="88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2"/>
          <w:szCs w:val="22"/>
          <w:u w:val="single" w:color="auto"/>
          <w:color w:val="auto"/>
        </w:rPr>
        <w:t>Termination of Registration Rights</w:t>
      </w:r>
      <w:r>
        <w:rPr>
          <w:rFonts w:ascii="Times New Roman" w:cs="Times New Roman" w:eastAsia="Times New Roman" w:hAnsi="Times New Roman"/>
          <w:sz w:val="22"/>
          <w:szCs w:val="22"/>
          <w:color w:val="auto"/>
        </w:rPr>
        <w:t>. The right of any Holder to request registration or inclusion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Registrable Securities in any registration pursuant to Section 2 or Section 3 terminate upon the earliest to occur of:</w:t>
      </w:r>
    </w:p>
    <w:p>
      <w:pPr>
        <w:spacing w:after="0" w:line="182" w:lineRule="exact"/>
        <w:rPr>
          <w:sz w:val="20"/>
          <w:szCs w:val="20"/>
          <w:color w:val="auto"/>
        </w:rPr>
      </w:pPr>
    </w:p>
    <w:p>
      <w:pPr>
        <w:ind w:right="20" w:firstLine="872"/>
        <w:spacing w:after="0" w:line="258" w:lineRule="auto"/>
        <w:tabs>
          <w:tab w:leader="none" w:pos="175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following a Public Offering, all of such Holder’s Registrable Securities may be disposed of pursuant to Rule 144 in a single transaction without volume limitation or other restrictions on transfer thereunder; or</w:t>
      </w:r>
    </w:p>
    <w:p>
      <w:pPr>
        <w:spacing w:after="0" w:line="158"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fifth anniversary of the IPO.</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Preferential Participation Rights</w:t>
      </w:r>
      <w:r>
        <w:rPr>
          <w:rFonts w:ascii="Times New Roman" w:cs="Times New Roman" w:eastAsia="Times New Roman" w:hAnsi="Times New Roman"/>
          <w:sz w:val="22"/>
          <w:szCs w:val="22"/>
          <w:color w:val="auto"/>
        </w:rPr>
        <w:t>. If any shareholder of the Company has more preferential participation or registration rights, either at or after the IPO, than the Lead Investor, then the Company shall ensure that the Lead Investor and the Blackstone Investor will each be automatically granted such preferential rights to the extent permitted under applicable law.</w:t>
      </w:r>
    </w:p>
    <w:p>
      <w:pPr>
        <w:spacing w:after="0" w:line="180" w:lineRule="exact"/>
        <w:rPr>
          <w:sz w:val="20"/>
          <w:szCs w:val="20"/>
          <w:color w:val="auto"/>
        </w:rPr>
      </w:pPr>
    </w:p>
    <w:p>
      <w:pPr>
        <w:ind w:left="88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72"/>
        <w:spacing w:after="0" w:line="233" w:lineRule="auto"/>
        <w:tabs>
          <w:tab w:leader="none" w:pos="175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xml:space="preserve">. Except as otherwise provided herein, the provisions of this Agreement may be amended, modified, terminated or waived only with the prior written consent of the Company, the Lead Investor and, for so long as the Blackstone Investor holds at least 50% of the Shares owned by the Blackstone Investor as of the date hereof, the Blackstone Investor;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amendment, modification, termination or waiver that would materially and adversely affect a 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accession by Additional Holders to this Agreement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not be deemed to adversely affect any Holder), shall be effective against such Holder without the consent of such Holder that is materially and adversely affected thereby. The failure or delay of any Person to enforce any of the provisions of this Agreement shall in no way be construed as a waiver of such provisions and shall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shall not be deemed to be a consent or waiver to or of any other breach or default in the performance by that Person of the same or any other obligations of that Person under this Agreement.</w:t>
      </w:r>
    </w:p>
    <w:p>
      <w:pPr>
        <w:spacing w:after="0" w:line="184" w:lineRule="exact"/>
        <w:rPr>
          <w:rFonts w:ascii="Times New Roman" w:cs="Times New Roman" w:eastAsia="Times New Roman" w:hAnsi="Times New Roman"/>
          <w:sz w:val="22"/>
          <w:szCs w:val="22"/>
          <w:color w:val="auto"/>
        </w:rPr>
      </w:pPr>
    </w:p>
    <w:p>
      <w:pPr>
        <w:jc w:val="both"/>
        <w:ind w:firstLine="872"/>
        <w:spacing w:after="0" w:line="235" w:lineRule="auto"/>
        <w:tabs>
          <w:tab w:leader="none" w:pos="176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parties to this Agreement shall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83" w:lineRule="exact"/>
        <w:rPr>
          <w:rFonts w:ascii="Times New Roman" w:cs="Times New Roman" w:eastAsia="Times New Roman" w:hAnsi="Times New Roman"/>
          <w:sz w:val="22"/>
          <w:szCs w:val="22"/>
          <w:color w:val="auto"/>
        </w:rPr>
      </w:pPr>
    </w:p>
    <w:p>
      <w:pPr>
        <w:ind w:firstLine="872"/>
        <w:spacing w:after="0" w:line="258" w:lineRule="auto"/>
        <w:tabs>
          <w:tab w:leader="none" w:pos="175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of this Agreement shall be interpreted in such manner as to be effective and valid under applicable law, but if any provision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4" w:name="page255"/>
    <w:bookmarkEnd w:id="254"/>
    <w:p>
      <w:pPr>
        <w:jc w:val="both"/>
        <w:spacing w:after="0" w:line="238" w:lineRule="auto"/>
        <w:rPr>
          <w:sz w:val="20"/>
          <w:szCs w:val="20"/>
          <w:color w:val="auto"/>
        </w:rPr>
      </w:pPr>
      <w:r>
        <w:rPr>
          <w:rFonts w:ascii="Times New Roman" w:cs="Times New Roman" w:eastAsia="Times New Roman" w:hAnsi="Times New Roman"/>
          <w:sz w:val="22"/>
          <w:szCs w:val="22"/>
          <w:color w:val="auto"/>
        </w:rPr>
        <w:t>of this Agreement is held to be prohibited, invalid, illegal or unenforceable in any respect under any applicable law or regulation in any jurisdiction, such prohibition, invalidity, illegality or unenforceability shall not affect the validity, legality or enforceability of any other provision of this Agreement in such jurisdiction or in any other jurisdiction, but this Agreement shall be reformed, construed and enforced in such jurisdiction as if such prohibited, invalid, illegal or unenforceable provision had never been contained herein.</w:t>
      </w:r>
    </w:p>
    <w:p>
      <w:pPr>
        <w:spacing w:after="0" w:line="177" w:lineRule="exact"/>
        <w:rPr>
          <w:sz w:val="20"/>
          <w:szCs w:val="20"/>
          <w:color w:val="auto"/>
        </w:rPr>
      </w:pPr>
    </w:p>
    <w:p>
      <w:pPr>
        <w:jc w:val="both"/>
        <w:ind w:firstLine="872"/>
        <w:spacing w:after="0" w:line="239" w:lineRule="auto"/>
        <w:tabs>
          <w:tab w:leader="none" w:pos="1763"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w:t>
      </w:r>
    </w:p>
    <w:p>
      <w:pPr>
        <w:spacing w:after="0" w:line="180" w:lineRule="exact"/>
        <w:rPr>
          <w:rFonts w:ascii="Times New Roman" w:cs="Times New Roman" w:eastAsia="Times New Roman" w:hAnsi="Times New Roman"/>
          <w:sz w:val="22"/>
          <w:szCs w:val="22"/>
          <w:color w:val="auto"/>
        </w:rPr>
      </w:pPr>
    </w:p>
    <w:p>
      <w:pPr>
        <w:jc w:val="both"/>
        <w:ind w:firstLine="872"/>
        <w:spacing w:after="0" w:line="238" w:lineRule="auto"/>
        <w:tabs>
          <w:tab w:leader="none" w:pos="1751"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bind and inure to the benefit and be enforceable by the Company and its successors and assigns and the Holders and their respective successors and assigns (whether so expressed or not). In addition, whether or not any express assignment has been made, the provisions of this Agreement which are for the benefit Holders are also for the benefit of, and enforceable by, any subsequent or successor Holder. Any Holder may assign its rights and obligation under this agreement to its Affiliates, provided that such Affiliates enters into a joinder to this Agreement.</w:t>
      </w:r>
    </w:p>
    <w:p>
      <w:pPr>
        <w:spacing w:after="0" w:line="176" w:lineRule="exact"/>
        <w:rPr>
          <w:rFonts w:ascii="Times New Roman" w:cs="Times New Roman" w:eastAsia="Times New Roman" w:hAnsi="Times New Roman"/>
          <w:sz w:val="22"/>
          <w:szCs w:val="22"/>
          <w:color w:val="auto"/>
        </w:rPr>
      </w:pPr>
    </w:p>
    <w:p>
      <w:pPr>
        <w:jc w:val="both"/>
        <w:ind w:firstLine="872"/>
        <w:spacing w:after="0" w:line="247" w:lineRule="auto"/>
        <w:tabs>
          <w:tab w:leader="none" w:pos="1727"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demand or other communication to be given under or by reason of the provisions of this Agreement shall be in writing and shall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7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Business Days after it is mailed to the recipient by first class mail, return receipt requested. Such notices, demands and other communications shall be sent to the Company at the address specified below and to any Holder or to any other party subject to this Agreement at such address as indicated on the Schedule of Holders, or at such address or to the attention of such other Person as the recipient party has specified by prior written notice to the sending party. Any party may change such party’s address for receipt of notice by providing prior written notice of the change to the sending party as provided herein. The Company’s address is: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 Oatly Group AB</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Jagaregatan 4</w:t>
      </w:r>
    </w:p>
    <w:p>
      <w:pPr>
        <w:ind w:left="880"/>
        <w:spacing w:after="0" w:line="230" w:lineRule="auto"/>
        <w:rPr>
          <w:sz w:val="20"/>
          <w:szCs w:val="20"/>
          <w:color w:val="auto"/>
        </w:rPr>
      </w:pPr>
      <w:r>
        <w:rPr>
          <w:rFonts w:ascii="Times New Roman" w:cs="Times New Roman" w:eastAsia="Times New Roman" w:hAnsi="Times New Roman"/>
          <w:sz w:val="22"/>
          <w:szCs w:val="22"/>
          <w:color w:val="auto"/>
        </w:rPr>
        <w:t>211-19 Malmö, Sweden</w:t>
      </w:r>
    </w:p>
    <w:p>
      <w:pPr>
        <w:ind w:left="880"/>
        <w:spacing w:after="0" w:line="231" w:lineRule="auto"/>
        <w:rPr>
          <w:sz w:val="20"/>
          <w:szCs w:val="20"/>
          <w:color w:val="auto"/>
        </w:rPr>
      </w:pPr>
      <w:r>
        <w:rPr>
          <w:rFonts w:ascii="Times New Roman" w:cs="Times New Roman" w:eastAsia="Times New Roman" w:hAnsi="Times New Roman"/>
          <w:sz w:val="22"/>
          <w:szCs w:val="22"/>
          <w:color w:val="auto"/>
        </w:rPr>
        <w:t>Attn: General Counsel</w:t>
      </w:r>
    </w:p>
    <w:p>
      <w:pPr>
        <w:ind w:left="880"/>
        <w:spacing w:after="0"/>
        <w:rPr>
          <w:sz w:val="20"/>
          <w:szCs w:val="20"/>
          <w:color w:val="auto"/>
        </w:rPr>
      </w:pPr>
      <w:r>
        <w:rPr>
          <w:rFonts w:ascii="Times New Roman" w:cs="Times New Roman" w:eastAsia="Times New Roman" w:hAnsi="Times New Roman"/>
          <w:sz w:val="22"/>
          <w:szCs w:val="22"/>
          <w:color w:val="auto"/>
        </w:rPr>
        <w:t>Email: Legal@oatly.com</w:t>
      </w:r>
    </w:p>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Latham &amp; Watkins LLP</w:t>
      </w:r>
    </w:p>
    <w:p>
      <w:pPr>
        <w:ind w:left="880"/>
        <w:spacing w:after="0" w:line="230" w:lineRule="auto"/>
        <w:rPr>
          <w:sz w:val="20"/>
          <w:szCs w:val="20"/>
          <w:color w:val="auto"/>
        </w:rPr>
      </w:pPr>
      <w:r>
        <w:rPr>
          <w:rFonts w:ascii="Times New Roman" w:cs="Times New Roman" w:eastAsia="Times New Roman" w:hAnsi="Times New Roman"/>
          <w:sz w:val="22"/>
          <w:szCs w:val="22"/>
          <w:color w:val="auto"/>
        </w:rPr>
        <w:t>1271 Avenue of the Americas</w:t>
      </w:r>
    </w:p>
    <w:p>
      <w:pPr>
        <w:ind w:left="880"/>
        <w:spacing w:after="0" w:line="231" w:lineRule="auto"/>
        <w:rPr>
          <w:sz w:val="20"/>
          <w:szCs w:val="20"/>
          <w:color w:val="auto"/>
        </w:rPr>
      </w:pPr>
      <w:r>
        <w:rPr>
          <w:rFonts w:ascii="Times New Roman" w:cs="Times New Roman" w:eastAsia="Times New Roman" w:hAnsi="Times New Roman"/>
          <w:sz w:val="22"/>
          <w:szCs w:val="22"/>
          <w:color w:val="auto"/>
        </w:rPr>
        <w:t>New York, New York 10020</w:t>
      </w:r>
    </w:p>
    <w:p>
      <w:pPr>
        <w:ind w:left="880"/>
        <w:spacing w:after="0" w:line="230" w:lineRule="auto"/>
        <w:rPr>
          <w:sz w:val="20"/>
          <w:szCs w:val="20"/>
          <w:color w:val="auto"/>
        </w:rPr>
      </w:pPr>
      <w:r>
        <w:rPr>
          <w:rFonts w:ascii="Times New Roman" w:cs="Times New Roman" w:eastAsia="Times New Roman" w:hAnsi="Times New Roman"/>
          <w:sz w:val="22"/>
          <w:szCs w:val="22"/>
          <w:color w:val="auto"/>
        </w:rPr>
        <w:t>Attn: Marc D. Jaffe, Esq.; Ian D. Schuman, Esq.</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Email: ####.#####@##.###; ###.#######@##.###</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5" w:name="page256"/>
    <w:bookmarkEnd w:id="255"/>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or to the attention of such other Person as the recipient party has specified by prior written notice to the sending party.</w:t>
      </w:r>
    </w:p>
    <w:p>
      <w:pPr>
        <w:spacing w:after="0" w:line="158" w:lineRule="exact"/>
        <w:rPr>
          <w:sz w:val="20"/>
          <w:szCs w:val="20"/>
          <w:color w:val="auto"/>
        </w:rPr>
      </w:pPr>
    </w:p>
    <w:p>
      <w:pPr>
        <w:ind w:right="20" w:firstLine="872"/>
        <w:spacing w:after="0" w:line="258" w:lineRule="auto"/>
        <w:tabs>
          <w:tab w:leader="none" w:pos="176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If any time period for giving notice or taking action hereunder expires on a day that is not a Business Day, the time period shall automatically be extended to the immediately following Business Day.</w:t>
      </w:r>
    </w:p>
    <w:p>
      <w:pPr>
        <w:spacing w:after="0" w:line="158" w:lineRule="exact"/>
        <w:rPr>
          <w:rFonts w:ascii="Times New Roman" w:cs="Times New Roman" w:eastAsia="Times New Roman" w:hAnsi="Times New Roman"/>
          <w:sz w:val="22"/>
          <w:szCs w:val="22"/>
          <w:color w:val="auto"/>
        </w:rPr>
      </w:pPr>
    </w:p>
    <w:p>
      <w:pPr>
        <w:jc w:val="both"/>
        <w:ind w:firstLine="872"/>
        <w:spacing w:after="0" w:line="236" w:lineRule="auto"/>
        <w:tabs>
          <w:tab w:leader="none" w:pos="176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corporate law of the State of Delaware shall govern all issues and questions concerning the relative rights of the Company and its shareholders. All other issues and questions concerning the construction, validity, interpretation and enforcement of this Agreement and the exhibits and schedules hereto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181" w:lineRule="exact"/>
        <w:rPr>
          <w:rFonts w:ascii="Times New Roman" w:cs="Times New Roman" w:eastAsia="Times New Roman" w:hAnsi="Times New Roman"/>
          <w:sz w:val="22"/>
          <w:szCs w:val="22"/>
          <w:color w:val="auto"/>
        </w:rPr>
      </w:pPr>
    </w:p>
    <w:p>
      <w:pPr>
        <w:jc w:val="both"/>
        <w:ind w:firstLine="872"/>
        <w:spacing w:after="0" w:line="238" w:lineRule="auto"/>
        <w:tabs>
          <w:tab w:leader="none" w:pos="171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WAIVER OF JURY TRIAL</w:t>
      </w:r>
      <w:r>
        <w:rPr>
          <w:rFonts w:ascii="Times New Roman" w:cs="Times New Roman" w:eastAsia="Times New Roman" w:hAnsi="Times New Roman"/>
          <w:sz w:val="22"/>
          <w:szCs w:val="22"/>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76" w:lineRule="exact"/>
        <w:rPr>
          <w:rFonts w:ascii="Times New Roman" w:cs="Times New Roman" w:eastAsia="Times New Roman" w:hAnsi="Times New Roman"/>
          <w:sz w:val="22"/>
          <w:szCs w:val="22"/>
          <w:color w:val="auto"/>
        </w:rPr>
      </w:pPr>
    </w:p>
    <w:p>
      <w:pPr>
        <w:jc w:val="both"/>
        <w:ind w:firstLine="872"/>
        <w:spacing w:after="0" w:line="244" w:lineRule="auto"/>
        <w:tabs>
          <w:tab w:leader="none" w:pos="171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JURISDICTION AND SERVICE OF PROCESS</w:t>
      </w:r>
      <w:r>
        <w:rPr>
          <w:rFonts w:ascii="Times New Roman" w:cs="Times New Roman" w:eastAsia="Times New Roman" w:hAnsi="Times New Roman"/>
          <w:sz w:val="21"/>
          <w:szCs w:val="21"/>
          <w:color w:val="auto"/>
        </w:rPr>
        <w:t>. EACH OF THE PARTIES IRREVOCABLY SUBMITS TO THE NON-EXCLUSIVE JURISDICTION OF THE FEDERAL COURTS OF THE UNITED STATES OF AMERICA LOCATED IN THE CITY AND COUNTY OF NEW YORK BOROUGH OF MANHATTAN,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UNITED STATES DISTRICT COURT FOR THE DISTRICT OF DELAWARE, AND HEREBY AND THEREBY FURTHER IRREVOCABLY AND UNCONDITIONALLY WAIVES AND AGREES NOT TO PLEAD OR CLAIM IN ANY SUCH COURT THAT ANY SUCH ACTION, SUIT OR PROCEEDING BROUGHT IN ANY SUCH COURT HAS BEEN BROUGHT IN AN INCONVENIENT FORUM.</w:t>
      </w:r>
    </w:p>
    <w:p>
      <w:pPr>
        <w:spacing w:after="0" w:line="178" w:lineRule="exact"/>
        <w:rPr>
          <w:rFonts w:ascii="Times New Roman" w:cs="Times New Roman" w:eastAsia="Times New Roman" w:hAnsi="Times New Roman"/>
          <w:sz w:val="21"/>
          <w:szCs w:val="21"/>
          <w:color w:val="auto"/>
        </w:rPr>
      </w:pPr>
    </w:p>
    <w:p>
      <w:pPr>
        <w:jc w:val="both"/>
        <w:ind w:firstLine="872"/>
        <w:spacing w:after="0" w:line="239" w:lineRule="auto"/>
        <w:tabs>
          <w:tab w:leader="none" w:pos="176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w:t>
      </w:r>
      <w:r>
        <w:rPr>
          <w:rFonts w:ascii="Times New Roman" w:cs="Times New Roman" w:eastAsia="Times New Roman" w:hAnsi="Times New Roman"/>
          <w:sz w:val="22"/>
          <w:szCs w:val="22"/>
          <w:color w:val="auto"/>
        </w:rPr>
        <w:t>. Notwithstanding anything to the contrary in this Agreement, the Company and each Holder agrees and acknowledges that no recourse under this Agreement or any documents or instruments delivered in connection with this Agreement, shall be had against any current or future director, officer, employee, general or limited partner or member of any 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6" w:name="page257"/>
    <w:bookmarkEnd w:id="256"/>
    <w:p>
      <w:pPr>
        <w:jc w:val="both"/>
        <w:spacing w:after="0" w:line="235" w:lineRule="auto"/>
        <w:rPr>
          <w:sz w:val="20"/>
          <w:szCs w:val="20"/>
          <w:color w:val="auto"/>
        </w:rPr>
      </w:pPr>
      <w:r>
        <w:rPr>
          <w:rFonts w:ascii="Times New Roman" w:cs="Times New Roman" w:eastAsia="Times New Roman" w:hAnsi="Times New Roman"/>
          <w:sz w:val="22"/>
          <w:szCs w:val="22"/>
          <w:color w:val="auto"/>
        </w:rPr>
        <w:t>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183" w:lineRule="exact"/>
        <w:rPr>
          <w:sz w:val="20"/>
          <w:szCs w:val="20"/>
          <w:color w:val="auto"/>
        </w:rPr>
      </w:pPr>
    </w:p>
    <w:p>
      <w:pPr>
        <w:jc w:val="both"/>
        <w:ind w:right="20" w:firstLine="872"/>
        <w:spacing w:after="0" w:line="244" w:lineRule="auto"/>
        <w:tabs>
          <w:tab w:leader="none" w:pos="171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Descriptive Headings; Interpretation</w:t>
      </w:r>
      <w:r>
        <w:rPr>
          <w:rFonts w:ascii="Times New Roman" w:cs="Times New Roman" w:eastAsia="Times New Roman" w:hAnsi="Times New Roman"/>
          <w:sz w:val="22"/>
          <w:szCs w:val="22"/>
          <w:color w:val="auto"/>
        </w:rPr>
        <w:t>. The descriptive headings of this Agreement are inserted for convenience only and do not constitute a part of this Agreement. The use of the word “including” in this Agreement shall be by way of example rather than by limitation.</w:t>
      </w:r>
    </w:p>
    <w:p>
      <w:pPr>
        <w:spacing w:after="0" w:line="173" w:lineRule="exact"/>
        <w:rPr>
          <w:rFonts w:ascii="Times New Roman" w:cs="Times New Roman" w:eastAsia="Times New Roman" w:hAnsi="Times New Roman"/>
          <w:sz w:val="22"/>
          <w:szCs w:val="22"/>
          <w:color w:val="auto"/>
        </w:rPr>
      </w:pPr>
    </w:p>
    <w:p>
      <w:pPr>
        <w:ind w:firstLine="872"/>
        <w:spacing w:after="0" w:line="258" w:lineRule="auto"/>
        <w:tabs>
          <w:tab w:leader="none" w:pos="182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The language used in this Agreement shall be deemed to be the language chosen by the parties hereto to express their mutual intent, and no rule of strict construction shall be applied against any party.</w:t>
      </w:r>
    </w:p>
    <w:p>
      <w:pPr>
        <w:spacing w:after="0" w:line="158" w:lineRule="exact"/>
        <w:rPr>
          <w:rFonts w:ascii="Times New Roman" w:cs="Times New Roman" w:eastAsia="Times New Roman" w:hAnsi="Times New Roman"/>
          <w:sz w:val="22"/>
          <w:szCs w:val="22"/>
          <w:color w:val="auto"/>
        </w:rPr>
      </w:pPr>
    </w:p>
    <w:p>
      <w:pPr>
        <w:ind w:firstLine="872"/>
        <w:spacing w:after="0" w:line="282" w:lineRule="auto"/>
        <w:tabs>
          <w:tab w:leader="none" w:pos="1763"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multiple counterparts, any one of which need not contain the signature of more than one party, but all such counterparts taken together shall constitute one and the same agreement.</w:t>
      </w:r>
    </w:p>
    <w:p>
      <w:pPr>
        <w:spacing w:after="0" w:line="134" w:lineRule="exact"/>
        <w:rPr>
          <w:rFonts w:ascii="Times New Roman" w:cs="Times New Roman" w:eastAsia="Times New Roman" w:hAnsi="Times New Roman"/>
          <w:sz w:val="21"/>
          <w:szCs w:val="21"/>
          <w:color w:val="auto"/>
        </w:rPr>
      </w:pPr>
    </w:p>
    <w:p>
      <w:pPr>
        <w:jc w:val="both"/>
        <w:ind w:firstLine="872"/>
        <w:spacing w:after="0" w:line="234" w:lineRule="auto"/>
        <w:tabs>
          <w:tab w:leader="none" w:pos="176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79" w:lineRule="exact"/>
        <w:rPr>
          <w:rFonts w:ascii="Times New Roman" w:cs="Times New Roman" w:eastAsia="Times New Roman" w:hAnsi="Times New Roman"/>
          <w:sz w:val="22"/>
          <w:szCs w:val="22"/>
          <w:color w:val="auto"/>
        </w:rPr>
      </w:pPr>
    </w:p>
    <w:p>
      <w:pPr>
        <w:jc w:val="both"/>
        <w:ind w:firstLine="872"/>
        <w:spacing w:after="0" w:line="244" w:lineRule="auto"/>
        <w:tabs>
          <w:tab w:leader="none" w:pos="176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In connection with this Agreement and the transactions contemplated hereby, each Holder shall execute and deliver any additional documents and instruments and perform any additional acts that may be necessary or appropriate to effectuate and perform the provisions of this Agreement and the transactions contemplated hereby.</w:t>
      </w:r>
    </w:p>
    <w:p>
      <w:pPr>
        <w:spacing w:after="0" w:line="173" w:lineRule="exact"/>
        <w:rPr>
          <w:rFonts w:ascii="Times New Roman" w:cs="Times New Roman" w:eastAsia="Times New Roman" w:hAnsi="Times New Roman"/>
          <w:sz w:val="22"/>
          <w:szCs w:val="22"/>
          <w:color w:val="auto"/>
        </w:rPr>
      </w:pPr>
    </w:p>
    <w:p>
      <w:pPr>
        <w:ind w:firstLine="872"/>
        <w:spacing w:after="0" w:line="258" w:lineRule="auto"/>
        <w:tabs>
          <w:tab w:leader="none" w:pos="176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Inconsistent Agreements</w:t>
      </w:r>
      <w:r>
        <w:rPr>
          <w:rFonts w:ascii="Times New Roman" w:cs="Times New Roman" w:eastAsia="Times New Roman" w:hAnsi="Times New Roman"/>
          <w:sz w:val="22"/>
          <w:szCs w:val="22"/>
          <w:color w:val="auto"/>
        </w:rPr>
        <w:t>. The Company shall not hereafter enter into any agreement with respect to its securities which is inconsistent with or violates the rights granted to the Holders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7" w:name="page258"/>
    <w:bookmarkEnd w:id="257"/>
    <w:p>
      <w:pPr>
        <w:ind w:left="-20" w:firstLine="872"/>
        <w:spacing w:after="0" w:line="258" w:lineRule="auto"/>
        <w:tabs>
          <w:tab w:leader="none" w:pos="1707"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xml:space="preserve"> All Registrable Securities held or acquired by Affiliated entities or Persons shall be aggregated together for the purpose of determining the availability of any rights under this Agreement.</w:t>
      </w:r>
    </w:p>
    <w:p>
      <w:pPr>
        <w:spacing w:after="0" w:line="158" w:lineRule="exact"/>
        <w:rPr>
          <w:rFonts w:ascii="Times New Roman" w:cs="Times New Roman" w:eastAsia="Times New Roman" w:hAnsi="Times New Roman"/>
          <w:sz w:val="22"/>
          <w:szCs w:val="22"/>
          <w:color w:val="auto"/>
        </w:rPr>
      </w:pPr>
    </w:p>
    <w:p>
      <w:pPr>
        <w:ind w:left="5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748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40" w:top="342" w:right="359" w:bottom="1440" w:gutter="0" w:footer="0" w:header="0"/>
        </w:sectPr>
      </w:pPr>
    </w:p>
    <w:bookmarkStart w:id="258" w:name="page259"/>
    <w:bookmarkEnd w:id="258"/>
    <w:p>
      <w:pPr>
        <w:ind w:left="88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written above.</w:t>
      </w:r>
    </w:p>
    <w:p>
      <w:pPr>
        <w:spacing w:after="0" w:line="200" w:lineRule="exact"/>
        <w:rPr>
          <w:sz w:val="20"/>
          <w:szCs w:val="20"/>
          <w:color w:val="auto"/>
        </w:rPr>
      </w:pPr>
    </w:p>
    <w:p>
      <w:pPr>
        <w:spacing w:after="0" w:line="25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9" w:lineRule="exact"/>
        <w:rPr>
          <w:sz w:val="20"/>
          <w:szCs w:val="20"/>
          <w:color w:val="auto"/>
        </w:rPr>
      </w:pPr>
    </w:p>
    <w:p>
      <w:pPr>
        <w:ind w:left="5760"/>
        <w:spacing w:after="0"/>
        <w:tabs>
          <w:tab w:leader="none" w:pos="6280" w:val="left"/>
        </w:tabs>
        <w:rPr>
          <w:sz w:val="20"/>
          <w:szCs w:val="20"/>
          <w:color w:val="auto"/>
        </w:rPr>
      </w:pPr>
      <w:r>
        <w:rPr>
          <w:rFonts w:ascii="Times New Roman" w:cs="Times New Roman" w:eastAsia="Times New Roman" w:hAnsi="Times New Roman"/>
          <w:sz w:val="18"/>
          <w:szCs w:val="18"/>
          <w:color w:val="auto"/>
        </w:rPr>
        <w:t>By:</w:t>
        <w:tab/>
        <w:t>/s/ Toni Petersson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Toni Petersson</w:t>
      </w:r>
    </w:p>
    <w:p>
      <w:pPr>
        <w:spacing w:after="0" w:line="23" w:lineRule="exact"/>
        <w:rPr>
          <w:sz w:val="20"/>
          <w:szCs w:val="20"/>
          <w:color w:val="auto"/>
        </w:rPr>
      </w:pPr>
    </w:p>
    <w:p>
      <w:pPr>
        <w:ind w:left="576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US-DOCS\130918772.1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259" w:name="page260"/>
    <w:bookmarkEnd w:id="259"/>
    <w:p>
      <w:pPr>
        <w:ind w:left="5740"/>
        <w:spacing w:after="0"/>
        <w:rPr>
          <w:sz w:val="20"/>
          <w:szCs w:val="20"/>
          <w:color w:val="auto"/>
        </w:rPr>
      </w:pPr>
      <w:r>
        <w:rPr>
          <w:rFonts w:ascii="Times New Roman" w:cs="Times New Roman" w:eastAsia="Times New Roman" w:hAnsi="Times New Roman"/>
          <w:sz w:val="17"/>
          <w:szCs w:val="17"/>
          <w:b w:val="1"/>
          <w:bCs w:val="1"/>
          <w:color w:val="auto"/>
        </w:rPr>
        <w:t>NATIVUS COMPANY LIMITED</w:t>
      </w:r>
    </w:p>
    <w:p>
      <w:pPr>
        <w:spacing w:after="0" w:line="241"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WU, YaWen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WU, YaWen</w:t>
      </w:r>
    </w:p>
    <w:p>
      <w:pPr>
        <w:spacing w:after="0" w:line="23"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36" w:lineRule="exact"/>
        <w:rPr>
          <w:sz w:val="20"/>
          <w:szCs w:val="20"/>
          <w:color w:val="auto"/>
        </w:rPr>
      </w:pPr>
    </w:p>
    <w:p>
      <w:pPr>
        <w:ind w:left="5780"/>
        <w:spacing w:after="0"/>
        <w:tabs>
          <w:tab w:leader="none" w:pos="6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Marie V. Thys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Joseph Marie V. Thys</w:t>
      </w:r>
    </w:p>
    <w:p>
      <w:pPr>
        <w:spacing w:after="0" w:line="23" w:lineRule="exact"/>
        <w:rPr>
          <w:sz w:val="20"/>
          <w:szCs w:val="20"/>
          <w:color w:val="auto"/>
        </w:rPr>
      </w:pPr>
    </w:p>
    <w:p>
      <w:pPr>
        <w:ind w:left="5780"/>
        <w:spacing w:after="0"/>
        <w:tabs>
          <w:tab w:leader="none" w:pos="63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US-DOCS\130918772.1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035" w:right="1440" w:bottom="1440" w:gutter="0" w:footer="0" w:header="0"/>
        </w:sectPr>
      </w:pPr>
    </w:p>
    <w:bookmarkStart w:id="260" w:name="page261"/>
    <w:bookmarkEnd w:id="260"/>
    <w:p>
      <w:pPr>
        <w:ind w:left="5740"/>
        <w:spacing w:after="0"/>
        <w:rPr>
          <w:sz w:val="20"/>
          <w:szCs w:val="20"/>
          <w:color w:val="auto"/>
        </w:rPr>
      </w:pPr>
      <w:r>
        <w:rPr>
          <w:rFonts w:ascii="Times New Roman" w:cs="Times New Roman" w:eastAsia="Times New Roman" w:hAnsi="Times New Roman"/>
          <w:sz w:val="17"/>
          <w:szCs w:val="17"/>
          <w:b w:val="1"/>
          <w:bCs w:val="1"/>
          <w:color w:val="auto"/>
        </w:rPr>
        <w:t>BXG REDHAWK S.À R.L.</w:t>
      </w:r>
    </w:p>
    <w:p>
      <w:pPr>
        <w:spacing w:after="0" w:line="241"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John Sutherland</w:t>
      </w:r>
    </w:p>
    <w:p>
      <w:pPr>
        <w:spacing w:after="0" w:line="23"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Manager A</w:t>
      </w:r>
    </w:p>
    <w:p>
      <w:pPr>
        <w:spacing w:after="0" w:line="220"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Romain Jay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Romain Jay</w:t>
      </w:r>
    </w:p>
    <w:p>
      <w:pPr>
        <w:spacing w:after="0" w:line="23"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Manager B</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US-DOCS\130918772.1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06" w:right="1440" w:bottom="1440" w:gutter="0" w:footer="0" w:header="0"/>
        </w:sectPr>
      </w:pPr>
    </w:p>
    <w:bookmarkStart w:id="261" w:name="page262"/>
    <w:bookmarkEnd w:id="261"/>
    <w:p>
      <w:pPr>
        <w:ind w:left="5740"/>
        <w:spacing w:after="0"/>
        <w:rPr>
          <w:sz w:val="20"/>
          <w:szCs w:val="20"/>
          <w:color w:val="auto"/>
        </w:rPr>
      </w:pPr>
      <w:r>
        <w:rPr>
          <w:rFonts w:ascii="Times New Roman" w:cs="Times New Roman" w:eastAsia="Times New Roman" w:hAnsi="Times New Roman"/>
          <w:sz w:val="18"/>
          <w:szCs w:val="18"/>
          <w:b w:val="1"/>
          <w:bCs w:val="1"/>
          <w:color w:val="auto"/>
        </w:rPr>
        <w:t>BXG SPV ESC (CYM) L.P.</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its BXG Side-by-SideGP L.L.C.its General Partner</w:t>
      </w:r>
    </w:p>
    <w:p>
      <w:pPr>
        <w:spacing w:after="0" w:line="225"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/s/Jonathan Korngold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Name:Jonathan Korngold</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Title:Authorized Signatory</w:t>
      </w:r>
    </w:p>
    <w:p>
      <w:pPr>
        <w:spacing w:after="0" w:line="200" w:lineRule="exact"/>
        <w:rPr>
          <w:sz w:val="20"/>
          <w:szCs w:val="20"/>
          <w:color w:val="auto"/>
        </w:rPr>
      </w:pPr>
    </w:p>
    <w:p>
      <w:pPr>
        <w:spacing w:after="0" w:line="23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US-DOCS\130918772.1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06" w:right="1440" w:bottom="1440" w:gutter="0" w:footer="0" w:header="0"/>
        </w:sectPr>
      </w:pPr>
    </w:p>
    <w:bookmarkStart w:id="262" w:name="page263"/>
    <w:bookmarkEnd w:id="262"/>
    <w:p>
      <w:pPr>
        <w:jc w:val="right"/>
        <w:ind w:right="2599"/>
        <w:spacing w:after="0"/>
        <w:rPr>
          <w:sz w:val="20"/>
          <w:szCs w:val="20"/>
          <w:color w:val="auto"/>
        </w:rPr>
      </w:pPr>
      <w:r>
        <w:rPr>
          <w:rFonts w:ascii="Times New Roman" w:cs="Times New Roman" w:eastAsia="Times New Roman" w:hAnsi="Times New Roman"/>
          <w:sz w:val="18"/>
          <w:szCs w:val="18"/>
          <w:b w:val="1"/>
          <w:bCs w:val="1"/>
          <w:color w:val="auto"/>
        </w:rPr>
        <w:t>ÖSTE VENTURES AB</w:t>
      </w:r>
    </w:p>
    <w:p>
      <w:pPr>
        <w:spacing w:after="0" w:line="378"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Rickard Oste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Rickard Ost</w:t>
      </w:r>
    </w:p>
    <w:p>
      <w:pPr>
        <w:spacing w:after="0" w:line="23"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0" w:lineRule="exact"/>
        <w:rPr>
          <w:sz w:val="20"/>
          <w:szCs w:val="20"/>
          <w:color w:val="auto"/>
        </w:rPr>
      </w:pPr>
    </w:p>
    <w:p>
      <w:pPr>
        <w:spacing w:after="0" w:line="24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US-DOCS\130918772.1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06" w:right="1440" w:bottom="1440" w:gutter="0" w:footer="0" w:header="0"/>
        </w:sectPr>
      </w:pPr>
    </w:p>
    <w:bookmarkStart w:id="263" w:name="page264"/>
    <w:bookmarkEnd w:id="263"/>
    <w:p>
      <w:pPr>
        <w:ind w:left="5740"/>
        <w:spacing w:after="0"/>
        <w:rPr>
          <w:sz w:val="20"/>
          <w:szCs w:val="20"/>
          <w:color w:val="auto"/>
        </w:rPr>
      </w:pPr>
      <w:r>
        <w:rPr>
          <w:rFonts w:ascii="Times New Roman" w:cs="Times New Roman" w:eastAsia="Times New Roman" w:hAnsi="Times New Roman"/>
          <w:sz w:val="18"/>
          <w:szCs w:val="18"/>
          <w:b w:val="1"/>
          <w:bCs w:val="1"/>
          <w:color w:val="auto"/>
        </w:rPr>
        <w:t>ÖSTERSJÖSTIFTELSEN</w:t>
      </w:r>
    </w:p>
    <w:p>
      <w:pPr>
        <w:spacing w:after="0" w:line="378" w:lineRule="exact"/>
        <w:rPr>
          <w:sz w:val="20"/>
          <w:szCs w:val="20"/>
          <w:color w:val="auto"/>
        </w:rPr>
      </w:pPr>
    </w:p>
    <w:p>
      <w:pPr>
        <w:jc w:val="both"/>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Mattias Klintemar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Mattias Klintemar</w:t>
      </w:r>
    </w:p>
    <w:p>
      <w:pPr>
        <w:spacing w:after="0" w:line="23"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US-DOCS\130918772.1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06" w:right="1440" w:bottom="1440" w:gutter="0" w:footer="0" w:header="0"/>
        </w:sectPr>
      </w:pPr>
    </w:p>
    <w:bookmarkStart w:id="264" w:name="page265"/>
    <w:bookmarkEnd w:id="264"/>
    <w:p>
      <w:pPr>
        <w:jc w:val="right"/>
        <w:ind w:right="3179"/>
        <w:spacing w:after="0"/>
        <w:rPr>
          <w:sz w:val="20"/>
          <w:szCs w:val="20"/>
          <w:color w:val="auto"/>
        </w:rPr>
      </w:pPr>
      <w:r>
        <w:rPr>
          <w:rFonts w:ascii="Times New Roman" w:cs="Times New Roman" w:eastAsia="Times New Roman" w:hAnsi="Times New Roman"/>
          <w:sz w:val="22"/>
          <w:szCs w:val="22"/>
          <w:b w:val="1"/>
          <w:bCs w:val="1"/>
          <w:color w:val="auto"/>
        </w:rPr>
        <w:t>SCHEDULE OF 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Öste Ventures AB</w:t>
      </w:r>
    </w:p>
    <w:p>
      <w:pPr>
        <w:spacing w:after="0"/>
        <w:rPr>
          <w:sz w:val="20"/>
          <w:szCs w:val="20"/>
          <w:color w:val="auto"/>
        </w:rPr>
      </w:pPr>
      <w:r>
        <w:rPr>
          <w:rFonts w:ascii="Times New Roman" w:cs="Times New Roman" w:eastAsia="Times New Roman" w:hAnsi="Times New Roman"/>
          <w:sz w:val="22"/>
          <w:szCs w:val="22"/>
          <w:color w:val="auto"/>
        </w:rPr>
        <w:t>Östersjöstiftelsen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US-DOCS\130918772.1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265" w:name="page266"/>
    <w:bookmarkEnd w:id="265"/>
    <w:p>
      <w:pPr>
        <w:ind w:left="10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RIGHTS AGREEMENT JOINDER</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undersigned is executing and delivering this Joinder pursuant to the Registration Rights Agreement dated as of [●], 2021 (as the same may hereafter be amended, the “</w:t>
      </w:r>
      <w:r>
        <w:rPr>
          <w:rFonts w:ascii="Times New Roman" w:cs="Times New Roman" w:eastAsia="Times New Roman" w:hAnsi="Times New Roman"/>
          <w:sz w:val="21"/>
          <w:szCs w:val="21"/>
          <w:b w:val="1"/>
          <w:bCs w:val="1"/>
          <w:i w:val="1"/>
          <w:iCs w:val="1"/>
          <w:color w:val="auto"/>
        </w:rPr>
        <w:t>Registration Rights Agreement</w:t>
      </w:r>
      <w:r>
        <w:rPr>
          <w:rFonts w:ascii="Times New Roman" w:cs="Times New Roman" w:eastAsia="Times New Roman" w:hAnsi="Times New Roman"/>
          <w:sz w:val="21"/>
          <w:szCs w:val="21"/>
          <w:color w:val="auto"/>
        </w:rPr>
        <w:t>”), among Oatly Group AB, a public limited liability company established under the Laws of Sweden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the other persons named as parties therein. Capitalized terms used but not otherwise defined in this Joinder have the meanings ascribed to them in the Registration Rights Agreement.</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By executing and delivering this Joinder to the Registration Rights Agreement, and upon acceptance hereof by the Company upon the execution of a counterpart hereof,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shall be included as Registrable Securities under the Registration Rights Agreement to the extent provided therein. The Company is directed to add the address below the undersigned’s signature on this Joinder to the Schedule of Holders attached to the Registration Rights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Accordingly, the undersigned has executed and delivered this Joinder as of the day of _______________, 20__.</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154305</wp:posOffset>
            </wp:positionV>
            <wp:extent cx="3488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Print Name of Shareholder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Address: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 as of _______________,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31629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US-DOCS\130918772.1</w:t>
      </w:r>
    </w:p>
    <w:p>
      <w:pPr>
        <w:sectPr>
          <w:pgSz w:w="11900" w:h="16838" w:orient="portrait"/>
          <w:cols w:equalWidth="0" w:num="1">
            <w:col w:w="11240"/>
          </w:cols>
          <w:pgMar w:left="320" w:top="338"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0"/>
          <w:szCs w:val="20"/>
          <w:b w:val="1"/>
          <w:bCs w:val="1"/>
          <w:color w:val="auto"/>
        </w:rPr>
        <w:t>Exhibit 4.4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0Execution Copy</w:t>
      </w:r>
    </w:p>
    <w:p>
      <w:pPr>
        <w:spacing w:after="0" w:line="200" w:lineRule="exact"/>
        <w:rPr>
          <w:sz w:val="20"/>
          <w:szCs w:val="20"/>
          <w:color w:val="auto"/>
        </w:rPr>
      </w:pPr>
    </w:p>
    <w:p>
      <w:pPr>
        <w:spacing w:after="0" w:line="29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AMENDMENT LETTER</w:t>
      </w:r>
    </w:p>
    <w:p>
      <w:pPr>
        <w:spacing w:after="0" w:line="243" w:lineRule="exact"/>
        <w:rPr>
          <w:sz w:val="20"/>
          <w:szCs w:val="20"/>
          <w:color w:val="auto"/>
        </w:rPr>
      </w:pPr>
    </w:p>
    <w:p>
      <w:pPr>
        <w:ind w:left="920" w:right="1420" w:hanging="799"/>
        <w:spacing w:after="0" w:line="273" w:lineRule="auto"/>
        <w:tabs>
          <w:tab w:leader="none" w:pos="90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b w:val="1"/>
          <w:bCs w:val="1"/>
          <w:color w:val="auto"/>
        </w:rPr>
        <w:t>Skandinaviska Enskilda Banken AB (publ)</w:t>
      </w:r>
      <w:r>
        <w:rPr>
          <w:rFonts w:ascii="Times New Roman" w:cs="Times New Roman" w:eastAsia="Times New Roman" w:hAnsi="Times New Roman"/>
          <w:sz w:val="20"/>
          <w:szCs w:val="20"/>
          <w:color w:val="auto"/>
        </w:rPr>
        <w:t>, as Agent on behalf of the Majority Lenders under the Original Facility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(as defined below)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w:t>
      </w:r>
    </w:p>
    <w:p>
      <w:pPr>
        <w:spacing w:after="0" w:line="98" w:lineRule="exact"/>
        <w:rPr>
          <w:sz w:val="20"/>
          <w:szCs w:val="20"/>
          <w:color w:val="auto"/>
        </w:rPr>
      </w:pPr>
    </w:p>
    <w:p>
      <w:pPr>
        <w:ind w:left="940" w:right="980" w:hanging="692"/>
        <w:spacing w:after="0" w:line="273" w:lineRule="auto"/>
        <w:rPr>
          <w:sz w:val="20"/>
          <w:szCs w:val="20"/>
          <w:color w:val="auto"/>
        </w:rPr>
      </w:pPr>
      <w:r>
        <w:rPr>
          <w:rFonts w:ascii="Times New Roman" w:cs="Times New Roman" w:eastAsia="Times New Roman" w:hAnsi="Times New Roman"/>
          <w:sz w:val="20"/>
          <w:szCs w:val="20"/>
          <w:color w:val="auto"/>
        </w:rPr>
        <w:t xml:space="preserve">From: </w:t>
      </w:r>
      <w:r>
        <w:rPr>
          <w:rFonts w:ascii="Times New Roman" w:cs="Times New Roman" w:eastAsia="Times New Roman" w:hAnsi="Times New Roman"/>
          <w:sz w:val="20"/>
          <w:szCs w:val="20"/>
          <w:b w:val="1"/>
          <w:bCs w:val="1"/>
          <w:color w:val="auto"/>
        </w:rPr>
        <w:t>Oatly AB</w:t>
      </w:r>
      <w:r>
        <w:rPr>
          <w:rFonts w:ascii="Times New Roman" w:cs="Times New Roman" w:eastAsia="Times New Roman" w:hAnsi="Times New Roman"/>
          <w:sz w:val="20"/>
          <w:szCs w:val="20"/>
          <w:color w:val="auto"/>
        </w:rPr>
        <w:t xml:space="preserve"> (reg. no. 556446-1043), as Obligors’ Agent under the Original Facility Agreement (the “</w:t>
      </w:r>
      <w:r>
        <w:rPr>
          <w:rFonts w:ascii="Times New Roman" w:cs="Times New Roman" w:eastAsia="Times New Roman" w:hAnsi="Times New Roman"/>
          <w:sz w:val="20"/>
          <w:szCs w:val="20"/>
          <w:b w:val="1"/>
          <w:bCs w:val="1"/>
          <w:color w:val="auto"/>
        </w:rPr>
        <w:t>Obligors’ Agent</w:t>
      </w:r>
      <w:r>
        <w:rPr>
          <w:rFonts w:ascii="Times New Roman" w:cs="Times New Roman" w:eastAsia="Times New Roman" w:hAnsi="Times New Roman"/>
          <w:sz w:val="20"/>
          <w:szCs w:val="20"/>
          <w:color w:val="auto"/>
        </w:rPr>
        <w:t>”); and</w:t>
      </w:r>
    </w:p>
    <w:p>
      <w:pPr>
        <w:spacing w:after="0" w:line="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b w:val="1"/>
          <w:bCs w:val="1"/>
          <w:color w:val="auto"/>
        </w:rPr>
        <w:t xml:space="preserve">Oatly Group AB (publ) </w:t>
      </w:r>
      <w:r>
        <w:rPr>
          <w:rFonts w:ascii="Times New Roman" w:cs="Times New Roman" w:eastAsia="Times New Roman" w:hAnsi="Times New Roman"/>
          <w:sz w:val="20"/>
          <w:szCs w:val="20"/>
          <w:color w:val="auto"/>
        </w:rPr>
        <w:t>(reg. no. 559081-1989), as Company under the Original Facility Agreement</w:t>
      </w:r>
    </w:p>
    <w:p>
      <w:pPr>
        <w:spacing w:after="0" w:line="24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0"/>
          <w:szCs w:val="20"/>
          <w:color w:val="auto"/>
        </w:rPr>
        <w:t>28 March 2022</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Dear Sirs and/or Madams,</w:t>
      </w:r>
    </w:p>
    <w:p>
      <w:pPr>
        <w:spacing w:after="0" w:line="162" w:lineRule="exact"/>
        <w:rPr>
          <w:sz w:val="20"/>
          <w:szCs w:val="20"/>
          <w:color w:val="auto"/>
        </w:rPr>
      </w:pPr>
    </w:p>
    <w:p>
      <w:pPr>
        <w:ind w:left="940" w:right="760"/>
        <w:spacing w:after="0" w:line="246" w:lineRule="auto"/>
        <w:rPr>
          <w:sz w:val="20"/>
          <w:szCs w:val="20"/>
          <w:color w:val="auto"/>
        </w:rPr>
      </w:pPr>
      <w:r>
        <w:rPr>
          <w:rFonts w:ascii="Times New Roman" w:cs="Times New Roman" w:eastAsia="Times New Roman" w:hAnsi="Times New Roman"/>
          <w:sz w:val="20"/>
          <w:szCs w:val="20"/>
          <w:color w:val="auto"/>
        </w:rPr>
        <w:t xml:space="preserve">Reference is made to the sustainable revolving credit facility agreement originally dated 14 April 2021 (as amended and restated by an amendment and restatement agreement dated 14 July 2021) between, </w:t>
      </w:r>
      <w:r>
        <w:rPr>
          <w:rFonts w:ascii="Times New Roman" w:cs="Times New Roman" w:eastAsia="Times New Roman" w:hAnsi="Times New Roman"/>
          <w:sz w:val="20"/>
          <w:szCs w:val="20"/>
          <w:i w:val="1"/>
          <w:iCs w:val="1"/>
          <w:color w:val="auto"/>
        </w:rPr>
        <w:t>inter alios</w:t>
      </w:r>
      <w:r>
        <w:rPr>
          <w:rFonts w:ascii="Times New Roman" w:cs="Times New Roman" w:eastAsia="Times New Roman" w:hAnsi="Times New Roman"/>
          <w:sz w:val="20"/>
          <w:szCs w:val="20"/>
          <w:color w:val="auto"/>
        </w:rPr>
        <w:t>, the Company as Company and Original Guarantor, the Obligors’ Agent as Original Borrower, Original Guarantor and Obligors’ Agent, the financial institutions named therein as Original Lenders and Skandinaviska Enskilda Banken AB (publ) as Agent and Security Agent (the “</w:t>
      </w:r>
      <w:r>
        <w:rPr>
          <w:rFonts w:ascii="Times New Roman" w:cs="Times New Roman" w:eastAsia="Times New Roman" w:hAnsi="Times New Roman"/>
          <w:sz w:val="20"/>
          <w:szCs w:val="20"/>
          <w:b w:val="1"/>
          <w:bCs w:val="1"/>
          <w:color w:val="auto"/>
        </w:rPr>
        <w:t>Original Facility Agreement</w:t>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ind w:left="940" w:right="820"/>
        <w:spacing w:after="0" w:line="249" w:lineRule="auto"/>
        <w:rPr>
          <w:sz w:val="20"/>
          <w:szCs w:val="20"/>
          <w:color w:val="auto"/>
        </w:rPr>
      </w:pPr>
      <w:r>
        <w:rPr>
          <w:rFonts w:ascii="Times New Roman" w:cs="Times New Roman" w:eastAsia="Times New Roman" w:hAnsi="Times New Roman"/>
          <w:sz w:val="20"/>
          <w:szCs w:val="20"/>
          <w:color w:val="auto"/>
        </w:rPr>
        <w:t>Terms defined in the Original Facility Agreement shall have the same meaning when used in this amendment letter (the “</w:t>
      </w:r>
      <w:r>
        <w:rPr>
          <w:rFonts w:ascii="Times New Roman" w:cs="Times New Roman" w:eastAsia="Times New Roman" w:hAnsi="Times New Roman"/>
          <w:sz w:val="20"/>
          <w:szCs w:val="20"/>
          <w:b w:val="1"/>
          <w:bCs w:val="1"/>
          <w:color w:val="auto"/>
        </w:rPr>
        <w:t>Amendment Letter</w:t>
      </w:r>
      <w:r>
        <w:rPr>
          <w:rFonts w:ascii="Times New Roman" w:cs="Times New Roman" w:eastAsia="Times New Roman" w:hAnsi="Times New Roman"/>
          <w:sz w:val="20"/>
          <w:szCs w:val="20"/>
          <w:color w:val="auto"/>
        </w:rPr>
        <w:t>”), unless a contrary indication appears. Clauses 1.2 (</w:t>
      </w:r>
      <w:r>
        <w:rPr>
          <w:rFonts w:ascii="Times New Roman" w:cs="Times New Roman" w:eastAsia="Times New Roman" w:hAnsi="Times New Roman"/>
          <w:sz w:val="20"/>
          <w:szCs w:val="20"/>
          <w:i w:val="1"/>
          <w:iCs w:val="1"/>
          <w:color w:val="auto"/>
        </w:rPr>
        <w:t>Construction</w:t>
      </w:r>
      <w:r>
        <w:rPr>
          <w:rFonts w:ascii="Times New Roman" w:cs="Times New Roman" w:eastAsia="Times New Roman" w:hAnsi="Times New Roman"/>
          <w:sz w:val="20"/>
          <w:szCs w:val="20"/>
          <w:color w:val="auto"/>
        </w:rPr>
        <w:t>) and 1.3 (</w:t>
      </w:r>
      <w:r>
        <w:rPr>
          <w:rFonts w:ascii="Times New Roman" w:cs="Times New Roman" w:eastAsia="Times New Roman" w:hAnsi="Times New Roman"/>
          <w:sz w:val="20"/>
          <w:szCs w:val="20"/>
          <w:i w:val="1"/>
          <w:iCs w:val="1"/>
          <w:color w:val="auto"/>
        </w:rPr>
        <w:t>Third Party Rights</w:t>
      </w:r>
      <w:r>
        <w:rPr>
          <w:rFonts w:ascii="Times New Roman" w:cs="Times New Roman" w:eastAsia="Times New Roman" w:hAnsi="Times New Roman"/>
          <w:sz w:val="20"/>
          <w:szCs w:val="20"/>
          <w:color w:val="auto"/>
        </w:rPr>
        <w:t>) of the Original Facility Agreement shall be deemed to be incorporated into this Amendment Letter save that references in those Clauses to “this Agreement” shall be construed as references to this Amendment Letter.</w:t>
      </w:r>
    </w:p>
    <w:p>
      <w:pPr>
        <w:spacing w:after="0" w:line="122" w:lineRule="exact"/>
        <w:rPr>
          <w:sz w:val="20"/>
          <w:szCs w:val="20"/>
          <w:color w:val="auto"/>
        </w:rPr>
      </w:pPr>
    </w:p>
    <w:p>
      <w:pPr>
        <w:ind w:left="920" w:hanging="804"/>
        <w:spacing w:after="0"/>
        <w:tabs>
          <w:tab w:leader="none" w:pos="92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Background</w:t>
      </w:r>
    </w:p>
    <w:p>
      <w:pPr>
        <w:spacing w:after="0" w:line="166"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As previously communicated to the Agent:</w:t>
      </w:r>
    </w:p>
    <w:p>
      <w:pPr>
        <w:spacing w:after="0" w:line="162" w:lineRule="exact"/>
        <w:rPr>
          <w:sz w:val="20"/>
          <w:szCs w:val="20"/>
          <w:color w:val="auto"/>
        </w:rPr>
      </w:pPr>
    </w:p>
    <w:p>
      <w:pPr>
        <w:ind w:left="1900" w:hanging="799"/>
        <w:spacing w:after="0"/>
        <w:tabs>
          <w:tab w:leader="none" w:pos="19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Group’s long-term growth plan necessitates:</w:t>
      </w:r>
    </w:p>
    <w:p>
      <w:pPr>
        <w:spacing w:after="0" w:line="161" w:lineRule="exact"/>
        <w:rPr>
          <w:rFonts w:ascii="Times New Roman" w:cs="Times New Roman" w:eastAsia="Times New Roman" w:hAnsi="Times New Roman"/>
          <w:sz w:val="20"/>
          <w:szCs w:val="20"/>
          <w:color w:val="auto"/>
        </w:rPr>
      </w:pPr>
    </w:p>
    <w:p>
      <w:pPr>
        <w:ind w:left="2700" w:right="600" w:hanging="789"/>
        <w:spacing w:after="0" w:line="269" w:lineRule="auto"/>
        <w:tabs>
          <w:tab w:leader="none" w:pos="2700"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amendment of the Tangible Solvency Ratio covenant levels for the Financial Years 2022 and 2023; and</w:t>
      </w:r>
    </w:p>
    <w:p>
      <w:pPr>
        <w:spacing w:after="0" w:line="105" w:lineRule="exact"/>
        <w:rPr>
          <w:rFonts w:ascii="Times New Roman" w:cs="Times New Roman" w:eastAsia="Times New Roman" w:hAnsi="Times New Roman"/>
          <w:sz w:val="20"/>
          <w:szCs w:val="20"/>
          <w:color w:val="auto"/>
        </w:rPr>
      </w:pPr>
    </w:p>
    <w:p>
      <w:pPr>
        <w:jc w:val="both"/>
        <w:ind w:left="2700" w:right="600" w:hanging="789"/>
        <w:spacing w:after="0" w:line="295" w:lineRule="auto"/>
        <w:tabs>
          <w:tab w:leader="none" w:pos="2700" w:val="left"/>
        </w:tabs>
        <w:numPr>
          <w:ilvl w:val="1"/>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postponement of the entry into force of the minimum EBITDA financial covenant set out in Clause 24.3(b) of the Original Facility Agreement to the Financial Quarter ending on 30 June 2024;</w:t>
      </w:r>
    </w:p>
    <w:p>
      <w:pPr>
        <w:spacing w:after="0" w:line="83" w:lineRule="exact"/>
        <w:rPr>
          <w:rFonts w:ascii="Times New Roman" w:cs="Times New Roman" w:eastAsia="Times New Roman" w:hAnsi="Times New Roman"/>
          <w:sz w:val="19"/>
          <w:szCs w:val="19"/>
          <w:color w:val="auto"/>
        </w:rPr>
      </w:pPr>
    </w:p>
    <w:p>
      <w:pPr>
        <w:jc w:val="both"/>
        <w:ind w:left="1900" w:right="600" w:hanging="799"/>
        <w:spacing w:after="0" w:line="249" w:lineRule="auto"/>
        <w:tabs>
          <w:tab w:leader="none" w:pos="19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to and in line with the waiver letter entered into by the Obligors’ Agent, the Company and the Agent on 16 February 2022, it is desirable that the requirement for the Company to deliver the Quarterly Financial Statements for each Financial Quarter ending on 31 December to the Agent is amended to align with the financial data produced by the Company for its earnings calls for such Financial Quarters; and</w:t>
      </w:r>
    </w:p>
    <w:p>
      <w:pPr>
        <w:spacing w:after="0" w:line="125" w:lineRule="exact"/>
        <w:rPr>
          <w:rFonts w:ascii="Times New Roman" w:cs="Times New Roman" w:eastAsia="Times New Roman" w:hAnsi="Times New Roman"/>
          <w:sz w:val="20"/>
          <w:szCs w:val="20"/>
          <w:color w:val="auto"/>
        </w:rPr>
      </w:pPr>
    </w:p>
    <w:p>
      <w:pPr>
        <w:ind w:left="1900" w:right="600" w:hanging="799"/>
        <w:spacing w:after="0" w:line="269" w:lineRule="auto"/>
        <w:tabs>
          <w:tab w:leader="none" w:pos="19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desirable that the Group is permitted to provide certain Security for export credit agency backed loans which the Group is permitted under the Finance Documents to incur.</w:t>
      </w:r>
    </w:p>
    <w:p>
      <w:pPr>
        <w:spacing w:after="0" w:line="1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This Amendment Letter is entered into for the purpose of effecting the foregoing.</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EMEA 137751216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284480</wp:posOffset>
            </wp:positionV>
            <wp:extent cx="71748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7" w:name="page268"/>
    <w:bookmarkEnd w:id="267"/>
    <w:p>
      <w:pPr>
        <w:jc w:val="both"/>
        <w:ind w:left="880" w:hanging="782"/>
        <w:spacing w:after="0" w:line="250" w:lineRule="auto"/>
        <w:tabs>
          <w:tab w:leader="none" w:pos="86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Pursuant to Clause 2.5 (</w:t>
      </w:r>
      <w:r>
        <w:rPr>
          <w:rFonts w:ascii="Times New Roman" w:cs="Times New Roman" w:eastAsia="Times New Roman" w:hAnsi="Times New Roman"/>
          <w:sz w:val="20"/>
          <w:szCs w:val="20"/>
          <w:i w:val="1"/>
          <w:iCs w:val="1"/>
          <w:color w:val="auto"/>
        </w:rPr>
        <w:t>Obligors’ Agent</w:t>
      </w:r>
      <w:r>
        <w:rPr>
          <w:rFonts w:ascii="Times New Roman" w:cs="Times New Roman" w:eastAsia="Times New Roman" w:hAnsi="Times New Roman"/>
          <w:sz w:val="20"/>
          <w:szCs w:val="20"/>
          <w:color w:val="auto"/>
        </w:rPr>
        <w:t>) of the Original Facility Agreement (which continues in full force and effect), the Obligors’ Agent continues in its appointment as agent on behalf of each Obligor in respect of the Finance Documents and is authorised to make such agreements and to effect relevant amendments, supplements and variations capable of being given, made or effected by any Obligor.</w:t>
      </w:r>
    </w:p>
    <w:p>
      <w:pPr>
        <w:spacing w:after="0" w:line="122" w:lineRule="exact"/>
        <w:rPr>
          <w:sz w:val="20"/>
          <w:szCs w:val="20"/>
          <w:color w:val="auto"/>
        </w:rPr>
      </w:pPr>
    </w:p>
    <w:p>
      <w:pPr>
        <w:ind w:left="880" w:hanging="804"/>
        <w:spacing w:after="0"/>
        <w:tabs>
          <w:tab w:leader="none" w:pos="88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to the Original Facility Agreement</w:t>
      </w:r>
    </w:p>
    <w:p>
      <w:pPr>
        <w:spacing w:after="0" w:line="166"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The Obligors’ Agent hereby requests for itself, and on behalf of each other Obligor, that the Agent (acting on behalf of the</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Majority Lenders) agrees:</w:t>
      </w:r>
    </w:p>
    <w:p>
      <w:pPr>
        <w:spacing w:after="0" w:line="136" w:lineRule="exact"/>
        <w:rPr>
          <w:sz w:val="20"/>
          <w:szCs w:val="20"/>
          <w:color w:val="auto"/>
        </w:rPr>
      </w:pPr>
    </w:p>
    <w:p>
      <w:pPr>
        <w:ind w:left="1660" w:hanging="774"/>
        <w:spacing w:after="0" w:line="273" w:lineRule="auto"/>
        <w:tabs>
          <w:tab w:leader="none" w:pos="166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paragraph (b) of the definition of “Permitted Payment” set out in Clause 1.1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shall be amended to read as follows:</w:t>
      </w:r>
    </w:p>
    <w:p>
      <w:pPr>
        <w:spacing w:after="0" w:line="101" w:lineRule="exact"/>
        <w:rPr>
          <w:rFonts w:ascii="Times New Roman" w:cs="Times New Roman" w:eastAsia="Times New Roman" w:hAnsi="Times New Roman"/>
          <w:sz w:val="20"/>
          <w:szCs w:val="20"/>
          <w:color w:val="auto"/>
        </w:rPr>
      </w:pPr>
    </w:p>
    <w:p>
      <w:pPr>
        <w:ind w:left="1680" w:right="8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“from the date the Conversion Option is exercised, the payment of any dividend, return on capital, repayment of capital contributions or other distribution or payment in respect of share capital or partnership interest by the Company to a shareholder of the Company, provided that (i) to the extent such payment relates to any dividend, the Total Net Leverage Ratio, both immediately before and immediately after the making of the payment (calculated as if the Relevant Period ended on such date), is equal to or less than 1.00:1 and (ii) such payment is made when no Event of Default is continuing or would occur immediately after the making of the payment;”</w:t>
      </w:r>
    </w:p>
    <w:p>
      <w:pPr>
        <w:spacing w:after="0" w:line="118" w:lineRule="exact"/>
        <w:rPr>
          <w:rFonts w:ascii="Times New Roman" w:cs="Times New Roman" w:eastAsia="Times New Roman" w:hAnsi="Times New Roman"/>
          <w:sz w:val="20"/>
          <w:szCs w:val="20"/>
          <w:color w:val="auto"/>
        </w:rPr>
      </w:pPr>
    </w:p>
    <w:p>
      <w:pPr>
        <w:ind w:left="1660" w:hanging="774"/>
        <w:spacing w:after="0"/>
        <w:tabs>
          <w:tab w:leader="none" w:pos="166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substitute the table set out in Clause 24.3(a) of the Original Facility Agreement with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142875</wp:posOffset>
            </wp:positionV>
            <wp:extent cx="4997450" cy="1680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4997450" cy="1680210"/>
                    </a:xfrm>
                    <a:prstGeom prst="rect">
                      <a:avLst/>
                    </a:prstGeom>
                    <a:noFill/>
                  </pic:spPr>
                </pic:pic>
              </a:graphicData>
            </a:graphic>
          </wp:anchor>
        </w:drawing>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76"/>
        </w:trPr>
        <w:tc>
          <w:tcPr>
            <w:tcW w:w="2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Quarter Date</w:t>
            </w:r>
          </w:p>
        </w:tc>
        <w:tc>
          <w:tcPr>
            <w:tcW w:w="5220" w:type="dxa"/>
            <w:vAlign w:val="bottom"/>
            <w:tcBorders>
              <w:top w:val="single" w:sz="8" w:color="auto"/>
            </w:tcBorders>
          </w:tcPr>
          <w:p>
            <w:pPr>
              <w:ind w:left="1400"/>
              <w:spacing w:after="0"/>
              <w:rPr>
                <w:sz w:val="20"/>
                <w:szCs w:val="20"/>
                <w:color w:val="auto"/>
              </w:rPr>
            </w:pPr>
            <w:r>
              <w:rPr>
                <w:rFonts w:ascii="Times New Roman" w:cs="Times New Roman" w:eastAsia="Times New Roman" w:hAnsi="Times New Roman"/>
                <w:sz w:val="20"/>
                <w:szCs w:val="20"/>
                <w:b w:val="1"/>
                <w:bCs w:val="1"/>
                <w:color w:val="auto"/>
              </w:rPr>
              <w:t>Tangible Solvency Ratio (per cent.)</w:t>
            </w:r>
          </w:p>
        </w:tc>
      </w:tr>
    </w:tbl>
    <w:p>
      <w:pPr>
        <w:spacing w:after="0" w:line="1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Remaining Quarter Dates in 2021 from and  55</w:t>
      </w:r>
    </w:p>
    <w:p>
      <w:pPr>
        <w:spacing w:after="0" w:line="21" w:lineRule="exact"/>
        <w:rPr>
          <w:sz w:val="20"/>
          <w:szCs w:val="20"/>
          <w:color w:val="auto"/>
        </w:rPr>
      </w:pPr>
    </w:p>
    <w:p>
      <w:pPr>
        <w:ind w:left="1760"/>
        <w:spacing w:after="0"/>
        <w:tabs>
          <w:tab w:leader="none" w:pos="2680" w:val="left"/>
          <w:tab w:leader="none" w:pos="3100" w:val="left"/>
          <w:tab w:leader="none" w:pos="3600" w:val="left"/>
          <w:tab w:leader="none" w:pos="4380" w:val="left"/>
          <w:tab w:leader="none" w:pos="4940" w:val="left"/>
          <w:tab w:leader="none" w:pos="5260" w:val="left"/>
        </w:tabs>
        <w:rPr>
          <w:sz w:val="20"/>
          <w:szCs w:val="20"/>
          <w:color w:val="auto"/>
        </w:rPr>
      </w:pPr>
      <w:r>
        <w:rPr>
          <w:rFonts w:ascii="Times New Roman" w:cs="Times New Roman" w:eastAsia="Times New Roman" w:hAnsi="Times New Roman"/>
          <w:sz w:val="20"/>
          <w:szCs w:val="20"/>
          <w:color w:val="auto"/>
        </w:rPr>
        <w:t>including</w:t>
        <w:tab/>
        <w:t>the</w:t>
        <w:tab/>
        <w:t>first</w:t>
        <w:tab/>
        <w:t>Quarter</w:t>
        <w:tab/>
        <w:t>Date</w:t>
        <w:tab/>
        <w:t>to</w:t>
      </w:r>
      <w:r>
        <w:rPr>
          <w:sz w:val="20"/>
          <w:szCs w:val="20"/>
          <w:color w:val="auto"/>
        </w:rPr>
        <w:tab/>
      </w:r>
      <w:r>
        <w:rPr>
          <w:rFonts w:ascii="Times New Roman" w:cs="Times New Roman" w:eastAsia="Times New Roman" w:hAnsi="Times New Roman"/>
          <w:sz w:val="19"/>
          <w:szCs w:val="19"/>
          <w:color w:val="auto"/>
        </w:rPr>
        <w:t>fall</w:t>
      </w:r>
    </w:p>
    <w:p>
      <w:pPr>
        <w:ind w:left="1760"/>
        <w:spacing w:after="0"/>
        <w:tabs>
          <w:tab w:leader="none" w:pos="2940" w:val="left"/>
          <w:tab w:leader="none" w:pos="3900" w:val="left"/>
          <w:tab w:leader="none" w:pos="4340" w:val="left"/>
          <w:tab w:leader="none" w:pos="5020" w:val="left"/>
        </w:tabs>
        <w:rPr>
          <w:sz w:val="20"/>
          <w:szCs w:val="20"/>
          <w:color w:val="auto"/>
        </w:rPr>
      </w:pPr>
      <w:r>
        <w:rPr>
          <w:rFonts w:ascii="Times New Roman" w:cs="Times New Roman" w:eastAsia="Times New Roman" w:hAnsi="Times New Roman"/>
          <w:sz w:val="20"/>
          <w:szCs w:val="20"/>
          <w:color w:val="auto"/>
        </w:rPr>
        <w:t>immediately</w:t>
        <w:tab/>
        <w:t>following</w:t>
        <w:tab/>
        <w:t>the</w:t>
        <w:tab/>
        <w:t>Initial</w:t>
      </w:r>
      <w:r>
        <w:rPr>
          <w:sz w:val="20"/>
          <w:szCs w:val="20"/>
          <w:color w:val="auto"/>
        </w:rPr>
        <w:tab/>
      </w:r>
      <w:r>
        <w:rPr>
          <w:rFonts w:ascii="Times New Roman" w:cs="Times New Roman" w:eastAsia="Times New Roman" w:hAnsi="Times New Roman"/>
          <w:sz w:val="19"/>
          <w:szCs w:val="19"/>
          <w:color w:val="auto"/>
        </w:rPr>
        <w:t>Public</w:t>
      </w:r>
    </w:p>
    <w:p>
      <w:pPr>
        <w:ind w:left="1760"/>
        <w:spacing w:after="0"/>
        <w:rPr>
          <w:sz w:val="20"/>
          <w:szCs w:val="20"/>
          <w:color w:val="auto"/>
        </w:rPr>
      </w:pPr>
      <w:r>
        <w:rPr>
          <w:rFonts w:ascii="Times New Roman" w:cs="Times New Roman" w:eastAsia="Times New Roman" w:hAnsi="Times New Roman"/>
          <w:sz w:val="20"/>
          <w:szCs w:val="20"/>
          <w:color w:val="auto"/>
        </w:rPr>
        <w:t>Offering Settlement Date</w:t>
      </w:r>
    </w:p>
    <w:p>
      <w:pPr>
        <w:spacing w:after="0" w:line="115" w:lineRule="exact"/>
        <w:rPr>
          <w:sz w:val="20"/>
          <w:szCs w:val="20"/>
          <w:color w:val="auto"/>
        </w:rPr>
      </w:pPr>
    </w:p>
    <w:tbl>
      <w:tblPr>
        <w:tblLayout w:type="fixed"/>
        <w:tblInd w:w="1660" w:type="dxa"/>
        <w:tblCellMar>
          <w:top w:w="0" w:type="dxa"/>
          <w:left w:w="0" w:type="dxa"/>
          <w:bottom w:w="0" w:type="dxa"/>
          <w:right w:w="0" w:type="dxa"/>
        </w:tblCellMar>
      </w:tblPr>
      <w:tr>
        <w:trPr>
          <w:trHeight w:val="272"/>
        </w:trPr>
        <w:tc>
          <w:tcPr>
            <w:tcW w:w="3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Quarter Dates in 2022</w:t>
            </w:r>
          </w:p>
        </w:tc>
        <w:tc>
          <w:tcPr>
            <w:tcW w:w="4360" w:type="dxa"/>
            <w:vAlign w:val="bottom"/>
            <w:tcBorders>
              <w:top w:val="single" w:sz="8" w:color="auto"/>
            </w:tcBorders>
          </w:tcPr>
          <w:p>
            <w:pPr>
              <w:jc w:val="right"/>
              <w:ind w:right="3541"/>
              <w:spacing w:after="0"/>
              <w:rPr>
                <w:sz w:val="20"/>
                <w:szCs w:val="20"/>
                <w:color w:val="auto"/>
              </w:rPr>
            </w:pPr>
            <w:r>
              <w:rPr>
                <w:rFonts w:ascii="Times New Roman" w:cs="Times New Roman" w:eastAsia="Times New Roman" w:hAnsi="Times New Roman"/>
                <w:sz w:val="20"/>
                <w:szCs w:val="20"/>
                <w:color w:val="auto"/>
              </w:rPr>
              <w:t>40</w:t>
            </w:r>
          </w:p>
        </w:tc>
      </w:tr>
      <w:tr>
        <w:trPr>
          <w:trHeight w:val="120"/>
        </w:trPr>
        <w:tc>
          <w:tcPr>
            <w:tcW w:w="350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r>
      <w:tr>
        <w:trPr>
          <w:trHeight w:val="252"/>
        </w:trPr>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Quarter Dates in 2023</w:t>
            </w:r>
          </w:p>
        </w:tc>
        <w:tc>
          <w:tcPr>
            <w:tcW w:w="4360" w:type="dxa"/>
            <w:vAlign w:val="bottom"/>
          </w:tcPr>
          <w:p>
            <w:pPr>
              <w:jc w:val="right"/>
              <w:ind w:right="3541"/>
              <w:spacing w:after="0"/>
              <w:rPr>
                <w:sz w:val="20"/>
                <w:szCs w:val="20"/>
                <w:color w:val="auto"/>
              </w:rPr>
            </w:pPr>
            <w:r>
              <w:rPr>
                <w:rFonts w:ascii="Times New Roman" w:cs="Times New Roman" w:eastAsia="Times New Roman" w:hAnsi="Times New Roman"/>
                <w:sz w:val="20"/>
                <w:szCs w:val="20"/>
                <w:color w:val="auto"/>
              </w:rPr>
              <w:t>25</w:t>
            </w:r>
          </w:p>
        </w:tc>
      </w:tr>
      <w:tr>
        <w:trPr>
          <w:trHeight w:val="120"/>
        </w:trPr>
        <w:tc>
          <w:tcPr>
            <w:tcW w:w="350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r>
      <w:tr>
        <w:trPr>
          <w:trHeight w:val="252"/>
        </w:trPr>
        <w:tc>
          <w:tcPr>
            <w:tcW w:w="3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Quarter Dates in 2024 and thereafter</w:t>
            </w:r>
          </w:p>
        </w:tc>
        <w:tc>
          <w:tcPr>
            <w:tcW w:w="4360" w:type="dxa"/>
            <w:vAlign w:val="bottom"/>
          </w:tcPr>
          <w:p>
            <w:pPr>
              <w:jc w:val="right"/>
              <w:ind w:right="3541"/>
              <w:spacing w:after="0"/>
              <w:rPr>
                <w:sz w:val="20"/>
                <w:szCs w:val="20"/>
                <w:color w:val="auto"/>
              </w:rPr>
            </w:pPr>
            <w:r>
              <w:rPr>
                <w:rFonts w:ascii="Times New Roman" w:cs="Times New Roman" w:eastAsia="Times New Roman" w:hAnsi="Times New Roman"/>
                <w:sz w:val="20"/>
                <w:szCs w:val="20"/>
                <w:color w:val="auto"/>
              </w:rPr>
              <w:t>20</w:t>
            </w:r>
          </w:p>
        </w:tc>
      </w:tr>
    </w:tbl>
    <w:p>
      <w:pPr>
        <w:spacing w:after="0" w:line="268" w:lineRule="exact"/>
        <w:rPr>
          <w:sz w:val="20"/>
          <w:szCs w:val="20"/>
          <w:color w:val="auto"/>
        </w:rPr>
      </w:pPr>
    </w:p>
    <w:p>
      <w:pPr>
        <w:ind w:left="1660" w:hanging="774"/>
        <w:spacing w:after="0" w:line="273" w:lineRule="auto"/>
        <w:tabs>
          <w:tab w:leader="none" w:pos="166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Clause 24.3(b) of the Original Facility Agreement shall be amended to read as follows: “</w:t>
      </w:r>
      <w:r>
        <w:rPr>
          <w:rFonts w:ascii="Times New Roman" w:cs="Times New Roman" w:eastAsia="Times New Roman" w:hAnsi="Times New Roman"/>
          <w:sz w:val="20"/>
          <w:szCs w:val="20"/>
          <w:i w:val="1"/>
          <w:iCs w:val="1"/>
          <w:color w:val="auto"/>
        </w:rPr>
        <w:t>Minimum EBITDA</w:t>
      </w:r>
      <w:r>
        <w:rPr>
          <w:rFonts w:ascii="Times New Roman" w:cs="Times New Roman" w:eastAsia="Times New Roman" w:hAnsi="Times New Roman"/>
          <w:sz w:val="20"/>
          <w:szCs w:val="20"/>
          <w:color w:val="auto"/>
        </w:rPr>
        <w:t>: prior to the exercise of the Conversion Option only:</w:t>
      </w:r>
    </w:p>
    <w:p>
      <w:pPr>
        <w:spacing w:after="0" w:line="101" w:lineRule="exact"/>
        <w:rPr>
          <w:rFonts w:ascii="Times New Roman" w:cs="Times New Roman" w:eastAsia="Times New Roman" w:hAnsi="Times New Roman"/>
          <w:sz w:val="20"/>
          <w:szCs w:val="20"/>
          <w:color w:val="auto"/>
        </w:rPr>
      </w:pPr>
    </w:p>
    <w:p>
      <w:pPr>
        <w:jc w:val="both"/>
        <w:ind w:left="2320" w:hanging="638"/>
        <w:spacing w:after="0" w:line="245" w:lineRule="auto"/>
        <w:tabs>
          <w:tab w:leader="none" w:pos="232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Company has notified the Agent that the Group has received, no later than by the end of the Relevant Period ending on 31 December 2022, additional capital (whether in the form of equity and/or debt, but provided that it is permitted under the terms of this Agreement) in an amount which is not less than USD 400,000,000 (or its equivalent in any other currency or currencies) (the “</w:t>
      </w:r>
      <w:r>
        <w:rPr>
          <w:rFonts w:ascii="Times New Roman" w:cs="Times New Roman" w:eastAsia="Times New Roman" w:hAnsi="Times New Roman"/>
          <w:sz w:val="20"/>
          <w:szCs w:val="20"/>
          <w:b w:val="1"/>
          <w:bCs w:val="1"/>
          <w:color w:val="auto"/>
        </w:rPr>
        <w:t>Required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Raise</w:t>
      </w:r>
      <w:r>
        <w:rPr>
          <w:rFonts w:ascii="Times New Roman" w:cs="Times New Roman" w:eastAsia="Times New Roman" w:hAnsi="Times New Roman"/>
          <w:sz w:val="20"/>
          <w:szCs w:val="20"/>
          <w:color w:val="auto"/>
        </w:rPr>
        <w:t>”), the Group’s EBITDA in respect of each Financial Quarter ending on or after 30 June 2023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exceed SEK 0; and</w:t>
      </w:r>
    </w:p>
    <w:p>
      <w:pPr>
        <w:spacing w:after="0" w:line="130" w:lineRule="exact"/>
        <w:rPr>
          <w:rFonts w:ascii="Times New Roman" w:cs="Times New Roman" w:eastAsia="Times New Roman" w:hAnsi="Times New Roman"/>
          <w:sz w:val="20"/>
          <w:szCs w:val="20"/>
          <w:color w:val="auto"/>
        </w:rPr>
      </w:pPr>
    </w:p>
    <w:p>
      <w:pPr>
        <w:ind w:left="2320" w:hanging="638"/>
        <w:spacing w:after="0" w:line="269" w:lineRule="auto"/>
        <w:tabs>
          <w:tab w:leader="none" w:pos="232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has notified the Agent that the Group has received, no later than by the end of the Relevant Period ending on 31 December 2022, the Required Capital</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137751216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284480</wp:posOffset>
            </wp:positionV>
            <wp:extent cx="71748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0"/>
          </w:cols>
          <w:pgMar w:left="360" w:top="734" w:right="939" w:bottom="1440" w:gutter="0" w:footer="0" w:header="0"/>
        </w:sectPr>
      </w:pPr>
    </w:p>
    <w:bookmarkStart w:id="268" w:name="page269"/>
    <w:bookmarkEnd w:id="268"/>
    <w:p>
      <w:pPr>
        <w:ind w:left="2320" w:right="180"/>
        <w:spacing w:after="0" w:line="269" w:lineRule="auto"/>
        <w:rPr>
          <w:sz w:val="20"/>
          <w:szCs w:val="20"/>
          <w:color w:val="auto"/>
        </w:rPr>
      </w:pPr>
      <w:r>
        <w:rPr>
          <w:rFonts w:ascii="Times New Roman" w:cs="Times New Roman" w:eastAsia="Times New Roman" w:hAnsi="Times New Roman"/>
          <w:sz w:val="20"/>
          <w:szCs w:val="20"/>
          <w:color w:val="auto"/>
        </w:rPr>
        <w:t>Raise, the Group’s EBITDA in respect of each Financial Quarter ending on or after 30 June 2024 shall exceed SEK 0.</w:t>
      </w:r>
    </w:p>
    <w:p>
      <w:pPr>
        <w:spacing w:after="0" w:line="101" w:lineRule="exact"/>
        <w:rPr>
          <w:sz w:val="20"/>
          <w:szCs w:val="20"/>
          <w:color w:val="auto"/>
        </w:rPr>
      </w:pPr>
    </w:p>
    <w:p>
      <w:pPr>
        <w:jc w:val="both"/>
        <w:ind w:left="1660" w:hanging="774"/>
        <w:spacing w:after="0" w:line="256" w:lineRule="auto"/>
        <w:tabs>
          <w:tab w:leader="none" w:pos="16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substitute the reference to “paragraph (c) of Clause 23.1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in the definition of “Quarterly Financial Statements” set out in Clause 23 (</w:t>
      </w:r>
      <w:r>
        <w:rPr>
          <w:rFonts w:ascii="Times New Roman" w:cs="Times New Roman" w:eastAsia="Times New Roman" w:hAnsi="Times New Roman"/>
          <w:sz w:val="20"/>
          <w:szCs w:val="20"/>
          <w:i w:val="1"/>
          <w:iCs w:val="1"/>
          <w:color w:val="auto"/>
        </w:rPr>
        <w:t>Information Undertakings</w:t>
      </w:r>
      <w:r>
        <w:rPr>
          <w:rFonts w:ascii="Times New Roman" w:cs="Times New Roman" w:eastAsia="Times New Roman" w:hAnsi="Times New Roman"/>
          <w:sz w:val="20"/>
          <w:szCs w:val="20"/>
          <w:color w:val="auto"/>
        </w:rPr>
        <w:t>) of the Original Facility Agreement with a reference to “paragraph (c)(i) of Clause 23.1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w:t>
      </w:r>
    </w:p>
    <w:p>
      <w:pPr>
        <w:spacing w:after="0" w:line="114" w:lineRule="exact"/>
        <w:rPr>
          <w:rFonts w:ascii="Times New Roman" w:cs="Times New Roman" w:eastAsia="Times New Roman" w:hAnsi="Times New Roman"/>
          <w:sz w:val="20"/>
          <w:szCs w:val="20"/>
          <w:color w:val="auto"/>
        </w:rPr>
      </w:pPr>
    </w:p>
    <w:p>
      <w:pPr>
        <w:ind w:left="1660" w:hanging="774"/>
        <w:spacing w:after="0" w:line="273" w:lineRule="auto"/>
        <w:tabs>
          <w:tab w:leader="none" w:pos="16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insert the following new definition into Clause 23 (</w:t>
      </w:r>
      <w:r>
        <w:rPr>
          <w:rFonts w:ascii="Times New Roman" w:cs="Times New Roman" w:eastAsia="Times New Roman" w:hAnsi="Times New Roman"/>
          <w:sz w:val="20"/>
          <w:szCs w:val="20"/>
          <w:i w:val="1"/>
          <w:iCs w:val="1"/>
          <w:color w:val="auto"/>
        </w:rPr>
        <w:t>Information Undertakings</w:t>
      </w:r>
      <w:r>
        <w:rPr>
          <w:rFonts w:ascii="Times New Roman" w:cs="Times New Roman" w:eastAsia="Times New Roman" w:hAnsi="Times New Roman"/>
          <w:sz w:val="20"/>
          <w:szCs w:val="20"/>
          <w:color w:val="auto"/>
        </w:rPr>
        <w:t>) of the Original Facility Agreement:</w:t>
      </w:r>
    </w:p>
    <w:p>
      <w:pPr>
        <w:spacing w:after="0" w:line="97" w:lineRule="exact"/>
        <w:rPr>
          <w:rFonts w:ascii="Times New Roman" w:cs="Times New Roman" w:eastAsia="Times New Roman" w:hAnsi="Times New Roman"/>
          <w:sz w:val="20"/>
          <w:szCs w:val="20"/>
          <w:color w:val="auto"/>
        </w:rPr>
      </w:pPr>
    </w:p>
    <w:p>
      <w:pPr>
        <w:ind w:left="1680" w:right="16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Q4 Earnings Call Financial Data</w:t>
      </w:r>
      <w:r>
        <w:rPr>
          <w:rFonts w:ascii="Times New Roman" w:cs="Times New Roman" w:eastAsia="Times New Roman" w:hAnsi="Times New Roman"/>
          <w:sz w:val="20"/>
          <w:szCs w:val="20"/>
          <w:color w:val="auto"/>
        </w:rPr>
        <w:t>” means, in relation to any Financial Quarter ending on 31 December, the financial data on which the Company’s earnings call in respect of such Financial Quarter is based, delivered pursuant to paragraph (c)(ii) of Clause 23.1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w:t>
      </w:r>
    </w:p>
    <w:p>
      <w:pPr>
        <w:spacing w:after="0" w:line="114" w:lineRule="exact"/>
        <w:rPr>
          <w:rFonts w:ascii="Times New Roman" w:cs="Times New Roman" w:eastAsia="Times New Roman" w:hAnsi="Times New Roman"/>
          <w:sz w:val="20"/>
          <w:szCs w:val="20"/>
          <w:color w:val="auto"/>
        </w:rPr>
      </w:pPr>
    </w:p>
    <w:p>
      <w:pPr>
        <w:ind w:left="1660" w:right="440" w:hanging="774"/>
        <w:spacing w:after="0" w:line="273" w:lineRule="auto"/>
        <w:tabs>
          <w:tab w:leader="none" w:pos="16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paragraph (c) of Clause 23.1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of the Original Facility Agreement to read as follows:</w:t>
      </w:r>
    </w:p>
    <w:p>
      <w:pPr>
        <w:spacing w:after="0" w:line="101" w:lineRule="exact"/>
        <w:rPr>
          <w:rFonts w:ascii="Times New Roman" w:cs="Times New Roman" w:eastAsia="Times New Roman" w:hAnsi="Times New Roman"/>
          <w:sz w:val="20"/>
          <w:szCs w:val="20"/>
          <w:color w:val="auto"/>
        </w:rPr>
      </w:pPr>
    </w:p>
    <w:p>
      <w:pPr>
        <w:ind w:left="1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w:t>
      </w:r>
    </w:p>
    <w:p>
      <w:pPr>
        <w:spacing w:after="0" w:line="161" w:lineRule="exact"/>
        <w:rPr>
          <w:rFonts w:ascii="Times New Roman" w:cs="Times New Roman" w:eastAsia="Times New Roman" w:hAnsi="Times New Roman"/>
          <w:sz w:val="20"/>
          <w:szCs w:val="20"/>
          <w:color w:val="auto"/>
        </w:rPr>
      </w:pPr>
    </w:p>
    <w:p>
      <w:pPr>
        <w:ind w:left="3260" w:right="80" w:hanging="781"/>
        <w:spacing w:after="0" w:line="266" w:lineRule="auto"/>
        <w:tabs>
          <w:tab w:leader="none" w:pos="3260" w:val="left"/>
        </w:tabs>
        <w:numPr>
          <w:ilvl w:val="1"/>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they are available, but in any event within 45 days after the end of each Financial Quarter (other than a Financial Quarter ending on 31 December), its consolidated financial statements for that Financial Quarter (commencing with the Financial Quarter ending on the first Quarter Date falling after the Initial Public Offering Settlement Date); and</w:t>
      </w:r>
    </w:p>
    <w:p>
      <w:pPr>
        <w:spacing w:after="0" w:line="111" w:lineRule="exact"/>
        <w:rPr>
          <w:rFonts w:ascii="Times New Roman" w:cs="Times New Roman" w:eastAsia="Times New Roman" w:hAnsi="Times New Roman"/>
          <w:sz w:val="19"/>
          <w:szCs w:val="19"/>
          <w:color w:val="auto"/>
        </w:rPr>
      </w:pPr>
    </w:p>
    <w:p>
      <w:pPr>
        <w:jc w:val="both"/>
        <w:ind w:left="3260" w:hanging="781"/>
        <w:spacing w:after="0" w:line="254" w:lineRule="auto"/>
        <w:tabs>
          <w:tab w:leader="none" w:pos="326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it is available, but in any event within 75 days after the end of each Financial Quarter ending on 31 December, its Q4 Earnings Call Financial Data for that Financial Quarter;”</w:t>
      </w:r>
    </w:p>
    <w:p>
      <w:pPr>
        <w:spacing w:after="0" w:line="116" w:lineRule="exact"/>
        <w:rPr>
          <w:rFonts w:ascii="Times New Roman" w:cs="Times New Roman" w:eastAsia="Times New Roman" w:hAnsi="Times New Roman"/>
          <w:sz w:val="20"/>
          <w:szCs w:val="20"/>
          <w:color w:val="auto"/>
        </w:rPr>
      </w:pPr>
    </w:p>
    <w:p>
      <w:pPr>
        <w:ind w:left="1660" w:right="260" w:hanging="774"/>
        <w:spacing w:after="0" w:line="273" w:lineRule="auto"/>
        <w:tabs>
          <w:tab w:leader="none" w:pos="16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paragraph (a) of Clause 23.2 (</w:t>
      </w:r>
      <w:r>
        <w:rPr>
          <w:rFonts w:ascii="Times New Roman" w:cs="Times New Roman" w:eastAsia="Times New Roman" w:hAnsi="Times New Roman"/>
          <w:sz w:val="20"/>
          <w:szCs w:val="20"/>
          <w:i w:val="1"/>
          <w:iCs w:val="1"/>
          <w:color w:val="auto"/>
        </w:rPr>
        <w:t>Compliance Certificate</w:t>
      </w:r>
      <w:r>
        <w:rPr>
          <w:rFonts w:ascii="Times New Roman" w:cs="Times New Roman" w:eastAsia="Times New Roman" w:hAnsi="Times New Roman"/>
          <w:sz w:val="20"/>
          <w:szCs w:val="20"/>
          <w:color w:val="auto"/>
        </w:rPr>
        <w:t>) of the Original Facility Agreement to read as follows:</w:t>
      </w:r>
    </w:p>
    <w:p>
      <w:pPr>
        <w:sectPr>
          <w:pgSz w:w="11900" w:h="16838" w:orient="portrait"/>
          <w:cols w:equalWidth="0" w:num="1">
            <w:col w:w="10600"/>
          </w:cols>
          <w:pgMar w:left="360" w:top="576" w:right="939" w:bottom="1440" w:gutter="0" w:footer="0" w:header="0"/>
        </w:sectPr>
      </w:pPr>
    </w:p>
    <w:p>
      <w:pPr>
        <w:spacing w:after="0" w:line="10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“(a)</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The Company shall supply a Compliance Certificate to the Agent with each Annual Report, each set of its Quarterly Financial Statements and each set of Q4 Earnings Call Financial Data.”</w:t>
      </w:r>
    </w:p>
    <w:p>
      <w:pPr>
        <w:spacing w:after="0" w:line="101" w:lineRule="exact"/>
        <w:rPr>
          <w:sz w:val="20"/>
          <w:szCs w:val="20"/>
          <w:color w:val="auto"/>
        </w:rPr>
      </w:pPr>
    </w:p>
    <w:p>
      <w:pPr>
        <w:sectPr>
          <w:pgSz w:w="11900" w:h="16838" w:orient="portrait"/>
          <w:cols w:equalWidth="0" w:num="2">
            <w:col w:w="2000" w:space="460"/>
            <w:col w:w="8140"/>
          </w:cols>
          <w:pgMar w:left="360" w:top="576" w:right="939" w:bottom="1440" w:gutter="0" w:footer="0" w:header="0"/>
          <w:type w:val="continuous"/>
        </w:sectPr>
      </w:pPr>
    </w:p>
    <w:p>
      <w:pPr>
        <w:ind w:left="1660" w:right="260" w:hanging="774"/>
        <w:spacing w:after="0" w:line="273" w:lineRule="auto"/>
        <w:tabs>
          <w:tab w:leader="none" w:pos="16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paragraph (j) of the definition of “Permitted Security” set out in Clause 1.1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of the Original Facility Agreement to read as follows:</w:t>
      </w:r>
    </w:p>
    <w:p>
      <w:pPr>
        <w:sectPr>
          <w:pgSz w:w="11900" w:h="16838" w:orient="portrait"/>
          <w:cols w:equalWidth="0" w:num="1">
            <w:col w:w="10600"/>
          </w:cols>
          <w:pgMar w:left="360" w:top="576" w:right="939" w:bottom="1440" w:gutter="0" w:footer="0" w:header="0"/>
          <w:type w:val="continuous"/>
        </w:sectPr>
      </w:pPr>
    </w:p>
    <w:p>
      <w:pPr>
        <w:spacing w:after="0" w:line="10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“(j)</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any Security or Quasi-Security arising as a consequence of any export credit agency backed loan or Finance Lease (as applicable) permitted pursuant to paragraph (k) of the definition of “Permitted Financial Indebtedness” provided that such Security or Quasi-Security is over the asset to which the export credit agency backed loan or Finance Lease (as applicable) relates;”</w:t>
      </w:r>
    </w:p>
    <w:p>
      <w:pPr>
        <w:spacing w:after="0" w:line="122" w:lineRule="exact"/>
        <w:rPr>
          <w:sz w:val="20"/>
          <w:szCs w:val="20"/>
          <w:color w:val="auto"/>
        </w:rPr>
      </w:pPr>
    </w:p>
    <w:p>
      <w:pPr>
        <w:sectPr>
          <w:pgSz w:w="11900" w:h="16838" w:orient="portrait"/>
          <w:cols w:equalWidth="0" w:num="2">
            <w:col w:w="1960" w:space="500"/>
            <w:col w:w="8140"/>
          </w:cols>
          <w:pgMar w:left="360" w:top="576" w:right="9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b w:val="1"/>
          <w:bCs w:val="1"/>
          <w:color w:val="auto"/>
        </w:rPr>
        <w:t>Amendments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880" w:hanging="782"/>
        <w:spacing w:after="0" w:line="254" w:lineRule="auto"/>
        <w:tabs>
          <w:tab w:leader="none" w:pos="86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By countersigning this Amendment Letter, the Agent (acting on behalf of the Majority Lenders) acknowledges and agrees to the Amendments, and with effect from (and including) the date of countersignature of this Amendment Letter (such date being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the Agent:</w:t>
      </w:r>
    </w:p>
    <w:p>
      <w:pPr>
        <w:spacing w:after="0" w:line="120" w:lineRule="exact"/>
        <w:rPr>
          <w:sz w:val="20"/>
          <w:szCs w:val="20"/>
          <w:color w:val="auto"/>
        </w:rPr>
      </w:pPr>
    </w:p>
    <w:p>
      <w:pPr>
        <w:ind w:left="1860" w:hanging="799"/>
        <w:spacing w:after="0"/>
        <w:tabs>
          <w:tab w:leader="none" w:pos="18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Amendments shall immediately and automatically become effective;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137751216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284480</wp:posOffset>
            </wp:positionV>
            <wp:extent cx="71748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0"/>
          </w:cols>
          <w:pgMar w:left="360" w:top="576" w:right="939" w:bottom="1440" w:gutter="0" w:footer="0" w:header="0"/>
          <w:type w:val="continuous"/>
        </w:sectPr>
      </w:pPr>
    </w:p>
    <w:bookmarkStart w:id="269" w:name="page270"/>
    <w:bookmarkEnd w:id="269"/>
    <w:p>
      <w:pPr>
        <w:jc w:val="both"/>
        <w:ind w:left="1860" w:hanging="799"/>
        <w:spacing w:after="0" w:line="254" w:lineRule="auto"/>
        <w:tabs>
          <w:tab w:leader="none" w:pos="18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in the Original Facility Agreement to “this Agreement”, and all references in any other Finance Document to “the Facility Agreement”, shall include the Original Facility Agreement as amended by this Amendment Letter; and</w:t>
      </w:r>
    </w:p>
    <w:p>
      <w:pPr>
        <w:spacing w:after="0" w:line="120" w:lineRule="exact"/>
        <w:rPr>
          <w:rFonts w:ascii="Times New Roman" w:cs="Times New Roman" w:eastAsia="Times New Roman" w:hAnsi="Times New Roman"/>
          <w:sz w:val="20"/>
          <w:szCs w:val="20"/>
          <w:color w:val="auto"/>
        </w:rPr>
      </w:pPr>
    </w:p>
    <w:p>
      <w:pPr>
        <w:ind w:left="1860" w:hanging="799"/>
        <w:spacing w:after="0"/>
        <w:tabs>
          <w:tab w:leader="none" w:pos="18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Facility Agreement and this Amendment Letter shall be read and construed as one instrument.</w:t>
      </w:r>
    </w:p>
    <w:p>
      <w:pPr>
        <w:spacing w:after="0" w:line="162" w:lineRule="exact"/>
        <w:rPr>
          <w:sz w:val="20"/>
          <w:szCs w:val="20"/>
          <w:color w:val="auto"/>
        </w:rPr>
      </w:pPr>
    </w:p>
    <w:p>
      <w:pPr>
        <w:jc w:val="both"/>
        <w:ind w:left="880" w:hanging="782"/>
        <w:spacing w:after="0" w:line="254" w:lineRule="auto"/>
        <w:tabs>
          <w:tab w:leader="none" w:pos="86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The Obligors’ Agent, for itself and on behalf of each other Obligor, agrees and acknowledges that, save as expressly amended by this Amendment Letter, the Original Facility Agreement and each other Finance Document remains and shall continue in full force and effect.</w:t>
      </w:r>
    </w:p>
    <w:p>
      <w:pPr>
        <w:spacing w:after="0" w:line="116" w:lineRule="exact"/>
        <w:rPr>
          <w:sz w:val="20"/>
          <w:szCs w:val="20"/>
          <w:color w:val="auto"/>
        </w:rPr>
      </w:pPr>
    </w:p>
    <w:p>
      <w:pPr>
        <w:ind w:left="880" w:hanging="629"/>
        <w:spacing w:after="0"/>
        <w:tabs>
          <w:tab w:leader="none" w:pos="880" w:val="left"/>
        </w:tabs>
        <w:numPr>
          <w:ilvl w:val="1"/>
          <w:numId w:val="2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Repeating Representations</w:t>
      </w:r>
    </w:p>
    <w:p>
      <w:pPr>
        <w:spacing w:after="0" w:line="165" w:lineRule="exact"/>
        <w:rPr>
          <w:rFonts w:ascii="Times New Roman" w:cs="Times New Roman" w:eastAsia="Times New Roman" w:hAnsi="Times New Roman"/>
          <w:sz w:val="20"/>
          <w:szCs w:val="20"/>
          <w:b w:val="1"/>
          <w:bCs w:val="1"/>
          <w:color w:val="auto"/>
        </w:rPr>
      </w:pPr>
    </w:p>
    <w:p>
      <w:pPr>
        <w:ind w:left="900" w:right="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Obligors’ Agent, for itself and on behalf of the other Obligors, makes the Repeating Representations, and the representations and warranties set out in Clause 22.16 (</w:t>
      </w:r>
      <w:r>
        <w:rPr>
          <w:rFonts w:ascii="Times New Roman" w:cs="Times New Roman" w:eastAsia="Times New Roman" w:hAnsi="Times New Roman"/>
          <w:sz w:val="20"/>
          <w:szCs w:val="20"/>
          <w:i w:val="1"/>
          <w:iCs w:val="1"/>
          <w:color w:val="auto"/>
        </w:rPr>
        <w:t>No misleading information</w:t>
      </w:r>
      <w:r>
        <w:rPr>
          <w:rFonts w:ascii="Times New Roman" w:cs="Times New Roman" w:eastAsia="Times New Roman" w:hAnsi="Times New Roman"/>
          <w:sz w:val="20"/>
          <w:szCs w:val="20"/>
          <w:color w:val="auto"/>
        </w:rPr>
        <w:t>) of the Original Facility Agreement, by reference to the facts and circumstances then existing:</w:t>
      </w:r>
    </w:p>
    <w:p>
      <w:pPr>
        <w:spacing w:after="0" w:line="116" w:lineRule="exact"/>
        <w:rPr>
          <w:rFonts w:ascii="Times New Roman" w:cs="Times New Roman" w:eastAsia="Times New Roman" w:hAnsi="Times New Roman"/>
          <w:sz w:val="20"/>
          <w:szCs w:val="20"/>
          <w:b w:val="1"/>
          <w:bCs w:val="1"/>
          <w:color w:val="auto"/>
        </w:rPr>
      </w:pPr>
    </w:p>
    <w:p>
      <w:pPr>
        <w:ind w:left="1860" w:hanging="799"/>
        <w:spacing w:after="0" w:line="273" w:lineRule="auto"/>
        <w:tabs>
          <w:tab w:leader="none" w:pos="1860"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this Amendment Letter, but as if references in Clause 22 (</w:t>
      </w:r>
      <w:r>
        <w:rPr>
          <w:rFonts w:ascii="Times New Roman" w:cs="Times New Roman" w:eastAsia="Times New Roman" w:hAnsi="Times New Roman"/>
          <w:sz w:val="20"/>
          <w:szCs w:val="20"/>
          <w:i w:val="1"/>
          <w:iCs w:val="1"/>
          <w:color w:val="auto"/>
        </w:rPr>
        <w:t>Representations</w:t>
      </w:r>
      <w:r>
        <w:rPr>
          <w:rFonts w:ascii="Times New Roman" w:cs="Times New Roman" w:eastAsia="Times New Roman" w:hAnsi="Times New Roman"/>
          <w:sz w:val="20"/>
          <w:szCs w:val="20"/>
          <w:color w:val="auto"/>
        </w:rPr>
        <w:t>) of the Original Facility Agreement to the “Finance Documents” were instead to this Amendment Letter; and</w:t>
      </w:r>
    </w:p>
    <w:p>
      <w:pPr>
        <w:spacing w:after="0" w:line="97" w:lineRule="exact"/>
        <w:rPr>
          <w:rFonts w:ascii="Times New Roman" w:cs="Times New Roman" w:eastAsia="Times New Roman" w:hAnsi="Times New Roman"/>
          <w:sz w:val="20"/>
          <w:szCs w:val="20"/>
          <w:color w:val="auto"/>
        </w:rPr>
      </w:pPr>
    </w:p>
    <w:p>
      <w:pPr>
        <w:jc w:val="both"/>
        <w:ind w:left="1860" w:hanging="799"/>
        <w:spacing w:after="0" w:line="256" w:lineRule="auto"/>
        <w:tabs>
          <w:tab w:leader="none" w:pos="1860"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Effective Date, but as if references in Clause 22 (</w:t>
      </w:r>
      <w:r>
        <w:rPr>
          <w:rFonts w:ascii="Times New Roman" w:cs="Times New Roman" w:eastAsia="Times New Roman" w:hAnsi="Times New Roman"/>
          <w:sz w:val="20"/>
          <w:szCs w:val="20"/>
          <w:i w:val="1"/>
          <w:iCs w:val="1"/>
          <w:color w:val="auto"/>
        </w:rPr>
        <w:t>Representations</w:t>
      </w:r>
      <w:r>
        <w:rPr>
          <w:rFonts w:ascii="Times New Roman" w:cs="Times New Roman" w:eastAsia="Times New Roman" w:hAnsi="Times New Roman"/>
          <w:sz w:val="20"/>
          <w:szCs w:val="20"/>
          <w:color w:val="auto"/>
        </w:rPr>
        <w:t>) of the Original Facility Agreement to the “Finance Documents” were instead to the Original Facility Agreement as amended by this Amendment Letter.</w:t>
      </w:r>
    </w:p>
    <w:p>
      <w:pPr>
        <w:spacing w:after="0" w:line="114" w:lineRule="exact"/>
        <w:rPr>
          <w:rFonts w:ascii="Times New Roman" w:cs="Times New Roman" w:eastAsia="Times New Roman" w:hAnsi="Times New Roman"/>
          <w:sz w:val="20"/>
          <w:szCs w:val="20"/>
          <w:color w:val="auto"/>
        </w:rPr>
      </w:pPr>
    </w:p>
    <w:p>
      <w:pPr>
        <w:ind w:left="880" w:hanging="804"/>
        <w:spacing w:after="0"/>
        <w:tabs>
          <w:tab w:leader="none" w:pos="880" w:val="left"/>
        </w:tabs>
        <w:numPr>
          <w:ilvl w:val="0"/>
          <w:numId w:val="2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Confirmations</w:t>
      </w:r>
    </w:p>
    <w:p>
      <w:pPr>
        <w:spacing w:after="0" w:line="166" w:lineRule="exact"/>
        <w:rPr>
          <w:sz w:val="20"/>
          <w:szCs w:val="20"/>
          <w:color w:val="auto"/>
        </w:rPr>
      </w:pPr>
    </w:p>
    <w:p>
      <w:pPr>
        <w:jc w:val="both"/>
        <w:ind w:left="880" w:hanging="782"/>
        <w:spacing w:after="0" w:line="245" w:lineRule="auto"/>
        <w:tabs>
          <w:tab w:leader="none" w:pos="86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The Obligors’ Agent confirms, for itself and on behalf of each of the other Obligors, that the guarantee and indemnity contained in Clause 21 (</w:t>
      </w:r>
      <w:r>
        <w:rPr>
          <w:rFonts w:ascii="Times New Roman" w:cs="Times New Roman" w:eastAsia="Times New Roman" w:hAnsi="Times New Roman"/>
          <w:sz w:val="20"/>
          <w:szCs w:val="20"/>
          <w:i w:val="1"/>
          <w:iCs w:val="1"/>
          <w:color w:val="auto"/>
        </w:rPr>
        <w:t>Guarantee and Indemnity</w:t>
      </w:r>
      <w:r>
        <w:rPr>
          <w:rFonts w:ascii="Times New Roman" w:cs="Times New Roman" w:eastAsia="Times New Roman" w:hAnsi="Times New Roman"/>
          <w:sz w:val="20"/>
          <w:szCs w:val="20"/>
          <w:color w:val="auto"/>
        </w:rPr>
        <w:t>) of the Original Facility Agreement shall, after giving effect to the amendments to be effected by this Amendment Letter, on and after the date of this Amendment Letter continue in full force and effect and extend to the liabilities and obligations of each of the Obligors under the Original Facility Agreement as amended by the terms of this Amendment Letter and the other Finance Documents (as amended and restated from time to time) subject to any limitations set out in the relevant Finance Documents.</w:t>
      </w:r>
    </w:p>
    <w:p>
      <w:pPr>
        <w:spacing w:after="0" w:line="130" w:lineRule="exact"/>
        <w:rPr>
          <w:sz w:val="20"/>
          <w:szCs w:val="20"/>
          <w:color w:val="auto"/>
        </w:rPr>
      </w:pPr>
    </w:p>
    <w:p>
      <w:pPr>
        <w:jc w:val="both"/>
        <w:ind w:left="880" w:hanging="782"/>
        <w:spacing w:after="0" w:line="249" w:lineRule="auto"/>
        <w:tabs>
          <w:tab w:leader="none" w:pos="86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The Obligors’ Agent confirms, for itself and on behalf of each of the other Obligors, that after giving effect to the amendments to be effected by this Amendment Letter, each Transaction Security continues in full force and effect as security for the Secured Obligations (as amended by the terms of this Amendment Letter) subject to any limitations set out in the relevant Finance Documents.</w:t>
      </w:r>
    </w:p>
    <w:p>
      <w:pPr>
        <w:spacing w:after="0" w:line="122" w:lineRule="exact"/>
        <w:rPr>
          <w:sz w:val="20"/>
          <w:szCs w:val="20"/>
          <w:color w:val="auto"/>
        </w:rPr>
      </w:pPr>
    </w:p>
    <w:p>
      <w:pPr>
        <w:ind w:left="880" w:hanging="804"/>
        <w:spacing w:after="0"/>
        <w:tabs>
          <w:tab w:leader="none" w:pos="880"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166" w:lineRule="exact"/>
        <w:rPr>
          <w:sz w:val="20"/>
          <w:szCs w:val="20"/>
          <w:color w:val="auto"/>
        </w:rPr>
      </w:pPr>
    </w:p>
    <w:p>
      <w:pPr>
        <w:jc w:val="both"/>
        <w:ind w:left="880" w:hanging="782"/>
        <w:spacing w:after="0" w:line="269" w:lineRule="auto"/>
        <w:tabs>
          <w:tab w:leader="none" w:pos="86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This Amendment Letter is hereby designated as a Finance Document by the Company and the Agent for the purposes of the definition of “Finance Document” in the Original Facility Agreement.</w:t>
      </w:r>
    </w:p>
    <w:p>
      <w:pPr>
        <w:spacing w:after="0" w:line="105" w:lineRule="exact"/>
        <w:rPr>
          <w:sz w:val="20"/>
          <w:szCs w:val="20"/>
          <w:color w:val="auto"/>
        </w:rPr>
      </w:pPr>
    </w:p>
    <w:p>
      <w:pPr>
        <w:jc w:val="both"/>
        <w:ind w:left="880" w:hanging="782"/>
        <w:spacing w:after="0" w:line="269" w:lineRule="auto"/>
        <w:tabs>
          <w:tab w:leader="none" w:pos="86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This Amendment Letter may be executed in any number of counterparts, and this has the same effect as if the signatures on the counterparts were on a single copy of this Amendment Letter.</w:t>
      </w:r>
    </w:p>
    <w:p>
      <w:pPr>
        <w:spacing w:after="0" w:line="101" w:lineRule="exact"/>
        <w:rPr>
          <w:sz w:val="20"/>
          <w:szCs w:val="20"/>
          <w:color w:val="auto"/>
        </w:rPr>
      </w:pPr>
    </w:p>
    <w:p>
      <w:pPr>
        <w:jc w:val="both"/>
        <w:ind w:left="880" w:hanging="782"/>
        <w:spacing w:after="0" w:line="256" w:lineRule="auto"/>
        <w:tabs>
          <w:tab w:leader="none" w:pos="86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The terms of Clauses 35 (</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37 (</w:t>
      </w:r>
      <w:r>
        <w:rPr>
          <w:rFonts w:ascii="Times New Roman" w:cs="Times New Roman" w:eastAsia="Times New Roman" w:hAnsi="Times New Roman"/>
          <w:sz w:val="20"/>
          <w:szCs w:val="20"/>
          <w:i w:val="1"/>
          <w:iCs w:val="1"/>
          <w:color w:val="auto"/>
        </w:rPr>
        <w:t>Partial Invalidity</w:t>
      </w:r>
      <w:r>
        <w:rPr>
          <w:rFonts w:ascii="Times New Roman" w:cs="Times New Roman" w:eastAsia="Times New Roman" w:hAnsi="Times New Roman"/>
          <w:sz w:val="20"/>
          <w:szCs w:val="20"/>
          <w:color w:val="auto"/>
        </w:rPr>
        <w:t>), 38 (</w:t>
      </w:r>
      <w:r>
        <w:rPr>
          <w:rFonts w:ascii="Times New Roman" w:cs="Times New Roman" w:eastAsia="Times New Roman" w:hAnsi="Times New Roman"/>
          <w:sz w:val="20"/>
          <w:szCs w:val="20"/>
          <w:i w:val="1"/>
          <w:iCs w:val="1"/>
          <w:color w:val="auto"/>
        </w:rPr>
        <w:t>Remedies and Waivers</w:t>
      </w:r>
      <w:r>
        <w:rPr>
          <w:rFonts w:ascii="Times New Roman" w:cs="Times New Roman" w:eastAsia="Times New Roman" w:hAnsi="Times New Roman"/>
          <w:sz w:val="20"/>
          <w:szCs w:val="20"/>
          <w:color w:val="auto"/>
        </w:rPr>
        <w:t>) and 46 (</w:t>
      </w:r>
      <w:r>
        <w:rPr>
          <w:rFonts w:ascii="Times New Roman" w:cs="Times New Roman" w:eastAsia="Times New Roman" w:hAnsi="Times New Roman"/>
          <w:sz w:val="20"/>
          <w:szCs w:val="20"/>
          <w:i w:val="1"/>
          <w:iCs w:val="1"/>
          <w:color w:val="auto"/>
        </w:rPr>
        <w:t>Enforcement</w:t>
      </w:r>
      <w:r>
        <w:rPr>
          <w:rFonts w:ascii="Times New Roman" w:cs="Times New Roman" w:eastAsia="Times New Roman" w:hAnsi="Times New Roman"/>
          <w:sz w:val="20"/>
          <w:szCs w:val="20"/>
          <w:color w:val="auto"/>
        </w:rPr>
        <w:t>) of the Original Facility Agreement shall be deemed to be incorporated into this Amendment Letter save that references in those Clauses to “this Agreement” shall be construed as references to this Amendment Letter.</w:t>
      </w:r>
    </w:p>
    <w:p>
      <w:pPr>
        <w:spacing w:after="0" w:line="119" w:lineRule="exact"/>
        <w:rPr>
          <w:sz w:val="20"/>
          <w:szCs w:val="20"/>
          <w:color w:val="auto"/>
        </w:rPr>
      </w:pPr>
    </w:p>
    <w:p>
      <w:pPr>
        <w:jc w:val="both"/>
        <w:ind w:left="880" w:right="20" w:hanging="782"/>
        <w:spacing w:after="0" w:line="269" w:lineRule="auto"/>
        <w:tabs>
          <w:tab w:leader="none" w:pos="86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color w:val="auto"/>
        </w:rPr>
        <w:t>This Amendment Letter and any non-contractual obligations arising out of or in connection with it are governed by English law.</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137751216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284480</wp:posOffset>
            </wp:positionV>
            <wp:extent cx="71748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0"/>
          </w:cols>
          <w:pgMar w:left="360" w:top="738" w:right="9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0"/>
          <w:szCs w:val="20"/>
          <w:color w:val="auto"/>
        </w:rPr>
        <w:t>Yours faithfully,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Oatly AB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Original Borrower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Peter Bergh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Peter Bergh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Capacity: Authorised signatory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Oatly AB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Obligors’ Agent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Peter Bergh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Peter Bergh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Capacity: Authorised signatory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Oatly AB (publ)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Company</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Peter Bergh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Peter Bergh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Capacity: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EMEA 137751216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284480</wp:posOffset>
            </wp:positionV>
            <wp:extent cx="71748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59"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9"/>
          <w:szCs w:val="19"/>
          <w:color w:val="111111"/>
        </w:rPr>
        <w:t xml:space="preserve">We acknowledge and agree </w:t>
      </w:r>
      <w:r>
        <w:rPr>
          <w:rFonts w:ascii="Times New Roman" w:cs="Times New Roman" w:eastAsia="Times New Roman" w:hAnsi="Times New Roman"/>
          <w:sz w:val="19"/>
          <w:szCs w:val="19"/>
          <w:color w:val="030303"/>
        </w:rPr>
        <w:t>to</w:t>
      </w:r>
      <w:r>
        <w:rPr>
          <w:rFonts w:ascii="Times New Roman" w:cs="Times New Roman" w:eastAsia="Times New Roman" w:hAnsi="Times New Roman"/>
          <w:sz w:val="19"/>
          <w:szCs w:val="19"/>
          <w:color w:val="111111"/>
        </w:rPr>
        <w:t xml:space="preserve"> the terms of this Amendment Letter.</w:t>
      </w:r>
    </w:p>
    <w:p>
      <w:pPr>
        <w:spacing w:after="0" w:line="146"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9"/>
          <w:szCs w:val="19"/>
          <w:color w:val="111111"/>
        </w:rPr>
        <w:t>Date:</w:t>
      </w:r>
      <w:r>
        <w:rPr>
          <w:sz w:val="20"/>
          <w:szCs w:val="20"/>
          <w:color w:val="auto"/>
        </w:rPr>
        <w:tab/>
      </w:r>
      <w:r>
        <w:rPr>
          <w:rFonts w:ascii="Times New Roman" w:cs="Times New Roman" w:eastAsia="Times New Roman" w:hAnsi="Times New Roman"/>
          <w:sz w:val="19"/>
          <w:szCs w:val="19"/>
          <w:color w:val="111111"/>
        </w:rPr>
        <w:t>March 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15240</wp:posOffset>
            </wp:positionV>
            <wp:extent cx="28460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111111"/>
        </w:rPr>
        <w:t xml:space="preserve">For and on </w:t>
      </w:r>
      <w:r>
        <w:rPr>
          <w:rFonts w:ascii="Times New Roman" w:cs="Times New Roman" w:eastAsia="Times New Roman" w:hAnsi="Times New Roman"/>
          <w:sz w:val="20"/>
          <w:szCs w:val="20"/>
          <w:color w:val="030303"/>
        </w:rPr>
        <w:t>behalf</w:t>
      </w:r>
      <w:r>
        <w:rPr>
          <w:rFonts w:ascii="Times New Roman" w:cs="Times New Roman" w:eastAsia="Times New Roman" w:hAnsi="Times New Roman"/>
          <w:sz w:val="20"/>
          <w:szCs w:val="20"/>
          <w:color w:val="111111"/>
        </w:rPr>
        <w:t xml:space="preserve"> of</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That should be Skandinaviska Enskilda Banken AB (publ)</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111111"/>
        </w:rPr>
        <w:t>as Agent for itself and on behalf of the majority Lenders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5120" w:type="dxa"/>
            <w:vAlign w:val="bottom"/>
            <w:gridSpan w:val="2"/>
          </w:tcPr>
          <w:p>
            <w:pPr>
              <w:jc w:val="right"/>
              <w:ind w:right="3880"/>
              <w:spacing w:after="0"/>
              <w:rPr>
                <w:sz w:val="20"/>
                <w:szCs w:val="20"/>
                <w:color w:val="auto"/>
              </w:rPr>
            </w:pPr>
            <w:r>
              <w:rPr>
                <w:rFonts w:ascii="Times New Roman" w:cs="Times New Roman" w:eastAsia="Times New Roman" w:hAnsi="Times New Roman"/>
                <w:sz w:val="20"/>
                <w:szCs w:val="20"/>
                <w:color w:val="111111"/>
              </w:rPr>
              <w:t xml:space="preserve">By:  </w:t>
            </w:r>
            <w:r>
              <w:rPr>
                <w:rFonts w:ascii="Times New Roman" w:cs="Times New Roman" w:eastAsia="Times New Roman" w:hAnsi="Times New Roman"/>
                <w:sz w:val="22"/>
                <w:szCs w:val="22"/>
                <w:color w:val="000000"/>
              </w:rPr>
              <w:t>/s/ [***]</w:t>
            </w:r>
          </w:p>
        </w:tc>
        <w:tc>
          <w:tcPr>
            <w:tcW w:w="680" w:type="dxa"/>
            <w:vAlign w:val="bottom"/>
          </w:tcPr>
          <w:p>
            <w:pPr>
              <w:ind w:left="100"/>
              <w:spacing w:after="0"/>
              <w:rPr>
                <w:sz w:val="20"/>
                <w:szCs w:val="20"/>
                <w:color w:val="auto"/>
              </w:rPr>
            </w:pPr>
            <w:r>
              <w:rPr>
                <w:rFonts w:ascii="Times New Roman" w:cs="Times New Roman" w:eastAsia="Times New Roman" w:hAnsi="Times New Roman"/>
                <w:sz w:val="20"/>
                <w:szCs w:val="20"/>
                <w:color w:val="111111"/>
              </w:rPr>
              <w:t>By:</w:t>
            </w:r>
          </w:p>
        </w:tc>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/s/ [***]</w:t>
            </w:r>
          </w:p>
        </w:tc>
      </w:tr>
      <w:tr>
        <w:trPr>
          <w:trHeight w:val="53"/>
        </w:trPr>
        <w:tc>
          <w:tcPr>
            <w:tcW w:w="500" w:type="dxa"/>
            <w:vAlign w:val="bottom"/>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r>
      <w:tr>
        <w:trPr>
          <w:trHeight w:val="503"/>
        </w:trPr>
        <w:tc>
          <w:tcPr>
            <w:tcW w:w="5120" w:type="dxa"/>
            <w:vAlign w:val="bottom"/>
            <w:gridSpan w:val="2"/>
          </w:tcPr>
          <w:p>
            <w:pPr>
              <w:jc w:val="right"/>
              <w:ind w:right="4280"/>
              <w:spacing w:after="0"/>
              <w:rPr>
                <w:sz w:val="20"/>
                <w:szCs w:val="20"/>
                <w:color w:val="auto"/>
              </w:rPr>
            </w:pPr>
            <w:r>
              <w:rPr>
                <w:rFonts w:ascii="Arial" w:cs="Arial" w:eastAsia="Arial" w:hAnsi="Arial"/>
                <w:sz w:val="20"/>
                <w:szCs w:val="20"/>
                <w:color w:val="030303"/>
              </w:rPr>
              <w:t>[***]</w:t>
            </w:r>
          </w:p>
        </w:tc>
        <w:tc>
          <w:tcPr>
            <w:tcW w:w="6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20"/>
                <w:szCs w:val="20"/>
                <w:color w:val="03030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EMEA 137751216</w:t>
      </w:r>
    </w:p>
    <w:p>
      <w:pPr>
        <w:sectPr>
          <w:pgSz w:w="11900" w:h="16838" w:orient="portrait"/>
          <w:cols w:equalWidth="0" w:num="1">
            <w:col w:w="11240"/>
          </w:cols>
          <w:pgMar w:left="320" w:top="869"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600" w:type="dxa"/>
            <w:vAlign w:val="bottom"/>
            <w:gridSpan w:val="3"/>
          </w:tcPr>
          <w:p>
            <w:pPr>
              <w:ind w:left="740"/>
              <w:spacing w:after="0"/>
              <w:rPr>
                <w:sz w:val="20"/>
                <w:szCs w:val="20"/>
                <w:color w:val="auto"/>
              </w:rPr>
            </w:pPr>
            <w:r>
              <w:rPr>
                <w:rFonts w:ascii="Times New Roman" w:cs="Times New Roman" w:eastAsia="Times New Roman" w:hAnsi="Times New Roman"/>
                <w:sz w:val="20"/>
                <w:szCs w:val="20"/>
                <w:b w:val="1"/>
                <w:bCs w:val="1"/>
                <w:color w:val="auto"/>
              </w:rPr>
              <w:t>Subsidiaries of the Registrant</w:t>
            </w:r>
          </w:p>
        </w:tc>
      </w:tr>
      <w:tr>
        <w:trPr>
          <w:trHeight w:val="908"/>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Legal Name of Subsidiary</w:t>
            </w:r>
          </w:p>
        </w:tc>
        <w:tc>
          <w:tcPr>
            <w:tcW w:w="2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204"/>
        </w:trPr>
        <w:tc>
          <w:tcPr>
            <w:tcW w:w="364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Oatly AB</w:t>
            </w: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Sweden</w:t>
            </w: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Oatly EMEA AB</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Sweden</w:t>
            </w: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Oatly UK Ltd.</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Oatly UK Operations &amp; Supply Ltd.</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Oatly Germany GmbH</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Oatly Inc.</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Oatly US Operations &amp; Supply Inc.</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Oatly US, Inc.</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Oatly Shanghai Co. Ltd.</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China</w:t>
            </w:r>
          </w:p>
        </w:tc>
      </w:tr>
      <w:tr>
        <w:trPr>
          <w:trHeight w:val="258"/>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Oatly Food Co. Ltd.</w:t>
            </w:r>
          </w:p>
        </w:tc>
        <w:tc>
          <w:tcPr>
            <w:tcW w:w="2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China</w:t>
            </w:r>
          </w:p>
        </w:tc>
      </w:tr>
    </w:tbl>
    <w:p>
      <w:pPr>
        <w:sectPr>
          <w:pgSz w:w="11900" w:h="16838" w:orient="portrait"/>
          <w:cols w:equalWidth="0" w:num="1">
            <w:col w:w="11240"/>
          </w:cols>
          <w:pgMar w:left="320" w:top="114" w:right="339" w:bottom="1440" w:gutter="0" w:footer="0" w:header="0"/>
        </w:sectPr>
      </w:pPr>
    </w:p>
    <w:bookmarkStart w:id="273" w:name="page274"/>
    <w:bookmarkEnd w:id="273"/>
    <w:p>
      <w:pPr>
        <w:ind w:left="1032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3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Toni Petersson, certify that:</w:t>
      </w:r>
    </w:p>
    <w:p>
      <w:pPr>
        <w:spacing w:after="0" w:line="225" w:lineRule="exact"/>
        <w:rPr>
          <w:sz w:val="20"/>
          <w:szCs w:val="20"/>
          <w:color w:val="auto"/>
        </w:rPr>
      </w:pPr>
    </w:p>
    <w:p>
      <w:pPr>
        <w:ind w:left="500" w:hanging="492"/>
        <w:spacing w:after="0"/>
        <w:tabs>
          <w:tab w:leader="none" w:pos="5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Oatly Group AB (the “Company”);</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6, 2022</w:t>
      </w:r>
    </w:p>
    <w:p>
      <w:pPr>
        <w:spacing w:after="0" w:line="25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Toni Petersson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Toni Petersson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US-DOCS\129940999.2</w:t>
        <w:tab/>
        <w:t>IHS - 2021 20-F - Certification Exhibits</w:t>
      </w:r>
    </w:p>
    <w:p>
      <w:pPr>
        <w:sectPr>
          <w:pgSz w:w="11900" w:h="16838" w:orient="portrait"/>
          <w:cols w:equalWidth="0" w:num="1">
            <w:col w:w="11240"/>
          </w:cols>
          <w:pgMar w:left="320" w:top="117" w:right="339" w:bottom="1440" w:gutter="0" w:footer="0" w:header="0"/>
        </w:sectPr>
      </w:pPr>
    </w:p>
    <w:bookmarkStart w:id="274" w:name="page275"/>
    <w:bookmarkEnd w:id="274"/>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Hanke, certify that:</w:t>
      </w:r>
    </w:p>
    <w:p>
      <w:pPr>
        <w:spacing w:after="0" w:line="225" w:lineRule="exact"/>
        <w:rPr>
          <w:sz w:val="20"/>
          <w:szCs w:val="20"/>
          <w:color w:val="auto"/>
        </w:rPr>
      </w:pPr>
    </w:p>
    <w:p>
      <w:pPr>
        <w:ind w:left="500" w:hanging="492"/>
        <w:spacing w:after="0"/>
        <w:tabs>
          <w:tab w:leader="none" w:pos="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Oatly Group AB (the “Company”);</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ectPr>
          <w:pgSz w:w="11900" w:h="16838" w:orient="portrait"/>
          <w:cols w:equalWidth="0" w:num="1">
            <w:col w:w="11240"/>
          </w:cols>
          <w:pgMar w:left="320" w:top="347"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6, 2022</w:t>
      </w:r>
    </w:p>
    <w:p>
      <w:pPr>
        <w:spacing w:after="0" w:line="200" w:lineRule="exact"/>
        <w:rPr>
          <w:sz w:val="20"/>
          <w:szCs w:val="20"/>
          <w:color w:val="auto"/>
        </w:rPr>
      </w:pPr>
    </w:p>
    <w:p>
      <w:pPr>
        <w:sectPr>
          <w:pgSz w:w="11900" w:h="16838" w:orient="portrait"/>
          <w:cols w:equalWidth="0" w:num="2">
            <w:col w:w="1680" w:space="720"/>
            <w:col w:w="8840"/>
          </w:cols>
          <w:pgMar w:left="320" w:top="347"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Christian Hanke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Hanke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ectPr>
          <w:pgSz w:w="11900" w:h="16838" w:orient="portrait"/>
          <w:cols w:equalWidth="0" w:num="2">
            <w:col w:w="1680" w:space="720"/>
            <w:col w:w="8840"/>
          </w:cols>
          <w:pgMar w:left="320" w:top="347" w:right="3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US-DOCS\129940999.2</w:t>
        <w:tab/>
        <w:t>IHS - 2021 20-F - Certification Exhibits</w:t>
      </w:r>
    </w:p>
    <w:p>
      <w:pPr>
        <w:sectPr>
          <w:pgSz w:w="11900" w:h="16838" w:orient="portrait"/>
          <w:cols w:equalWidth="0" w:num="1">
            <w:col w:w="11240"/>
          </w:cols>
          <w:pgMar w:left="320" w:top="347" w:right="339" w:bottom="1440" w:gutter="0" w:footer="0" w:header="0"/>
          <w:type w:val="continuous"/>
        </w:sectPr>
      </w:pPr>
    </w:p>
    <w:bookmarkStart w:id="275" w:name="page276"/>
    <w:bookmarkEnd w:id="275"/>
    <w:p>
      <w:pPr>
        <w:ind w:left="10320"/>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37" w:lineRule="exact"/>
        <w:rPr>
          <w:sz w:val="20"/>
          <w:szCs w:val="20"/>
          <w:color w:val="auto"/>
        </w:rPr>
      </w:pPr>
    </w:p>
    <w:p>
      <w:pPr>
        <w:ind w:left="4740" w:right="40" w:hanging="3826"/>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on Form 20-F of Oatly Group AB (the “Company”) for the fiscal year ended December 31, 2021 as filed with the Securities and Exchange Commission on the date hereof (the “Report”), I, Toni Petersson, Chief Executive Officer of the Company and Principal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860" w:hanging="852"/>
        <w:spacing w:after="0"/>
        <w:tabs>
          <w:tab w:leader="none" w:pos="8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60" w:hanging="852"/>
        <w:spacing w:after="0" w:line="282" w:lineRule="auto"/>
        <w:tabs>
          <w:tab w:leader="none" w:pos="8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Date: April 6, 2022</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Toni Petersson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Petersson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ectPr>
          <w:pgSz w:w="11900" w:h="16838" w:orient="portrait"/>
          <w:cols w:equalWidth="0" w:num="2">
            <w:col w:w="1080" w:space="720"/>
            <w:col w:w="9440"/>
          </w:cols>
          <w:pgMar w:left="320" w:top="117"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US-DOCS\129940999.2</w:t>
        <w:tab/>
        <w:t>IHS - 2021 20-F - Certification Exhibits</w:t>
      </w:r>
    </w:p>
    <w:p>
      <w:pPr>
        <w:sectPr>
          <w:pgSz w:w="11900" w:h="16838" w:orient="portrait"/>
          <w:cols w:equalWidth="0" w:num="1">
            <w:col w:w="11240"/>
          </w:cols>
          <w:pgMar w:left="320" w:top="117" w:right="339" w:bottom="1440" w:gutter="0" w:footer="0" w:header="0"/>
          <w:type w:val="continuous"/>
        </w:sectPr>
      </w:pPr>
    </w:p>
    <w:bookmarkStart w:id="276" w:name="page277"/>
    <w:bookmarkEnd w:id="276"/>
    <w:p>
      <w:pPr>
        <w:ind w:left="10320"/>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37" w:lineRule="exact"/>
        <w:rPr>
          <w:sz w:val="20"/>
          <w:szCs w:val="20"/>
          <w:color w:val="auto"/>
        </w:rPr>
      </w:pPr>
    </w:p>
    <w:p>
      <w:pPr>
        <w:ind w:left="4740" w:right="40" w:hanging="3826"/>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on Form 20-F of Oatly Group AB (the “Company”) for the fiscal year ended December 31, 2021 as filed with the Securities and Exchange Commission on the date hereof (the “Report”), I, Christian Hanke, Chief Financial Officer of the Company and Principal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680" w:hanging="672"/>
        <w:spacing w:after="0"/>
        <w:tabs>
          <w:tab w:leader="none" w:pos="6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0" w:right="120" w:hanging="32"/>
        <w:spacing w:after="0" w:line="516" w:lineRule="auto"/>
        <w:tabs>
          <w:tab w:leader="none" w:pos="69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6, 2022</w:t>
      </w:r>
    </w:p>
    <w:p>
      <w:pPr>
        <w:spacing w:after="0" w:line="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Christian Hanke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32232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Christian Hanke</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color w:val="auto"/>
        </w:rPr>
        <w:t>US-DOCS\129940999.2</w:t>
        <w:tab/>
        <w:t>IHS - 2021 20-F - Certification Exhibits</w:t>
      </w:r>
    </w:p>
    <w:p>
      <w:pPr>
        <w:sectPr>
          <w:pgSz w:w="11900" w:h="16838" w:orient="portrait"/>
          <w:cols w:equalWidth="0" w:num="1">
            <w:col w:w="11240"/>
          </w:cols>
          <w:pgMar w:left="320" w:top="117"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6"/>
          <w:szCs w:val="16"/>
          <w:color w:val="auto"/>
        </w:rPr>
        <w:t>Exhibit 15.1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(Form S-8 No. 333-256316) pertaining to the Oatly Group AB (publ) 2021 Incentive Award Plan of our report dated April 6, 2022, with respect to the consolidated financial statements of Oatly Group AB, included in this Annual Report (Form 20-F) of Oatly Group AB for the year ended December 31, 2021.</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AB</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Stockholm, Sweden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6, 2022</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
      <w:numFmt w:val="bullet"/>
      <w:start w:val="1"/>
    </w:lvl>
  </w:abstractNum>
  <w:abstractNum w:abstractNumId="3">
    <w:nsid w:val="5C10FE21"/>
    <w:multiLevelType w:val="hybridMultilevel"/>
    <w:lvl w:ilvl="0">
      <w:lvlJc w:val="left"/>
      <w:lvlText w:val="•"/>
      <w:numFmt w:val="bullet"/>
      <w:start w:val="1"/>
    </w:lvl>
  </w:abstractNum>
  <w:abstractNum w:abstractNumId="4">
    <w:nsid w:val="E7FFA2B"/>
    <w:multiLevelType w:val="hybridMultilevel"/>
    <w:lvl w:ilvl="0">
      <w:lvlJc w:val="left"/>
      <w:lvlText w:val="•"/>
      <w:numFmt w:val="bullet"/>
      <w:start w:val="1"/>
    </w:lvl>
  </w:abstractNum>
  <w:abstractNum w:abstractNumId="5">
    <w:nsid w:val="3C5991AA"/>
    <w:multiLevelType w:val="hybridMultilevel"/>
    <w:lvl w:ilvl="0">
      <w:lvlJc w:val="left"/>
      <w:lvlText w:val="•"/>
      <w:numFmt w:val="bullet"/>
      <w:start w:val="1"/>
    </w:lvl>
  </w:abstractNum>
  <w:abstractNum w:abstractNumId="6">
    <w:nsid w:val="4BD8591A"/>
    <w:multiLevelType w:val="hybridMultilevel"/>
    <w:lvl w:ilvl="0">
      <w:lvlJc w:val="left"/>
      <w:lvlText w:val="•"/>
      <w:numFmt w:val="bullet"/>
      <w:start w:val="1"/>
    </w:lvl>
  </w:abstractNum>
  <w:abstractNum w:abstractNumId="7">
    <w:nsid w:val="78DF6A55"/>
    <w:multiLevelType w:val="hybridMultilevel"/>
    <w:lvl w:ilvl="0">
      <w:lvlJc w:val="left"/>
      <w:lvlText w:val="•"/>
      <w:numFmt w:val="bullet"/>
      <w:start w:val="1"/>
    </w:lvl>
  </w:abstractNum>
  <w:abstractNum w:abstractNumId="8">
    <w:nsid w:val="39B7AAA2"/>
    <w:multiLevelType w:val="hybridMultilevel"/>
    <w:lvl w:ilvl="0">
      <w:lvlJc w:val="left"/>
      <w:lvlText w:val="•"/>
      <w:numFmt w:val="bullet"/>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
      <w:numFmt w:val="bullet"/>
      <w:start w:val="1"/>
    </w:lvl>
  </w:abstractNum>
  <w:abstractNum w:abstractNumId="12">
    <w:nsid w:val="69E373"/>
    <w:multiLevelType w:val="hybridMultilevel"/>
    <w:lvl w:ilvl="0">
      <w:lvlJc w:val="left"/>
      <w:lvlText w:val="%1."/>
      <w:numFmt w:val="upperLetter"/>
      <w:start w:val="1"/>
    </w:lvl>
  </w:abstractNum>
  <w:abstractNum w:abstractNumId="13">
    <w:nsid w:val="2C27173B"/>
    <w:multiLevelType w:val="hybridMultilevel"/>
    <w:lvl w:ilvl="0">
      <w:lvlJc w:val="left"/>
      <w:lvlText w:val="•"/>
      <w:numFmt w:val="bullet"/>
      <w:start w:val="1"/>
    </w:lvl>
  </w:abstractNum>
  <w:abstractNum w:abstractNumId="14">
    <w:nsid w:val="4C9B0904"/>
    <w:multiLevelType w:val="hybridMultilevel"/>
    <w:lvl w:ilvl="0">
      <w:lvlJc w:val="left"/>
      <w:lvlText w:val="•"/>
      <w:numFmt w:val="bullet"/>
      <w:start w:val="1"/>
    </w:lvl>
  </w:abstractNum>
  <w:abstractNum w:abstractNumId="15">
    <w:nsid w:val="6AA7B75C"/>
    <w:multiLevelType w:val="hybridMultilevel"/>
    <w:lvl w:ilvl="0">
      <w:lvlJc w:val="left"/>
      <w:lvlText w:val="•"/>
      <w:numFmt w:val="bullet"/>
      <w:start w:val="1"/>
    </w:lvl>
  </w:abstractNum>
  <w:abstractNum w:abstractNumId="16">
    <w:nsid w:val="1DF029D3"/>
    <w:multiLevelType w:val="hybridMultilevel"/>
    <w:lvl w:ilvl="0">
      <w:lvlJc w:val="left"/>
      <w:lvlText w:val="•"/>
      <w:numFmt w:val="bullet"/>
      <w:start w:val="1"/>
    </w:lvl>
  </w:abstractNum>
  <w:abstractNum w:abstractNumId="17">
    <w:nsid w:val="5675FF36"/>
    <w:multiLevelType w:val="hybridMultilevel"/>
    <w:lvl w:ilvl="0">
      <w:lvlJc w:val="left"/>
      <w:lvlText w:val="%1."/>
      <w:numFmt w:val="upperLetter"/>
      <w:start w:val="2"/>
    </w:lvl>
  </w:abstractNum>
  <w:abstractNum w:abstractNumId="18">
    <w:nsid w:val="3DD15094"/>
    <w:multiLevelType w:val="hybridMultilevel"/>
    <w:lvl w:ilvl="0">
      <w:lvlJc w:val="left"/>
      <w:lvlText w:val="•"/>
      <w:numFmt w:val="bullet"/>
      <w:start w:val="1"/>
    </w:lvl>
  </w:abstractNum>
  <w:abstractNum w:abstractNumId="19">
    <w:nsid w:val="3DB012B3"/>
    <w:multiLevelType w:val="hybridMultilevel"/>
    <w:lvl w:ilvl="0">
      <w:lvlJc w:val="left"/>
      <w:lvlText w:val="•"/>
      <w:numFmt w:val="bullet"/>
      <w:start w:val="1"/>
    </w:lvl>
  </w:abstractNum>
  <w:abstractNum w:abstractNumId="20">
    <w:nsid w:val="2708C9AF"/>
    <w:multiLevelType w:val="hybridMultilevel"/>
    <w:lvl w:ilvl="0">
      <w:lvlJc w:val="left"/>
      <w:lvlText w:val="•"/>
      <w:numFmt w:val="bullet"/>
      <w:start w:val="1"/>
    </w:lvl>
  </w:abstractNum>
  <w:abstractNum w:abstractNumId="21">
    <w:nsid w:val="5B25ACE2"/>
    <w:multiLevelType w:val="hybridMultilevel"/>
    <w:lvl w:ilvl="0">
      <w:lvlJc w:val="left"/>
      <w:lvlText w:val="o"/>
      <w:numFmt w:val="bullet"/>
      <w:start w:val="1"/>
    </w:lvl>
  </w:abstractNum>
  <w:abstractNum w:abstractNumId="22">
    <w:nsid w:val="175DFCF0"/>
    <w:multiLevelType w:val="hybridMultilevel"/>
    <w:lvl w:ilvl="0">
      <w:lvlJc w:val="left"/>
      <w:lvlText w:val="•"/>
      <w:numFmt w:val="bullet"/>
      <w:start w:val="1"/>
    </w:lvl>
  </w:abstractNum>
  <w:abstractNum w:abstractNumId="23">
    <w:nsid w:val="4F97E3E4"/>
    <w:multiLevelType w:val="hybridMultilevel"/>
    <w:lvl w:ilvl="0">
      <w:lvlJc w:val="left"/>
      <w:lvlText w:val="•"/>
      <w:numFmt w:val="bullet"/>
      <w:start w:val="1"/>
    </w:lvl>
  </w:abstractNum>
  <w:abstractNum w:abstractNumId="24">
    <w:nsid w:val="53B0A9E"/>
    <w:multiLevelType w:val="hybridMultilevel"/>
    <w:lvl w:ilvl="0">
      <w:lvlJc w:val="left"/>
      <w:lvlText w:val="•"/>
      <w:numFmt w:val="bullet"/>
      <w:start w:val="1"/>
    </w:lvl>
  </w:abstractNum>
  <w:abstractNum w:abstractNumId="25">
    <w:nsid w:val="34FD6B4F"/>
    <w:multiLevelType w:val="hybridMultilevel"/>
    <w:lvl w:ilvl="0">
      <w:lvlJc w:val="left"/>
      <w:lvlText w:val="•"/>
      <w:numFmt w:val="bullet"/>
      <w:start w:val="1"/>
    </w:lvl>
  </w:abstractNum>
  <w:abstractNum w:abstractNumId="26">
    <w:nsid w:val="5915FF32"/>
    <w:multiLevelType w:val="hybridMultilevel"/>
    <w:lvl w:ilvl="0">
      <w:lvlJc w:val="left"/>
      <w:lvlText w:val="•"/>
      <w:numFmt w:val="bullet"/>
      <w:start w:val="1"/>
    </w:lvl>
  </w:abstractNum>
  <w:abstractNum w:abstractNumId="27">
    <w:nsid w:val="56438D15"/>
    <w:multiLevelType w:val="hybridMultilevel"/>
    <w:lvl w:ilvl="0">
      <w:lvlJc w:val="left"/>
      <w:lvlText w:val="•"/>
      <w:numFmt w:val="bullet"/>
      <w:start w:val="1"/>
    </w:lvl>
  </w:abstractNum>
  <w:abstractNum w:abstractNumId="28">
    <w:nsid w:val="519E3149"/>
    <w:multiLevelType w:val="hybridMultilevel"/>
    <w:lvl w:ilvl="0">
      <w:lvlJc w:val="left"/>
      <w:lvlText w:val="•"/>
      <w:numFmt w:val="bullet"/>
      <w:start w:val="1"/>
    </w:lvl>
  </w:abstractNum>
  <w:abstractNum w:abstractNumId="29">
    <w:nsid w:val="2C6E4AFD"/>
    <w:multiLevelType w:val="hybridMultilevel"/>
    <w:lvl w:ilvl="0">
      <w:lvlJc w:val="left"/>
      <w:lvlText w:val="•"/>
      <w:numFmt w:val="bullet"/>
      <w:start w:val="1"/>
    </w:lvl>
  </w:abstractNum>
  <w:abstractNum w:abstractNumId="30">
    <w:nsid w:val="17A1B582"/>
    <w:multiLevelType w:val="hybridMultilevel"/>
    <w:lvl w:ilvl="0">
      <w:lvlJc w:val="left"/>
      <w:lvlText w:val="•"/>
      <w:numFmt w:val="bullet"/>
      <w:start w:val="1"/>
    </w:lvl>
  </w:abstractNum>
  <w:abstractNum w:abstractNumId="31">
    <w:nsid w:val="4DF72E4E"/>
    <w:multiLevelType w:val="hybridMultilevel"/>
    <w:lvl w:ilvl="0">
      <w:lvlJc w:val="left"/>
      <w:lvlText w:val="•"/>
      <w:numFmt w:val="bullet"/>
      <w:start w:val="1"/>
    </w:lvl>
  </w:abstractNum>
  <w:abstractNum w:abstractNumId="32">
    <w:nsid w:val="5046B5A9"/>
    <w:multiLevelType w:val="hybridMultilevel"/>
    <w:lvl w:ilvl="0">
      <w:lvlJc w:val="left"/>
      <w:lvlText w:val="(%1)"/>
      <w:numFmt w:val="decimal"/>
      <w:start w:val="1"/>
    </w:lvl>
  </w:abstractNum>
  <w:abstractNum w:abstractNumId="33">
    <w:nsid w:val="5D888A08"/>
    <w:multiLevelType w:val="hybridMultilevel"/>
    <w:lvl w:ilvl="0">
      <w:lvlJc w:val="left"/>
      <w:lvlText w:val="*"/>
      <w:numFmt w:val="bullet"/>
      <w:start w:val="1"/>
    </w:lvl>
  </w:abstractNum>
  <w:abstractNum w:abstractNumId="34">
    <w:nsid w:val="2A082C70"/>
    <w:multiLevelType w:val="hybridMultilevel"/>
    <w:lvl w:ilvl="0">
      <w:lvlJc w:val="left"/>
      <w:lvlText w:val="**"/>
      <w:numFmt w:val="bullet"/>
      <w:start w:val="1"/>
    </w:lvl>
  </w:abstractNum>
  <w:abstractNum w:abstractNumId="35">
    <w:nsid w:val="5EC6AFD4"/>
    <w:multiLevelType w:val="hybridMultilevel"/>
    <w:lvl w:ilvl="0">
      <w:lvlJc w:val="left"/>
      <w:lvlText w:val="(%1)"/>
      <w:numFmt w:val="decimal"/>
      <w:start w:val="1"/>
    </w:lvl>
  </w:abstractNum>
  <w:abstractNum w:abstractNumId="36">
    <w:nsid w:val="19E21BB2"/>
    <w:multiLevelType w:val="hybridMultilevel"/>
    <w:lvl w:ilvl="0">
      <w:lvlJc w:val="left"/>
      <w:lvlText w:val="%1."/>
      <w:numFmt w:val="upperLetter"/>
      <w:start w:val="1"/>
    </w:lvl>
  </w:abstractNum>
  <w:abstractNum w:abstractNumId="37">
    <w:nsid w:val="75E0858A"/>
    <w:multiLevelType w:val="hybridMultilevel"/>
    <w:lvl w:ilvl="0">
      <w:lvlJc w:val="left"/>
      <w:lvlText w:val="•"/>
      <w:numFmt w:val="bullet"/>
      <w:start w:val="1"/>
    </w:lvl>
  </w:abstractNum>
  <w:abstractNum w:abstractNumId="38">
    <w:nsid w:val="57A61A29"/>
    <w:multiLevelType w:val="hybridMultilevel"/>
    <w:lvl w:ilvl="0">
      <w:lvlJc w:val="left"/>
      <w:lvlText w:val="(%1)"/>
      <w:numFmt w:val="decimal"/>
      <w:start w:val="1"/>
    </w:lvl>
  </w:abstractNum>
  <w:abstractNum w:abstractNumId="39">
    <w:nsid w:val="5399C654"/>
    <w:multiLevelType w:val="hybridMultilevel"/>
    <w:lvl w:ilvl="0">
      <w:lvlJc w:val="left"/>
      <w:lvlText w:val="•"/>
      <w:numFmt w:val="bullet"/>
      <w:start w:val="1"/>
    </w:lvl>
  </w:abstractNum>
  <w:abstractNum w:abstractNumId="40">
    <w:nsid w:val="20EE1348"/>
    <w:multiLevelType w:val="hybridMultilevel"/>
    <w:lvl w:ilvl="0">
      <w:lvlJc w:val="left"/>
      <w:lvlText w:val="•"/>
      <w:numFmt w:val="bullet"/>
      <w:start w:val="1"/>
    </w:lvl>
  </w:abstractNum>
  <w:abstractNum w:abstractNumId="41">
    <w:nsid w:val="4427069A"/>
    <w:multiLevelType w:val="hybridMultilevel"/>
    <w:lvl w:ilvl="0">
      <w:lvlJc w:val="left"/>
      <w:lvlText w:val="•"/>
      <w:numFmt w:val="bullet"/>
      <w:start w:val="1"/>
    </w:lvl>
  </w:abstractNum>
  <w:abstractNum w:abstractNumId="42">
    <w:nsid w:val="B37E80A"/>
    <w:multiLevelType w:val="hybridMultilevel"/>
    <w:lvl w:ilvl="0">
      <w:lvlJc w:val="left"/>
      <w:lvlText w:val="•"/>
      <w:numFmt w:val="bullet"/>
      <w:start w:val="1"/>
    </w:lvl>
  </w:abstractNum>
  <w:abstractNum w:abstractNumId="43">
    <w:nsid w:val="2157F6BC"/>
    <w:multiLevelType w:val="hybridMultilevel"/>
    <w:lvl w:ilvl="0">
      <w:lvlJc w:val="left"/>
      <w:lvlText w:val="•"/>
      <w:numFmt w:val="bullet"/>
      <w:start w:val="1"/>
    </w:lvl>
  </w:abstractNum>
  <w:abstractNum w:abstractNumId="44">
    <w:nsid w:val="704E1DD5"/>
    <w:multiLevelType w:val="hybridMultilevel"/>
    <w:lvl w:ilvl="0">
      <w:lvlJc w:val="left"/>
      <w:lvlText w:val="•"/>
      <w:numFmt w:val="bullet"/>
      <w:start w:val="1"/>
    </w:lvl>
  </w:abstractNum>
  <w:abstractNum w:abstractNumId="45">
    <w:nsid w:val="57D2F10E"/>
    <w:multiLevelType w:val="hybridMultilevel"/>
    <w:lvl w:ilvl="0">
      <w:lvlJc w:val="left"/>
      <w:lvlText w:val="%1."/>
      <w:numFmt w:val="upperLetter"/>
      <w:start w:val="3"/>
    </w:lvl>
    <w:lvl w:ilvl="1">
      <w:lvlJc w:val="left"/>
      <w:lvlText w:val="•"/>
      <w:numFmt w:val="bullet"/>
      <w:start w:val="1"/>
    </w:lvl>
  </w:abstractNum>
  <w:abstractNum w:abstractNumId="46">
    <w:nsid w:val="BFFAE18"/>
    <w:multiLevelType w:val="hybridMultilevel"/>
    <w:lvl w:ilvl="0">
      <w:lvlJc w:val="left"/>
      <w:lvlText w:val="(%1)"/>
      <w:numFmt w:val="decimal"/>
      <w:start w:val="1"/>
    </w:lvl>
  </w:abstractNum>
  <w:abstractNum w:abstractNumId="47">
    <w:nsid w:val="E3E47A8"/>
    <w:multiLevelType w:val="hybridMultilevel"/>
    <w:lvl w:ilvl="0">
      <w:lvlJc w:val="left"/>
      <w:lvlText w:val="(%1)"/>
      <w:numFmt w:val="decimal"/>
      <w:start w:val="1"/>
    </w:lvl>
  </w:abstractNum>
  <w:abstractNum w:abstractNumId="48">
    <w:nsid w:val="2E48F044"/>
    <w:multiLevelType w:val="hybridMultilevel"/>
    <w:lvl w:ilvl="0">
      <w:lvlJc w:val="left"/>
      <w:lvlText w:val="•"/>
      <w:numFmt w:val="bullet"/>
      <w:start w:val="1"/>
    </w:lvl>
  </w:abstractNum>
  <w:abstractNum w:abstractNumId="49">
    <w:nsid w:val="49D0FEAC"/>
    <w:multiLevelType w:val="hybridMultilevel"/>
    <w:lvl w:ilvl="0">
      <w:lvlJc w:val="left"/>
      <w:lvlText w:val="*"/>
      <w:numFmt w:val="bullet"/>
      <w:start w:val="1"/>
    </w:lvl>
  </w:abstractNum>
  <w:abstractNum w:abstractNumId="50">
    <w:nsid w:val="4BEE5A5B"/>
    <w:multiLevelType w:val="hybridMultilevel"/>
    <w:lvl w:ilvl="0">
      <w:lvlJc w:val="left"/>
      <w:lvlText w:val="(%1)"/>
      <w:numFmt w:val="decimal"/>
      <w:start w:val="1"/>
    </w:lvl>
  </w:abstractNum>
  <w:abstractNum w:abstractNumId="51">
    <w:nsid w:val="5551B9F3"/>
    <w:multiLevelType w:val="hybridMultilevel"/>
    <w:lvl w:ilvl="0">
      <w:lvlJc w:val="left"/>
      <w:lvlText w:val="(%1)"/>
      <w:numFmt w:val="decimal"/>
      <w:start w:val="3"/>
    </w:lvl>
  </w:abstractNum>
  <w:abstractNum w:abstractNumId="52">
    <w:nsid w:val="24F6AB8E"/>
    <w:multiLevelType w:val="hybridMultilevel"/>
    <w:lvl w:ilvl="0">
      <w:lvlJc w:val="left"/>
      <w:lvlText w:val="%1."/>
      <w:numFmt w:val="upperLetter"/>
      <w:start w:val="1"/>
    </w:lvl>
  </w:abstractNum>
  <w:abstractNum w:abstractNumId="53">
    <w:nsid w:val="634C574C"/>
    <w:multiLevelType w:val="hybridMultilevel"/>
    <w:lvl w:ilvl="0">
      <w:lvlJc w:val="left"/>
      <w:lvlText w:val="%1."/>
      <w:numFmt w:val="upperLetter"/>
      <w:start w:val="2"/>
    </w:lvl>
  </w:abstractNum>
  <w:abstractNum w:abstractNumId="54">
    <w:nsid w:val="24E99DD7"/>
    <w:multiLevelType w:val="hybridMultilevel"/>
    <w:lvl w:ilvl="0">
      <w:lvlJc w:val="left"/>
      <w:lvlText w:val="%1."/>
      <w:numFmt w:val="upperLetter"/>
      <w:start w:val="4"/>
    </w:lvl>
  </w:abstractNum>
  <w:abstractNum w:abstractNumId="55">
    <w:nsid w:val="2A31B62D"/>
    <w:multiLevelType w:val="hybridMultilevel"/>
    <w:lvl w:ilvl="0">
      <w:lvlJc w:val="left"/>
      <w:lvlText w:val="%1."/>
      <w:numFmt w:val="upperLetter"/>
      <w:start w:val="3"/>
    </w:lvl>
    <w:lvl w:ilvl="1">
      <w:lvlJc w:val="left"/>
      <w:lvlText w:val="•"/>
      <w:numFmt w:val="bullet"/>
      <w:start w:val="1"/>
    </w:lvl>
  </w:abstractNum>
  <w:abstractNum w:abstractNumId="56">
    <w:nsid w:val="1849C29B"/>
    <w:multiLevelType w:val="hybridMultilevel"/>
    <w:lvl w:ilvl="0">
      <w:lvlJc w:val="left"/>
      <w:lvlText w:val="•"/>
      <w:numFmt w:val="bullet"/>
      <w:start w:val="1"/>
    </w:lvl>
  </w:abstractNum>
  <w:abstractNum w:abstractNumId="57">
    <w:nsid w:val="7DFF9D09"/>
    <w:multiLevelType w:val="hybridMultilevel"/>
    <w:lvl w:ilvl="0">
      <w:lvlJc w:val="left"/>
      <w:lvlText w:val="•"/>
      <w:numFmt w:val="bullet"/>
      <w:start w:val="1"/>
    </w:lvl>
  </w:abstractNum>
  <w:abstractNum w:abstractNumId="58">
    <w:nsid w:val="754342"/>
    <w:multiLevelType w:val="hybridMultilevel"/>
    <w:lvl w:ilvl="0">
      <w:lvlJc w:val="left"/>
      <w:lvlText w:val="•"/>
      <w:numFmt w:val="bullet"/>
      <w:start w:val="1"/>
    </w:lvl>
  </w:abstractNum>
  <w:abstractNum w:abstractNumId="59">
    <w:nsid w:val="69E7F3E5"/>
    <w:multiLevelType w:val="hybridMultilevel"/>
    <w:lvl w:ilvl="0">
      <w:lvlJc w:val="left"/>
      <w:lvlText w:val="%1."/>
      <w:numFmt w:val="upperLetter"/>
      <w:start w:val="6"/>
    </w:lvl>
  </w:abstractNum>
  <w:abstractNum w:abstractNumId="60">
    <w:nsid w:val="2A6DE806"/>
    <w:multiLevelType w:val="hybridMultilevel"/>
    <w:lvl w:ilvl="0">
      <w:lvlJc w:val="left"/>
      <w:lvlText w:val="%1."/>
      <w:numFmt w:val="upperLetter"/>
      <w:start w:val="7"/>
    </w:lvl>
  </w:abstractNum>
  <w:abstractNum w:abstractNumId="61">
    <w:nsid w:val="1816F8C4"/>
    <w:multiLevelType w:val="hybridMultilevel"/>
    <w:lvl w:ilvl="0">
      <w:lvlJc w:val="left"/>
      <w:lvlText w:val="%1."/>
      <w:numFmt w:val="upperLetter"/>
      <w:start w:val="9"/>
    </w:lvl>
  </w:abstractNum>
  <w:abstractNum w:abstractNumId="62">
    <w:nsid w:val="37DF2233"/>
    <w:multiLevelType w:val="hybridMultilevel"/>
    <w:lvl w:ilvl="0">
      <w:lvlJc w:val="left"/>
      <w:lvlText w:val="%1."/>
      <w:numFmt w:val="upperLetter"/>
      <w:start w:val="2"/>
    </w:lvl>
  </w:abstractNum>
  <w:abstractNum w:abstractNumId="63">
    <w:nsid w:val="7AB49DAF"/>
    <w:multiLevelType w:val="hybridMultilevel"/>
    <w:lvl w:ilvl="0">
      <w:lvlJc w:val="left"/>
      <w:lvlText w:val="•"/>
      <w:numFmt w:val="bullet"/>
      <w:start w:val="1"/>
    </w:lvl>
  </w:abstractNum>
  <w:abstractNum w:abstractNumId="64">
    <w:nsid w:val="759F82CD"/>
    <w:multiLevelType w:val="hybridMultilevel"/>
    <w:lvl w:ilvl="0">
      <w:lvlJc w:val="left"/>
      <w:lvlText w:val="•"/>
      <w:numFmt w:val="bullet"/>
      <w:start w:val="1"/>
    </w:lvl>
  </w:abstractNum>
  <w:abstractNum w:abstractNumId="65">
    <w:nsid w:val="61E74EA3"/>
    <w:multiLevelType w:val="hybridMultilevel"/>
    <w:lvl w:ilvl="0">
      <w:lvlJc w:val="left"/>
      <w:lvlText w:val="(%1)"/>
      <w:numFmt w:val="lowerRoman"/>
      <w:start w:val="1"/>
    </w:lvl>
  </w:abstractNum>
  <w:abstractNum w:abstractNumId="66">
    <w:nsid w:val="597B4D84"/>
    <w:multiLevelType w:val="hybridMultilevel"/>
    <w:lvl w:ilvl="0">
      <w:lvlJc w:val="left"/>
      <w:lvlText w:val="(%1)"/>
      <w:numFmt w:val="lowerRoman"/>
      <w:start w:val="1"/>
    </w:lvl>
  </w:abstractNum>
  <w:abstractNum w:abstractNumId="67">
    <w:nsid w:val="F819E7F"/>
    <w:multiLevelType w:val="hybridMultilevel"/>
    <w:lvl w:ilvl="0">
      <w:lvlJc w:val="left"/>
      <w:lvlText w:val="•"/>
      <w:numFmt w:val="bullet"/>
      <w:start w:val="1"/>
    </w:lvl>
  </w:abstractNum>
  <w:abstractNum w:abstractNumId="68">
    <w:nsid w:val="57C7D42D"/>
    <w:multiLevelType w:val="hybridMultilevel"/>
    <w:lvl w:ilvl="0">
      <w:lvlJc w:val="left"/>
      <w:lvlText w:val="*"/>
      <w:numFmt w:val="bullet"/>
      <w:start w:val="1"/>
    </w:lvl>
    <w:lvl w:ilvl="1">
      <w:lvlJc w:val="left"/>
      <w:lvlText w:val="%2"/>
      <w:numFmt w:val="decimal"/>
      <w:start w:val="104"/>
    </w:lvl>
  </w:abstractNum>
  <w:abstractNum w:abstractNumId="69">
    <w:nsid w:val="312167AD"/>
    <w:multiLevelType w:val="hybridMultilevel"/>
    <w:lvl w:ilvl="0">
      <w:lvlJc w:val="left"/>
      <w:lvlText w:val="**"/>
      <w:numFmt w:val="bullet"/>
      <w:start w:val="1"/>
    </w:lvl>
    <w:lvl w:ilvl="1">
      <w:lvlJc w:val="left"/>
      <w:lvlText w:val="%2"/>
      <w:numFmt w:val="decimal"/>
      <w:start w:val="1"/>
    </w:lvl>
  </w:abstractNum>
  <w:abstractNum w:abstractNumId="70">
    <w:nsid w:val="631B64D4"/>
    <w:multiLevelType w:val="hybridMultilevel"/>
    <w:lvl w:ilvl="0">
      <w:lvlJc w:val="left"/>
      <w:lvlText w:val="†"/>
      <w:numFmt w:val="bullet"/>
      <w:start w:val="1"/>
    </w:lvl>
  </w:abstractNum>
  <w:abstractNum w:abstractNumId="71">
    <w:nsid w:val="78B5E776"/>
    <w:multiLevelType w:val="hybridMultilevel"/>
    <w:lvl w:ilvl="0">
      <w:lvlJc w:val="left"/>
      <w:lvlText w:val="††"/>
      <w:numFmt w:val="bullet"/>
      <w:start w:val="1"/>
    </w:lvl>
  </w:abstractNum>
  <w:abstractNum w:abstractNumId="72">
    <w:nsid w:val="75486E47"/>
    <w:multiLevelType w:val="hybridMultilevel"/>
    <w:lvl w:ilvl="0">
      <w:lvlJc w:val="left"/>
      <w:lvlText w:val="•"/>
      <w:numFmt w:val="bullet"/>
      <w:start w:val="1"/>
    </w:lvl>
  </w:abstractNum>
  <w:abstractNum w:abstractNumId="73">
    <w:nsid w:val="6E534CDE"/>
    <w:multiLevelType w:val="hybridMultilevel"/>
    <w:lvl w:ilvl="0">
      <w:lvlJc w:val="left"/>
      <w:lvlText w:val="•"/>
      <w:numFmt w:val="bullet"/>
      <w:start w:val="1"/>
    </w:lvl>
  </w:abstractNum>
  <w:abstractNum w:abstractNumId="74">
    <w:nsid w:val="1A0DDE32"/>
    <w:multiLevelType w:val="hybridMultilevel"/>
    <w:lvl w:ilvl="0">
      <w:lvlJc w:val="left"/>
      <w:lvlText w:val="•"/>
      <w:numFmt w:val="bullet"/>
      <w:start w:val="1"/>
    </w:lvl>
  </w:abstractNum>
  <w:abstractNum w:abstractNumId="75">
    <w:nsid w:val="65968C1C"/>
    <w:multiLevelType w:val="hybridMultilevel"/>
    <w:lvl w:ilvl="0">
      <w:lvlJc w:val="left"/>
      <w:lvlText w:val="•"/>
      <w:numFmt w:val="bullet"/>
      <w:start w:val="1"/>
    </w:lvl>
  </w:abstractNum>
  <w:abstractNum w:abstractNumId="76">
    <w:nsid w:val="46263DEC"/>
    <w:multiLevelType w:val="hybridMultilevel"/>
    <w:lvl w:ilvl="0">
      <w:lvlJc w:val="left"/>
      <w:lvlText w:val="•"/>
      <w:numFmt w:val="bullet"/>
      <w:start w:val="1"/>
    </w:lvl>
  </w:abstractNum>
  <w:abstractNum w:abstractNumId="77">
    <w:nsid w:val="260D8C4A"/>
    <w:multiLevelType w:val="hybridMultilevel"/>
    <w:lvl w:ilvl="0">
      <w:lvlJc w:val="left"/>
      <w:lvlText w:val="•"/>
      <w:numFmt w:val="bullet"/>
      <w:start w:val="1"/>
    </w:lvl>
  </w:abstractNum>
  <w:abstractNum w:abstractNumId="78">
    <w:nsid w:val="73D4D3C4"/>
    <w:multiLevelType w:val="hybridMultilevel"/>
    <w:lvl w:ilvl="0">
      <w:lvlJc w:val="left"/>
      <w:lvlText w:val="•"/>
      <w:numFmt w:val="bullet"/>
      <w:start w:val="1"/>
    </w:lvl>
  </w:abstractNum>
  <w:abstractNum w:abstractNumId="79">
    <w:nsid w:val="746F2E30"/>
    <w:multiLevelType w:val="hybridMultilevel"/>
    <w:lvl w:ilvl="0">
      <w:lvlJc w:val="left"/>
      <w:lvlText w:val="•"/>
      <w:numFmt w:val="bullet"/>
      <w:start w:val="1"/>
    </w:lvl>
  </w:abstractNum>
  <w:abstractNum w:abstractNumId="80">
    <w:nsid w:val="6FDE8AF6"/>
    <w:multiLevelType w:val="hybridMultilevel"/>
    <w:lvl w:ilvl="0">
      <w:lvlJc w:val="left"/>
      <w:lvlText w:val="•"/>
      <w:numFmt w:val="bullet"/>
      <w:start w:val="1"/>
    </w:lvl>
  </w:abstractNum>
  <w:abstractNum w:abstractNumId="81">
    <w:nsid w:val="3FC32E20"/>
    <w:multiLevelType w:val="hybridMultilevel"/>
    <w:lvl w:ilvl="0">
      <w:lvlJc w:val="left"/>
      <w:lvlText w:val="%1."/>
      <w:numFmt w:val="decimal"/>
      <w:start w:val="3"/>
    </w:lvl>
  </w:abstractNum>
  <w:abstractNum w:abstractNumId="82">
    <w:nsid w:val="49C0E823"/>
    <w:multiLevelType w:val="hybridMultilevel"/>
    <w:lvl w:ilvl="0">
      <w:lvlJc w:val="left"/>
      <w:lvlText w:val="3.%1."/>
      <w:numFmt w:val="decimal"/>
      <w:start w:val="1"/>
    </w:lvl>
  </w:abstractNum>
  <w:abstractNum w:abstractNumId="83">
    <w:nsid w:val="14D53685"/>
    <w:multiLevelType w:val="hybridMultilevel"/>
    <w:lvl w:ilvl="0">
      <w:lvlJc w:val="left"/>
      <w:lvlText w:val="•"/>
      <w:numFmt w:val="bullet"/>
      <w:start w:val="1"/>
    </w:lvl>
  </w:abstractNum>
  <w:abstractNum w:abstractNumId="84">
    <w:nsid w:val="230F856C"/>
    <w:multiLevelType w:val="hybridMultilevel"/>
    <w:lvl w:ilvl="0">
      <w:lvlJc w:val="left"/>
      <w:lvlText w:val="•"/>
      <w:numFmt w:val="bullet"/>
      <w:start w:val="1"/>
    </w:lvl>
  </w:abstractNum>
  <w:abstractNum w:abstractNumId="85">
    <w:nsid w:val="6EAA85FB"/>
    <w:multiLevelType w:val="hybridMultilevel"/>
    <w:lvl w:ilvl="0">
      <w:lvlJc w:val="left"/>
      <w:lvlText w:val="%1)"/>
      <w:numFmt w:val="lowerLetter"/>
      <w:start w:val="1"/>
    </w:lvl>
  </w:abstractNum>
  <w:abstractNum w:abstractNumId="86">
    <w:nsid w:val="3F06ECB2"/>
    <w:multiLevelType w:val="hybridMultilevel"/>
    <w:lvl w:ilvl="0">
      <w:lvlJc w:val="left"/>
      <w:lvlText w:val="*"/>
      <w:numFmt w:val="bullet"/>
      <w:start w:val="1"/>
    </w:lvl>
  </w:abstractNum>
  <w:abstractNum w:abstractNumId="87">
    <w:nsid w:val="3B594807"/>
    <w:multiLevelType w:val="hybridMultilevel"/>
    <w:lvl w:ilvl="0">
      <w:lvlJc w:val="left"/>
      <w:lvlText w:val="**"/>
      <w:numFmt w:val="bullet"/>
      <w:start w:val="1"/>
    </w:lvl>
  </w:abstractNum>
  <w:abstractNum w:abstractNumId="88">
    <w:nsid w:val="6CAA2304"/>
    <w:multiLevelType w:val="hybridMultilevel"/>
    <w:lvl w:ilvl="0">
      <w:lvlJc w:val="left"/>
      <w:lvlText w:val="(%1)"/>
      <w:numFmt w:val="decimal"/>
      <w:start w:val="1"/>
    </w:lvl>
  </w:abstractNum>
  <w:abstractNum w:abstractNumId="89">
    <w:nsid w:val="3F7C2FF4"/>
    <w:multiLevelType w:val="hybridMultilevel"/>
    <w:lvl w:ilvl="0">
      <w:lvlJc w:val="left"/>
      <w:lvlText w:val="*"/>
      <w:numFmt w:val="bullet"/>
      <w:start w:val="1"/>
    </w:lvl>
  </w:abstractNum>
  <w:abstractNum w:abstractNumId="90">
    <w:nsid w:val="25413BEC"/>
    <w:multiLevelType w:val="hybridMultilevel"/>
    <w:lvl w:ilvl="0">
      <w:lvlJc w:val="left"/>
      <w:lvlText w:val="**"/>
      <w:numFmt w:val="bullet"/>
      <w:start w:val="1"/>
    </w:lvl>
  </w:abstractNum>
  <w:abstractNum w:abstractNumId="91">
    <w:nsid w:val="17180B0B"/>
    <w:multiLevelType w:val="hybridMultilevel"/>
    <w:lvl w:ilvl="0">
      <w:lvlJc w:val="left"/>
      <w:lvlText w:val="*"/>
      <w:numFmt w:val="bullet"/>
      <w:start w:val="1"/>
    </w:lvl>
  </w:abstractNum>
  <w:abstractNum w:abstractNumId="92">
    <w:nsid w:val="579328B9"/>
    <w:multiLevelType w:val="hybridMultilevel"/>
    <w:lvl w:ilvl="0">
      <w:lvlJc w:val="left"/>
      <w:lvlText w:val="**"/>
      <w:numFmt w:val="bullet"/>
      <w:start w:val="1"/>
    </w:lvl>
  </w:abstractNum>
  <w:abstractNum w:abstractNumId="93">
    <w:nsid w:val="5D205E20"/>
    <w:multiLevelType w:val="hybridMultilevel"/>
    <w:lvl w:ilvl="0">
      <w:lvlJc w:val="left"/>
      <w:lvlText w:val="(%1)"/>
      <w:numFmt w:val="decimal"/>
      <w:start w:val="1"/>
    </w:lvl>
  </w:abstractNum>
  <w:abstractNum w:abstractNumId="94">
    <w:nsid w:val="11CCA8BA"/>
    <w:multiLevelType w:val="hybridMultilevel"/>
    <w:lvl w:ilvl="0">
      <w:lvlJc w:val="left"/>
      <w:lvlText w:val="*"/>
      <w:numFmt w:val="bullet"/>
      <w:start w:val="1"/>
    </w:lvl>
  </w:abstractNum>
  <w:abstractNum w:abstractNumId="95">
    <w:nsid w:val="4D32AB86"/>
    <w:multiLevelType w:val="hybridMultilevel"/>
    <w:lvl w:ilvl="0">
      <w:lvlJc w:val="left"/>
      <w:lvlText w:val="*"/>
      <w:numFmt w:val="bullet"/>
      <w:start w:val="1"/>
    </w:lvl>
  </w:abstractNum>
  <w:abstractNum w:abstractNumId="96">
    <w:nsid w:val="3F07ACC3"/>
    <w:multiLevelType w:val="hybridMultilevel"/>
    <w:lvl w:ilvl="0">
      <w:lvlJc w:val="left"/>
      <w:lvlText w:val="•"/>
      <w:numFmt w:val="bullet"/>
      <w:start w:val="1"/>
    </w:lvl>
  </w:abstractNum>
  <w:abstractNum w:abstractNumId="97">
    <w:nsid w:val="6B47F63E"/>
    <w:multiLevelType w:val="hybridMultilevel"/>
    <w:lvl w:ilvl="0">
      <w:lvlJc w:val="left"/>
      <w:lvlText w:val="•"/>
      <w:numFmt w:val="bullet"/>
      <w:start w:val="1"/>
    </w:lvl>
  </w:abstractNum>
  <w:abstractNum w:abstractNumId="98">
    <w:nsid w:val="5CB44A05"/>
    <w:multiLevelType w:val="hybridMultilevel"/>
    <w:lvl w:ilvl="0">
      <w:lvlJc w:val="left"/>
      <w:lvlText w:val="(%1)"/>
      <w:numFmt w:val="decimal"/>
      <w:start w:val="1"/>
    </w:lvl>
  </w:abstractNum>
  <w:abstractNum w:abstractNumId="99">
    <w:nsid w:val="16CF80F1"/>
    <w:multiLevelType w:val="hybridMultilevel"/>
    <w:lvl w:ilvl="0">
      <w:lvlJc w:val="left"/>
      <w:lvlText w:val="%1."/>
      <w:numFmt w:val="decimal"/>
      <w:start w:val="15"/>
    </w:lvl>
    <w:lvl w:ilvl="1">
      <w:lvlJc w:val="left"/>
      <w:lvlText w:val="•"/>
      <w:numFmt w:val="bullet"/>
      <w:start w:val="1"/>
    </w:lvl>
  </w:abstractNum>
  <w:abstractNum w:abstractNumId="100">
    <w:nsid w:val="1C695DEC"/>
    <w:multiLevelType w:val="hybridMultilevel"/>
    <w:lvl w:ilvl="0">
      <w:lvlJc w:val="left"/>
      <w:lvlText w:val="•"/>
      <w:numFmt w:val="bullet"/>
      <w:start w:val="1"/>
    </w:lvl>
  </w:abstractNum>
  <w:abstractNum w:abstractNumId="101">
    <w:nsid w:val="3FCFAED9"/>
    <w:multiLevelType w:val="hybridMultilevel"/>
    <w:lvl w:ilvl="0">
      <w:lvlJc w:val="left"/>
      <w:lvlText w:val="•"/>
      <w:numFmt w:val="bullet"/>
      <w:start w:val="1"/>
    </w:lvl>
  </w:abstractNum>
  <w:abstractNum w:abstractNumId="102">
    <w:nsid w:val="F856867"/>
    <w:multiLevelType w:val="hybridMultilevel"/>
    <w:lvl w:ilvl="0">
      <w:lvlJc w:val="left"/>
      <w:lvlText w:val="•"/>
      <w:numFmt w:val="bullet"/>
      <w:start w:val="1"/>
    </w:lvl>
  </w:abstractNum>
  <w:abstractNum w:abstractNumId="103">
    <w:nsid w:val="11B1CC33"/>
    <w:multiLevelType w:val="hybridMultilevel"/>
    <w:lvl w:ilvl="0">
      <w:lvlJc w:val="left"/>
      <w:lvlText w:val="(%1)"/>
      <w:numFmt w:val="lowerLetter"/>
      <w:start w:val="2"/>
    </w:lvl>
  </w:abstractNum>
  <w:abstractNum w:abstractNumId="104">
    <w:nsid w:val="2E22FBB7"/>
    <w:multiLevelType w:val="hybridMultilevel"/>
    <w:lvl w:ilvl="0">
      <w:lvlJc w:val="left"/>
      <w:lvlText w:val="•"/>
      <w:numFmt w:val="bullet"/>
      <w:start w:val="1"/>
    </w:lvl>
  </w:abstractNum>
  <w:abstractNum w:abstractNumId="105">
    <w:nsid w:val="29934699"/>
    <w:multiLevelType w:val="hybridMultilevel"/>
    <w:lvl w:ilvl="0">
      <w:lvlJc w:val="left"/>
      <w:lvlText w:val="•"/>
      <w:numFmt w:val="bullet"/>
      <w:start w:val="1"/>
    </w:lvl>
    <w:lvl w:ilvl="1">
      <w:lvlJc w:val="left"/>
      <w:lvlText w:val="(%2)"/>
      <w:numFmt w:val="lowerRoman"/>
      <w:start w:val="1"/>
    </w:lvl>
  </w:abstractNum>
  <w:abstractNum w:abstractNumId="106">
    <w:nsid w:val="77485850"/>
    <w:multiLevelType w:val="hybridMultilevel"/>
    <w:lvl w:ilvl="0">
      <w:lvlJc w:val="left"/>
      <w:lvlText w:val="•"/>
      <w:numFmt w:val="bullet"/>
      <w:start w:val="1"/>
    </w:lvl>
  </w:abstractNum>
  <w:abstractNum w:abstractNumId="107">
    <w:nsid w:val="744939A3"/>
    <w:multiLevelType w:val="hybridMultilevel"/>
    <w:lvl w:ilvl="0">
      <w:lvlJc w:val="left"/>
      <w:lvlText w:val="•"/>
      <w:numFmt w:val="bullet"/>
      <w:start w:val="1"/>
    </w:lvl>
  </w:abstractNum>
  <w:abstractNum w:abstractNumId="108">
    <w:nsid w:val="4FA0D2E3"/>
    <w:multiLevelType w:val="hybridMultilevel"/>
    <w:lvl w:ilvl="0">
      <w:lvlJc w:val="left"/>
      <w:lvlText w:val="•"/>
      <w:numFmt w:val="bullet"/>
      <w:start w:val="1"/>
    </w:lvl>
  </w:abstractNum>
  <w:abstractNum w:abstractNumId="109">
    <w:nsid w:val="6B1D2C14"/>
    <w:multiLevelType w:val="hybridMultilevel"/>
    <w:lvl w:ilvl="0">
      <w:lvlJc w:val="left"/>
      <w:lvlText w:val="•"/>
      <w:numFmt w:val="bullet"/>
      <w:start w:val="1"/>
    </w:lvl>
  </w:abstractNum>
  <w:abstractNum w:abstractNumId="110">
    <w:nsid w:val="68B867D3"/>
    <w:multiLevelType w:val="hybridMultilevel"/>
    <w:lvl w:ilvl="0">
      <w:lvlJc w:val="left"/>
      <w:lvlText w:val="•"/>
      <w:numFmt w:val="bullet"/>
      <w:start w:val="1"/>
    </w:lvl>
  </w:abstractNum>
  <w:abstractNum w:abstractNumId="111">
    <w:nsid w:val="3F7F5DD9"/>
    <w:multiLevelType w:val="hybridMultilevel"/>
    <w:lvl w:ilvl="0">
      <w:lvlJc w:val="left"/>
      <w:lvlText w:val="•"/>
      <w:numFmt w:val="bullet"/>
      <w:start w:val="1"/>
    </w:lvl>
  </w:abstractNum>
  <w:abstractNum w:abstractNumId="112">
    <w:nsid w:val="2AE05A34"/>
    <w:multiLevelType w:val="hybridMultilevel"/>
    <w:lvl w:ilvl="0">
      <w:lvlJc w:val="left"/>
      <w:lvlText w:val="•"/>
      <w:numFmt w:val="bullet"/>
      <w:start w:val="1"/>
    </w:lvl>
  </w:abstractNum>
  <w:abstractNum w:abstractNumId="113">
    <w:nsid w:val="32794FF7"/>
    <w:multiLevelType w:val="hybridMultilevel"/>
    <w:lvl w:ilvl="0">
      <w:lvlJc w:val="left"/>
      <w:lvlText w:val="•"/>
      <w:numFmt w:val="bullet"/>
      <w:start w:val="1"/>
    </w:lvl>
  </w:abstractNum>
  <w:abstractNum w:abstractNumId="114">
    <w:nsid w:val="5454945E"/>
    <w:multiLevelType w:val="hybridMultilevel"/>
    <w:lvl w:ilvl="0">
      <w:lvlJc w:val="left"/>
      <w:lvlText w:val="%1."/>
      <w:numFmt w:val="decimal"/>
      <w:start w:val="1"/>
    </w:lvl>
  </w:abstractNum>
  <w:abstractNum w:abstractNumId="115">
    <w:nsid w:val="4DEFDFA0"/>
    <w:multiLevelType w:val="hybridMultilevel"/>
    <w:lvl w:ilvl="0">
      <w:lvlJc w:val="left"/>
      <w:lvlText w:val="(%1)"/>
      <w:numFmt w:val="lowerLetter"/>
      <w:start w:val="1"/>
    </w:lvl>
  </w:abstractNum>
  <w:abstractNum w:abstractNumId="116">
    <w:nsid w:val="2123D5F2"/>
    <w:multiLevelType w:val="hybridMultilevel"/>
    <w:lvl w:ilvl="0">
      <w:lvlJc w:val="left"/>
      <w:lvlText w:val="(%1)"/>
      <w:numFmt w:val="lowerLetter"/>
      <w:start w:val="4"/>
    </w:lvl>
  </w:abstractNum>
  <w:abstractNum w:abstractNumId="117">
    <w:nsid w:val="135B8110"/>
    <w:multiLevelType w:val="hybridMultilevel"/>
    <w:lvl w:ilvl="0">
      <w:lvlJc w:val="left"/>
      <w:lvlText w:val="(%1)"/>
      <w:numFmt w:val="lowerLetter"/>
      <w:start w:val="5"/>
    </w:lvl>
  </w:abstractNum>
  <w:abstractNum w:abstractNumId="118">
    <w:nsid w:val="94927A8"/>
    <w:multiLevelType w:val="hybridMultilevel"/>
    <w:lvl w:ilvl="0">
      <w:lvlJc w:val="left"/>
      <w:lvlText w:val="(%1)"/>
      <w:numFmt w:val="lowerLetter"/>
      <w:start w:val="12"/>
    </w:lvl>
  </w:abstractNum>
  <w:abstractNum w:abstractNumId="119">
    <w:nsid w:val="DCDF8F6"/>
    <w:multiLevelType w:val="hybridMultilevel"/>
    <w:lvl w:ilvl="0">
      <w:lvlJc w:val="left"/>
      <w:lvlText w:val="%1."/>
      <w:numFmt w:val="decimal"/>
      <w:start w:val="2"/>
    </w:lvl>
  </w:abstractNum>
  <w:abstractNum w:abstractNumId="120">
    <w:nsid w:val="52D7B105"/>
    <w:multiLevelType w:val="hybridMultilevel"/>
    <w:lvl w:ilvl="0">
      <w:lvlJc w:val="left"/>
      <w:lvlText w:val="(%1)"/>
      <w:numFmt w:val="lowerLetter"/>
      <w:start w:val="1"/>
    </w:lvl>
  </w:abstractNum>
  <w:abstractNum w:abstractNumId="121">
    <w:nsid w:val="2E8A6394"/>
    <w:multiLevelType w:val="hybridMultilevel"/>
    <w:lvl w:ilvl="0">
      <w:lvlJc w:val="left"/>
      <w:lvlText w:val="%1."/>
      <w:numFmt w:val="decimal"/>
      <w:start w:val="3"/>
    </w:lvl>
  </w:abstractNum>
  <w:abstractNum w:abstractNumId="122">
    <w:nsid w:val="24E60401"/>
    <w:multiLevelType w:val="hybridMultilevel"/>
    <w:lvl w:ilvl="0">
      <w:lvlJc w:val="left"/>
      <w:lvlText w:val="(%1)"/>
      <w:numFmt w:val="lowerLetter"/>
      <w:start w:val="1"/>
    </w:lvl>
  </w:abstractNum>
  <w:abstractNum w:abstractNumId="123">
    <w:nsid w:val="2A6AD9BE"/>
    <w:multiLevelType w:val="hybridMultilevel"/>
    <w:lvl w:ilvl="0">
      <w:lvlJc w:val="left"/>
      <w:lvlText w:val="%1"/>
      <w:numFmt w:val="lowerLetter"/>
      <w:start w:val="1"/>
    </w:lvl>
    <w:lvl w:ilvl="1">
      <w:lvlJc w:val="left"/>
      <w:lvlText w:val="(%2)"/>
      <w:numFmt w:val="lowerRoman"/>
      <w:start w:val="1"/>
    </w:lvl>
  </w:abstractNum>
  <w:abstractNum w:abstractNumId="124">
    <w:nsid w:val="BAAC1B4"/>
    <w:multiLevelType w:val="hybridMultilevel"/>
    <w:lvl w:ilvl="0">
      <w:lvlJc w:val="left"/>
      <w:lvlText w:val="(%1)"/>
      <w:numFmt w:val="lowerLetter"/>
      <w:start w:val="2"/>
    </w:lvl>
    <w:lvl w:ilvl="1">
      <w:lvlJc w:val="left"/>
      <w:lvlText w:val="%2"/>
      <w:numFmt w:val="lowerRoman"/>
      <w:start w:val="1"/>
    </w:lvl>
  </w:abstractNum>
  <w:abstractNum w:abstractNumId="125">
    <w:nsid w:val="36B2ACBC"/>
    <w:multiLevelType w:val="hybridMultilevel"/>
    <w:lvl w:ilvl="0">
      <w:lvlJc w:val="left"/>
      <w:lvlText w:val="%1."/>
      <w:numFmt w:val="decimal"/>
      <w:start w:val="4"/>
    </w:lvl>
  </w:abstractNum>
  <w:abstractNum w:abstractNumId="126">
    <w:nsid w:val="779D8544"/>
    <w:multiLevelType w:val="hybridMultilevel"/>
    <w:lvl w:ilvl="0">
      <w:lvlJc w:val="left"/>
      <w:lvlText w:val="%1."/>
      <w:numFmt w:val="decimal"/>
      <w:start w:val="7"/>
    </w:lvl>
  </w:abstractNum>
  <w:abstractNum w:abstractNumId="127">
    <w:nsid w:val="4AB26E78"/>
    <w:multiLevelType w:val="hybridMultilevel"/>
    <w:lvl w:ilvl="0">
      <w:lvlJc w:val="left"/>
      <w:lvlText w:val="%1."/>
      <w:numFmt w:val="decimal"/>
      <w:start w:val="9"/>
    </w:lvl>
  </w:abstractNum>
  <w:abstractNum w:abstractNumId="128">
    <w:nsid w:val="21FAA2FA"/>
    <w:multiLevelType w:val="hybridMultilevel"/>
    <w:lvl w:ilvl="0">
      <w:lvlJc w:val="left"/>
      <w:lvlText w:val="(%1)"/>
      <w:numFmt w:val="lowerLetter"/>
      <w:start w:val="1"/>
    </w:lvl>
  </w:abstractNum>
  <w:abstractNum w:abstractNumId="129">
    <w:nsid w:val="5451CF49"/>
    <w:multiLevelType w:val="hybridMultilevel"/>
    <w:lvl w:ilvl="0">
      <w:lvlJc w:val="left"/>
      <w:lvlText w:val="%1."/>
      <w:numFmt w:val="decimal"/>
      <w:start w:val="10"/>
    </w:lvl>
  </w:abstractNum>
  <w:abstractNum w:abstractNumId="130">
    <w:nsid w:val="6181EF69"/>
    <w:multiLevelType w:val="hybridMultilevel"/>
    <w:lvl w:ilvl="0">
      <w:lvlJc w:val="left"/>
      <w:lvlText w:val="%1"/>
      <w:numFmt w:val="lowerRoman"/>
      <w:start w:val="1"/>
    </w:lvl>
    <w:lvl w:ilvl="1">
      <w:lvlJc w:val="left"/>
      <w:lvlText w:val="(%2)"/>
      <w:numFmt w:val="lowerLetter"/>
      <w:start w:val="1"/>
    </w:lvl>
  </w:abstractNum>
  <w:abstractNum w:abstractNumId="131">
    <w:nsid w:val="3E6400E6"/>
    <w:multiLevelType w:val="hybridMultilevel"/>
    <w:lvl w:ilvl="0">
      <w:lvlJc w:val="left"/>
      <w:lvlText w:val="(%1)"/>
      <w:numFmt w:val="lowerRoman"/>
      <w:start w:val="2"/>
    </w:lvl>
    <w:lvl w:ilvl="1">
      <w:lvlJc w:val="left"/>
      <w:lvlText w:val="%2"/>
      <w:numFmt w:val="lowerLetter"/>
      <w:start w:val="1"/>
    </w:lvl>
  </w:abstractNum>
  <w:abstractNum w:abstractNumId="132">
    <w:nsid w:val="14217E23"/>
    <w:multiLevelType w:val="hybridMultilevel"/>
    <w:lvl w:ilvl="0">
      <w:lvlJc w:val="left"/>
      <w:lvlText w:val="%1."/>
      <w:numFmt w:val="decimal"/>
      <w:start w:val="13"/>
    </w:lvl>
  </w:abstractNum>
  <w:abstractNum w:abstractNumId="133">
    <w:nsid w:val="710757D0"/>
    <w:multiLevelType w:val="hybridMultilevel"/>
    <w:lvl w:ilvl="0">
      <w:lvlJc w:val="left"/>
      <w:lvlText w:val="(%1)"/>
      <w:numFmt w:val="lowerLetter"/>
      <w:start w:val="1"/>
    </w:lvl>
  </w:abstractNum>
  <w:abstractNum w:abstractNumId="134">
    <w:nsid w:val="5015CD1A"/>
    <w:multiLevelType w:val="hybridMultilevel"/>
    <w:lvl w:ilvl="0">
      <w:lvlJc w:val="left"/>
      <w:lvlText w:val="(%1)"/>
      <w:numFmt w:val="lowerLetter"/>
      <w:start w:val="2"/>
    </w:lvl>
  </w:abstractNum>
  <w:abstractNum w:abstractNumId="135">
    <w:nsid w:val="424479DA"/>
    <w:multiLevelType w:val="hybridMultilevel"/>
    <w:lvl w:ilvl="0">
      <w:lvlJc w:val="left"/>
      <w:lvlText w:val="(%1)"/>
      <w:numFmt w:val="lowerLetter"/>
      <w:start w:val="4"/>
    </w:lvl>
  </w:abstractNum>
  <w:abstractNum w:abstractNumId="136">
    <w:nsid w:val="1A9A9E69"/>
    <w:multiLevelType w:val="hybridMultilevel"/>
    <w:lvl w:ilvl="0">
      <w:lvlJc w:val="left"/>
      <w:lvlText w:val="%1."/>
      <w:numFmt w:val="decimal"/>
      <w:start w:val="16"/>
    </w:lvl>
  </w:abstractNum>
  <w:abstractNum w:abstractNumId="137">
    <w:nsid w:val="475E256A"/>
    <w:multiLevelType w:val="hybridMultilevel"/>
    <w:lvl w:ilvl="0">
      <w:lvlJc w:val="left"/>
      <w:lvlText w:val="(%1)"/>
      <w:numFmt w:val="lowerLetter"/>
      <w:start w:val="2"/>
    </w:lvl>
    <w:lvl w:ilvl="1">
      <w:lvlJc w:val="left"/>
      <w:lvlText w:val="(%2)"/>
      <w:numFmt w:val="lowerRoman"/>
      <w:start w:val="1"/>
    </w:lvl>
  </w:abstractNum>
  <w:abstractNum w:abstractNumId="138">
    <w:nsid w:val="368DB37E"/>
    <w:multiLevelType w:val="hybridMultilevel"/>
    <w:lvl w:ilvl="0">
      <w:lvlJc w:val="left"/>
      <w:lvlText w:val="%1."/>
      <w:numFmt w:val="decimal"/>
      <w:start w:val="17"/>
    </w:lvl>
  </w:abstractNum>
  <w:abstractNum w:abstractNumId="139">
    <w:nsid w:val="6A3B714C"/>
    <w:multiLevelType w:val="hybridMultilevel"/>
    <w:lvl w:ilvl="0">
      <w:lvlJc w:val="left"/>
      <w:lvlText w:val="%1."/>
      <w:numFmt w:val="decimal"/>
      <w:start w:val="18"/>
    </w:lvl>
  </w:abstractNum>
  <w:abstractNum w:abstractNumId="140">
    <w:nsid w:val="327B517E"/>
    <w:multiLevelType w:val="hybridMultilevel"/>
    <w:lvl w:ilvl="0">
      <w:lvlJc w:val="left"/>
      <w:lvlText w:val="(%1)"/>
      <w:numFmt w:val="lowerLetter"/>
      <w:start w:val="1"/>
    </w:lvl>
  </w:abstractNum>
  <w:abstractNum w:abstractNumId="141">
    <w:nsid w:val="1F461B51"/>
    <w:multiLevelType w:val="hybridMultilevel"/>
    <w:lvl w:ilvl="0">
      <w:lvlJc w:val="left"/>
      <w:lvlText w:val="(%1)"/>
      <w:numFmt w:val="lowerLetter"/>
      <w:start w:val="4"/>
    </w:lvl>
  </w:abstractNum>
  <w:abstractNum w:abstractNumId="142">
    <w:nsid w:val="29BACF25"/>
    <w:multiLevelType w:val="hybridMultilevel"/>
    <w:lvl w:ilvl="0">
      <w:lvlJc w:val="left"/>
      <w:lvlText w:val="%1."/>
      <w:numFmt w:val="decimal"/>
      <w:start w:val="21"/>
    </w:lvl>
  </w:abstractNum>
  <w:abstractNum w:abstractNumId="143">
    <w:nsid w:val="5D5BABB3"/>
    <w:multiLevelType w:val="hybridMultilevel"/>
    <w:lvl w:ilvl="0">
      <w:lvlJc w:val="left"/>
      <w:lvlText w:val="(%1)"/>
      <w:numFmt w:val="lowerLetter"/>
      <w:start w:val="1"/>
    </w:lvl>
  </w:abstractNum>
  <w:abstractNum w:abstractNumId="144">
    <w:nsid w:val="51BF6B48"/>
    <w:multiLevelType w:val="hybridMultilevel"/>
    <w:lvl w:ilvl="0">
      <w:lvlJc w:val="left"/>
      <w:lvlText w:val="(%1)"/>
      <w:numFmt w:val="lowerLetter"/>
      <w:start w:val="3"/>
    </w:lvl>
  </w:abstractNum>
  <w:abstractNum w:abstractNumId="145">
    <w:nsid w:val="7E0F6384"/>
    <w:multiLevelType w:val="hybridMultilevel"/>
    <w:lvl w:ilvl="0">
      <w:lvlJc w:val="left"/>
      <w:lvlText w:val="%1."/>
      <w:numFmt w:val="decimal"/>
      <w:start w:val="22"/>
    </w:lvl>
  </w:abstractNum>
  <w:abstractNum w:abstractNumId="146">
    <w:nsid w:val="2B4B8B53"/>
    <w:multiLevelType w:val="hybridMultilevel"/>
    <w:lvl w:ilvl="0">
      <w:lvlJc w:val="left"/>
      <w:lvlText w:val="(%1)"/>
      <w:numFmt w:val="decimal"/>
      <w:start w:val="13"/>
    </w:lvl>
  </w:abstractNum>
  <w:abstractNum w:abstractNumId="147">
    <w:nsid w:val="72E3413A"/>
    <w:multiLevelType w:val="hybridMultilevel"/>
    <w:lvl w:ilvl="0">
      <w:lvlJc w:val="left"/>
      <w:lvlText w:val="(%1)"/>
      <w:numFmt w:val="decimal"/>
      <w:start w:val="1"/>
    </w:lvl>
    <w:lvl w:ilvl="1">
      <w:lvlJc w:val="left"/>
      <w:lvlText w:val="(%2)"/>
      <w:numFmt w:val="lowerRoman"/>
    </w:lvl>
    <w:lvl w:ilvl="2">
      <w:lvlJc w:val="left"/>
      <w:lvlText w:val="(%3)"/>
      <w:numFmt w:val="lowerLetter"/>
      <w:start w:val="1"/>
    </w:lvl>
  </w:abstractNum>
  <w:abstractNum w:abstractNumId="148">
    <w:nsid w:val="116AE494"/>
    <w:multiLevelType w:val="hybridMultilevel"/>
    <w:lvl w:ilvl="0">
      <w:lvlJc w:val="left"/>
      <w:lvlText w:val="%1"/>
      <w:numFmt w:val="decimal"/>
      <w:start w:val="1"/>
    </w:lvl>
    <w:lvl w:ilvl="1">
      <w:lvlJc w:val="left"/>
      <w:lvlText w:val="(%2)"/>
      <w:numFmt w:val="lowerLetter"/>
      <w:start w:val="4"/>
    </w:lvl>
  </w:abstractNum>
  <w:abstractNum w:abstractNumId="149">
    <w:nsid w:val="3494B2FB"/>
    <w:multiLevelType w:val="hybridMultilevel"/>
    <w:lvl w:ilvl="0">
      <w:lvlJc w:val="left"/>
      <w:lvlText w:val="(%1)"/>
      <w:numFmt w:val="decimal"/>
      <w:start w:val="2"/>
    </w:lvl>
    <w:lvl w:ilvl="1">
      <w:lvlJc w:val="left"/>
      <w:lvlText w:val="%2"/>
      <w:numFmt w:val="lowerLetter"/>
      <w:start w:val="1"/>
    </w:lvl>
  </w:abstractNum>
  <w:abstractNum w:abstractNumId="150">
    <w:nsid w:val="B13A31"/>
    <w:multiLevelType w:val="hybridMultilevel"/>
    <w:lvl w:ilvl="0">
      <w:lvlJc w:val="left"/>
      <w:lvlText w:val="(%1)"/>
      <w:numFmt w:val="decimal"/>
      <w:start w:val="4"/>
    </w:lvl>
    <w:lvl w:ilvl="1">
      <w:lvlJc w:val="left"/>
      <w:lvlText w:val="(%2)"/>
      <w:numFmt w:val="lowerLetter"/>
      <w:start w:val="1"/>
    </w:lvl>
  </w:abstractNum>
  <w:abstractNum w:abstractNumId="151">
    <w:nsid w:val="64429599"/>
    <w:multiLevelType w:val="hybridMultilevel"/>
    <w:lvl w:ilvl="0">
      <w:lvlJc w:val="left"/>
      <w:lvlText w:val="(%1)"/>
      <w:numFmt w:val="decimal"/>
      <w:start w:val="5"/>
    </w:lvl>
  </w:abstractNum>
  <w:abstractNum w:abstractNumId="152">
    <w:nsid w:val="631F1690"/>
    <w:multiLevelType w:val="hybridMultilevel"/>
    <w:lvl w:ilvl="0">
      <w:lvlJc w:val="left"/>
      <w:lvlText w:val="(%1)"/>
      <w:numFmt w:val="decimal"/>
      <w:start w:val="6"/>
    </w:lvl>
    <w:lvl w:ilvl="1">
      <w:lvlJc w:val="left"/>
      <w:lvlText w:val="(%2)"/>
      <w:numFmt w:val="lowerLetter"/>
      <w:start w:val="1"/>
    </w:lvl>
  </w:abstractNum>
  <w:abstractNum w:abstractNumId="153">
    <w:nsid w:val="25973E32"/>
    <w:multiLevelType w:val="hybridMultilevel"/>
    <w:lvl w:ilvl="0">
      <w:lvlJc w:val="left"/>
      <w:lvlText w:val="(%1)"/>
      <w:numFmt w:val="decimal"/>
      <w:start w:val="7"/>
    </w:lvl>
  </w:abstractNum>
  <w:abstractNum w:abstractNumId="154">
    <w:nsid w:val="EAD6F57"/>
    <w:multiLevelType w:val="hybridMultilevel"/>
    <w:lvl w:ilvl="0">
      <w:lvlJc w:val="left"/>
      <w:lvlText w:val="%1"/>
      <w:numFmt w:val="lowerRoman"/>
      <w:start w:val="1"/>
    </w:lvl>
    <w:lvl w:ilvl="1">
      <w:lvlJc w:val="left"/>
      <w:lvlText w:val="(%2)"/>
      <w:numFmt w:val="lowerLetter"/>
      <w:start w:val="1"/>
    </w:lvl>
  </w:abstractNum>
  <w:abstractNum w:abstractNumId="155">
    <w:nsid w:val="6EC9D844"/>
    <w:multiLevelType w:val="hybridMultilevel"/>
    <w:lvl w:ilvl="0">
      <w:lvlJc w:val="left"/>
      <w:lvlText w:val="(%1)"/>
      <w:numFmt w:val="lowerRoman"/>
      <w:start w:val="1"/>
    </w:lvl>
    <w:lvl w:ilvl="1">
      <w:lvlJc w:val="left"/>
      <w:lvlText w:val="%2"/>
      <w:numFmt w:val="lowerLetter"/>
      <w:start w:val="1"/>
    </w:lvl>
  </w:abstractNum>
  <w:abstractNum w:abstractNumId="156">
    <w:nsid w:val="5C49EAEE"/>
    <w:multiLevelType w:val="hybridMultilevel"/>
    <w:lvl w:ilvl="0">
      <w:lvlJc w:val="left"/>
      <w:lvlText w:val="(%1)"/>
      <w:numFmt w:val="lowerRoman"/>
      <w:start w:val="4"/>
    </w:lvl>
  </w:abstractNum>
  <w:abstractNum w:abstractNumId="157">
    <w:nsid w:val="64AF49B"/>
    <w:multiLevelType w:val="hybridMultilevel"/>
    <w:lvl w:ilvl="0">
      <w:lvlJc w:val="left"/>
      <w:lvlText w:val="%1"/>
      <w:numFmt w:val="lowerRoman"/>
      <w:start w:val="1"/>
    </w:lvl>
    <w:lvl w:ilvl="1">
      <w:lvlJc w:val="left"/>
      <w:lvlText w:val="(%2)"/>
      <w:numFmt w:val="lowerLetter"/>
      <w:start w:val="3"/>
    </w:lvl>
  </w:abstractNum>
  <w:abstractNum w:abstractNumId="158">
    <w:nsid w:val="397C46BC"/>
    <w:multiLevelType w:val="hybridMultilevel"/>
    <w:lvl w:ilvl="0">
      <w:lvlJc w:val="left"/>
      <w:lvlText w:val="(%1)"/>
      <w:numFmt w:val="lowerRoman"/>
      <w:start w:val="1"/>
    </w:lvl>
    <w:lvl w:ilvl="1">
      <w:lvlJc w:val="left"/>
      <w:lvlText w:val="%2"/>
      <w:numFmt w:val="lowerLetter"/>
      <w:start w:val="1"/>
    </w:lvl>
  </w:abstractNum>
  <w:abstractNum w:abstractNumId="159">
    <w:nsid w:val="7E448DE9"/>
    <w:multiLevelType w:val="hybridMultilevel"/>
    <w:lvl w:ilvl="0">
      <w:lvlJc w:val="left"/>
      <w:lvlText w:val="(%1)"/>
      <w:numFmt w:val="lowerLetter"/>
      <w:start w:val="4"/>
    </w:lvl>
  </w:abstractNum>
  <w:abstractNum w:abstractNumId="160">
    <w:nsid w:val="5A9CC3E5"/>
    <w:multiLevelType w:val="hybridMultilevel"/>
    <w:lvl w:ilvl="0">
      <w:lvlJc w:val="left"/>
      <w:lvlText w:val="%1"/>
      <w:numFmt w:val="decimal"/>
      <w:start w:val="1"/>
    </w:lvl>
    <w:lvl w:ilvl="1">
      <w:lvlJc w:val="left"/>
      <w:lvlText w:val="(%2)"/>
      <w:numFmt w:val="lowerLetter"/>
      <w:start w:val="5"/>
    </w:lvl>
  </w:abstractNum>
  <w:abstractNum w:abstractNumId="161">
    <w:nsid w:val="1AFE3625"/>
    <w:multiLevelType w:val="hybridMultilevel"/>
    <w:lvl w:ilvl="0">
      <w:lvlJc w:val="left"/>
      <w:lvlText w:val="(%1)"/>
      <w:numFmt w:val="decimal"/>
      <w:start w:val="8"/>
    </w:lvl>
    <w:lvl w:ilvl="1">
      <w:lvlJc w:val="left"/>
      <w:lvlText w:val="%2"/>
      <w:numFmt w:val="lowerLetter"/>
      <w:start w:val="1"/>
    </w:lvl>
  </w:abstractNum>
  <w:abstractNum w:abstractNumId="162">
    <w:nsid w:val="3CA88ECF"/>
    <w:multiLevelType w:val="hybridMultilevel"/>
    <w:lvl w:ilvl="0">
      <w:lvlJc w:val="left"/>
      <w:lvlText w:val="(%1)"/>
      <w:numFmt w:val="decimal"/>
      <w:start w:val="10"/>
    </w:lvl>
    <w:lvl w:ilvl="1">
      <w:lvlJc w:val="left"/>
      <w:lvlText w:val="(%2)"/>
      <w:numFmt w:val="lowerLetter"/>
      <w:start w:val="1"/>
    </w:lvl>
  </w:abstractNum>
  <w:abstractNum w:abstractNumId="163">
    <w:nsid w:val="6EBE4208"/>
    <w:multiLevelType w:val="hybridMultilevel"/>
    <w:lvl w:ilvl="0">
      <w:lvlJc w:val="left"/>
      <w:lvlText w:val="(%1)"/>
      <w:numFmt w:val="lowerLetter"/>
      <w:start w:val="4"/>
    </w:lvl>
  </w:abstractNum>
  <w:abstractNum w:abstractNumId="164">
    <w:nsid w:val="C058DF5"/>
    <w:multiLevelType w:val="hybridMultilevel"/>
    <w:lvl w:ilvl="0">
      <w:lvlJc w:val="left"/>
      <w:lvlText w:val="(%1)"/>
      <w:numFmt w:val="decimal"/>
      <w:start w:val="11"/>
    </w:lvl>
    <w:lvl w:ilvl="1">
      <w:lvlJc w:val="left"/>
      <w:lvlText w:val="(%2)"/>
      <w:numFmt w:val="lowerLetter"/>
      <w:start w:val="1"/>
    </w:lvl>
  </w:abstractNum>
  <w:abstractNum w:abstractNumId="165">
    <w:nsid w:val="CBE5BE9"/>
    <w:multiLevelType w:val="hybridMultilevel"/>
    <w:lvl w:ilvl="0">
      <w:lvlJc w:val="left"/>
      <w:lvlText w:val="(%1)"/>
      <w:numFmt w:val="lowerLetter"/>
      <w:start w:val="2"/>
    </w:lvl>
  </w:abstractNum>
  <w:abstractNum w:abstractNumId="166">
    <w:nsid w:val="3102BBE2"/>
    <w:multiLevelType w:val="hybridMultilevel"/>
    <w:lvl w:ilvl="0">
      <w:lvlJc w:val="left"/>
      <w:lvlText w:val="(%1)"/>
      <w:numFmt w:val="decimal"/>
      <w:start w:val="13"/>
    </w:lvl>
    <w:lvl w:ilvl="1">
      <w:lvlJc w:val="left"/>
      <w:lvlText w:val="(%2)"/>
      <w:numFmt w:val="lowerLetter"/>
      <w:start w:val="1"/>
    </w:lvl>
  </w:abstractNum>
  <w:abstractNum w:abstractNumId="167">
    <w:nsid w:val="26A02C5E"/>
    <w:multiLevelType w:val="hybridMultilevel"/>
    <w:lvl w:ilvl="0">
      <w:lvlJc w:val="left"/>
      <w:lvlText w:val="(%1)"/>
      <w:numFmt w:val="lowerLetter"/>
      <w:start w:val="2"/>
    </w:lvl>
  </w:abstractNum>
  <w:abstractNum w:abstractNumId="168">
    <w:nsid w:val="541C8153"/>
    <w:multiLevelType w:val="hybridMultilevel"/>
    <w:lvl w:ilvl="0">
      <w:lvlJc w:val="left"/>
      <w:lvlText w:val="(%1)"/>
      <w:numFmt w:val="lowerLetter"/>
      <w:start w:val="3"/>
    </w:lvl>
  </w:abstractNum>
  <w:abstractNum w:abstractNumId="169">
    <w:nsid w:val="67906F60"/>
    <w:multiLevelType w:val="hybridMultilevel"/>
    <w:lvl w:ilvl="0">
      <w:lvlJc w:val="left"/>
      <w:lvlText w:val="(%1)"/>
      <w:numFmt w:val="lowerLetter"/>
      <w:start w:val="7"/>
    </w:lvl>
  </w:abstractNum>
  <w:abstractNum w:abstractNumId="170">
    <w:nsid w:val="10DB9DAA"/>
    <w:multiLevelType w:val="hybridMultilevel"/>
    <w:lvl w:ilvl="0">
      <w:lvlJc w:val="left"/>
      <w:lvlText w:val="%1"/>
      <w:numFmt w:val="decimal"/>
      <w:start w:val="1"/>
    </w:lvl>
    <w:lvl w:ilvl="1">
      <w:lvlJc w:val="left"/>
      <w:lvlText w:val="(%2)"/>
      <w:numFmt w:val="lowerLetter"/>
      <w:start w:val="13"/>
    </w:lvl>
  </w:abstractNum>
  <w:abstractNum w:abstractNumId="171">
    <w:nsid w:val="697D2D2"/>
    <w:multiLevelType w:val="hybridMultilevel"/>
    <w:lvl w:ilvl="0">
      <w:lvlJc w:val="left"/>
      <w:lvlText w:val="(%1)"/>
      <w:numFmt w:val="decimal"/>
      <w:start w:val="15"/>
    </w:lvl>
    <w:lvl w:ilvl="1">
      <w:lvlJc w:val="left"/>
      <w:lvlText w:val="(%2)"/>
      <w:numFmt w:val="lowerLetter"/>
      <w:start w:val="1"/>
    </w:lvl>
  </w:abstractNum>
  <w:abstractNum w:abstractNumId="172">
    <w:nsid w:val="6D68AB2"/>
    <w:multiLevelType w:val="hybridMultilevel"/>
    <w:lvl w:ilvl="0">
      <w:lvlJc w:val="left"/>
      <w:lvlText w:val="%1"/>
      <w:numFmt w:val="decimal"/>
      <w:start w:val="1"/>
    </w:lvl>
    <w:lvl w:ilvl="1">
      <w:lvlJc w:val="left"/>
      <w:lvlText w:val="(%2)"/>
      <w:numFmt w:val="lowerLetter"/>
      <w:start w:val="2"/>
    </w:lvl>
  </w:abstractNum>
  <w:abstractNum w:abstractNumId="173">
    <w:nsid w:val="3A966CD0"/>
    <w:multiLevelType w:val="hybridMultilevel"/>
    <w:lvl w:ilvl="0">
      <w:lvlJc w:val="left"/>
      <w:lvlText w:val="(%1)"/>
      <w:numFmt w:val="decimal"/>
      <w:start w:val="16"/>
    </w:lvl>
    <w:lvl w:ilvl="1">
      <w:lvlJc w:val="left"/>
      <w:lvlText w:val="%2"/>
      <w:numFmt w:val="lowerLetter"/>
      <w:start w:val="1"/>
    </w:lvl>
  </w:abstractNum>
  <w:abstractNum w:abstractNumId="174">
    <w:nsid w:val="63F37E85"/>
    <w:multiLevelType w:val="hybridMultilevel"/>
    <w:lvl w:ilvl="0">
      <w:lvlJc w:val="left"/>
      <w:lvlText w:val="%1"/>
      <w:numFmt w:val="lowerRoman"/>
      <w:start w:val="1"/>
    </w:lvl>
    <w:lvl w:ilvl="1">
      <w:lvlJc w:val="left"/>
      <w:lvlText w:val="(%2)"/>
      <w:numFmt w:val="decimal"/>
      <w:start w:val="17"/>
    </w:lvl>
  </w:abstractNum>
  <w:abstractNum w:abstractNumId="175">
    <w:nsid w:val="5895F5FA"/>
    <w:multiLevelType w:val="hybridMultilevel"/>
    <w:lvl w:ilvl="0">
      <w:lvlJc w:val="left"/>
      <w:lvlText w:val="(%1)"/>
      <w:numFmt w:val="lowerRoman"/>
      <w:start w:val="2"/>
    </w:lvl>
    <w:lvl w:ilvl="1">
      <w:lvlJc w:val="left"/>
      <w:lvlText w:val="%2"/>
      <w:numFmt w:val="decimal"/>
      <w:start w:val="1"/>
    </w:lvl>
  </w:abstractNum>
  <w:abstractNum w:abstractNumId="176">
    <w:nsid w:val="38A5D054"/>
    <w:multiLevelType w:val="hybridMultilevel"/>
    <w:lvl w:ilvl="0">
      <w:lvlJc w:val="left"/>
      <w:lvlText w:val="(%1)"/>
      <w:numFmt w:val="decimal"/>
      <w:start w:val="18"/>
    </w:lvl>
  </w:abstractNum>
  <w:abstractNum w:abstractNumId="177">
    <w:nsid w:val="F3F09D8"/>
    <w:multiLevelType w:val="hybridMultilevel"/>
    <w:lvl w:ilvl="0">
      <w:lvlJc w:val="left"/>
      <w:lvlText w:val="(%1)"/>
      <w:numFmt w:val="decimal"/>
      <w:start w:val="19"/>
    </w:lvl>
  </w:abstractNum>
  <w:abstractNum w:abstractNumId="178">
    <w:nsid w:val="4B793735"/>
    <w:multiLevelType w:val="hybridMultilevel"/>
    <w:lvl w:ilvl="0">
      <w:lvlJc w:val="left"/>
      <w:lvlText w:val="(%1)"/>
      <w:numFmt w:val="lowerLetter"/>
      <w:start w:val="1"/>
    </w:lvl>
  </w:abstractNum>
  <w:abstractNum w:abstractNumId="179">
    <w:nsid w:val="4A10B4E8"/>
    <w:multiLevelType w:val="hybridMultilevel"/>
    <w:lvl w:ilvl="0">
      <w:lvlJc w:val="left"/>
      <w:lvlText w:val="(%1)"/>
      <w:numFmt w:val="lowerLetter"/>
      <w:start w:val="2"/>
    </w:lvl>
  </w:abstractNum>
  <w:abstractNum w:abstractNumId="180">
    <w:nsid w:val="43D3BCD4"/>
    <w:multiLevelType w:val="hybridMultilevel"/>
    <w:lvl w:ilvl="0">
      <w:lvlJc w:val="left"/>
      <w:lvlText w:val="(%1)"/>
      <w:numFmt w:val="lowerLetter"/>
      <w:start w:val="4"/>
    </w:lvl>
    <w:lvl w:ilvl="1">
      <w:lvlJc w:val="left"/>
      <w:lvlText w:val="(%2)"/>
      <w:numFmt w:val="lowerRoman"/>
      <w:start w:val="1"/>
    </w:lvl>
  </w:abstractNum>
  <w:abstractNum w:abstractNumId="181">
    <w:nsid w:val="4C2A7166"/>
    <w:multiLevelType w:val="hybridMultilevel"/>
    <w:lvl w:ilvl="0">
      <w:lvlJc w:val="left"/>
      <w:lvlText w:val="(%1)"/>
      <w:numFmt w:val="lowerRoman"/>
      <w:start w:val="4"/>
    </w:lvl>
  </w:abstractNum>
  <w:abstractNum w:abstractNumId="182">
    <w:nsid w:val="2E534A82"/>
    <w:multiLevelType w:val="hybridMultilevel"/>
    <w:lvl w:ilvl="0">
      <w:lvlJc w:val="left"/>
      <w:lvlText w:val="%1"/>
      <w:numFmt w:val="lowerLetter"/>
      <w:start w:val="1"/>
    </w:lvl>
    <w:lvl w:ilvl="1">
      <w:lvlJc w:val="left"/>
      <w:lvlText w:val="(%2)"/>
      <w:numFmt w:val="lowerLetter"/>
      <w:start w:val="22"/>
    </w:lvl>
  </w:abstractNum>
  <w:abstractNum w:abstractNumId="183">
    <w:nsid w:val="26F2D364"/>
    <w:multiLevelType w:val="hybridMultilevel"/>
    <w:lvl w:ilvl="0">
      <w:lvlJc w:val="left"/>
      <w:lvlText w:val="(%1)"/>
      <w:numFmt w:val="lowerLetter"/>
      <w:start w:val="5"/>
    </w:lvl>
    <w:lvl w:ilvl="1">
      <w:lvlJc w:val="left"/>
      <w:lvlText w:val="(%2)"/>
      <w:numFmt w:val="lowerLetter"/>
      <w:start w:val="9"/>
    </w:lvl>
  </w:abstractNum>
  <w:abstractNum w:abstractNumId="184">
    <w:nsid w:val="71C1AF98"/>
    <w:multiLevelType w:val="hybridMultilevel"/>
    <w:lvl w:ilvl="0">
      <w:lvlJc w:val="left"/>
      <w:lvlText w:val="(%1)"/>
      <w:numFmt w:val="lowerRoman"/>
      <w:start w:val="2"/>
    </w:lvl>
  </w:abstractNum>
  <w:abstractNum w:abstractNumId="185">
    <w:nsid w:val="3D00B9D9"/>
    <w:multiLevelType w:val="hybridMultilevel"/>
    <w:lvl w:ilvl="0">
      <w:lvlJc w:val="left"/>
      <w:lvlText w:val="(%1)"/>
      <w:numFmt w:val="lowerLetter"/>
      <w:start w:val="7"/>
    </w:lvl>
    <w:lvl w:ilvl="1">
      <w:lvlJc w:val="left"/>
      <w:lvlText w:val="(%2)"/>
      <w:numFmt w:val="lowerLetter"/>
      <w:start w:val="9"/>
    </w:lvl>
  </w:abstractNum>
  <w:abstractNum w:abstractNumId="186">
    <w:nsid w:val="15BCABA8"/>
    <w:multiLevelType w:val="hybridMultilevel"/>
    <w:lvl w:ilvl="0">
      <w:lvlJc w:val="left"/>
      <w:lvlText w:val="(%1)"/>
      <w:numFmt w:val="lowerLetter"/>
      <w:start w:val="1"/>
    </w:lvl>
  </w:abstractNum>
  <w:abstractNum w:abstractNumId="187">
    <w:nsid w:val="4E0B9A87"/>
    <w:multiLevelType w:val="hybridMultilevel"/>
    <w:lvl w:ilvl="0">
      <w:lvlJc w:val="left"/>
      <w:lvlText w:val="(%1)"/>
      <w:numFmt w:val="lowerLetter"/>
      <w:start w:val="5"/>
    </w:lvl>
  </w:abstractNum>
  <w:abstractNum w:abstractNumId="188">
    <w:nsid w:val="434BAE75"/>
    <w:multiLevelType w:val="hybridMultilevel"/>
    <w:lvl w:ilvl="0">
      <w:lvlJc w:val="left"/>
      <w:lvlText w:val="(%1)"/>
      <w:numFmt w:val="lowerLetter"/>
      <w:start w:val="1"/>
    </w:lvl>
    <w:lvl w:ilvl="1">
      <w:lvlJc w:val="left"/>
      <w:lvlText w:val="(%2)"/>
      <w:numFmt w:val="lowerRoman"/>
      <w:start w:val="1"/>
    </w:lvl>
  </w:abstractNum>
  <w:abstractNum w:abstractNumId="189">
    <w:nsid w:val="4F38F265"/>
    <w:multiLevelType w:val="hybridMultilevel"/>
    <w:lvl w:ilvl="0">
      <w:lvlJc w:val="left"/>
      <w:lvlText w:val="(%1)"/>
      <w:numFmt w:val="lowerRoman"/>
      <w:start w:val="4"/>
    </w:lvl>
  </w:abstractNum>
  <w:abstractNum w:abstractNumId="190">
    <w:nsid w:val="4C502870"/>
    <w:multiLevelType w:val="hybridMultilevel"/>
    <w:lvl w:ilvl="0">
      <w:lvlJc w:val="left"/>
      <w:lvlText w:val="(%1)"/>
      <w:numFmt w:val="lowerRoman"/>
      <w:start w:val="7"/>
    </w:lvl>
  </w:abstractNum>
  <w:abstractNum w:abstractNumId="191">
    <w:nsid w:val="1DE8725A"/>
    <w:multiLevelType w:val="hybridMultilevel"/>
    <w:lvl w:ilvl="0">
      <w:lvlJc w:val="left"/>
      <w:lvlText w:val="(%1)"/>
      <w:numFmt w:val="lowerRoman"/>
      <w:start w:val="14"/>
    </w:lvl>
  </w:abstractNum>
  <w:abstractNum w:abstractNumId="192">
    <w:nsid w:val="6A37288A"/>
    <w:multiLevelType w:val="hybridMultilevel"/>
    <w:lvl w:ilvl="0">
      <w:lvlJc w:val="left"/>
      <w:lvlText w:val="%1"/>
      <w:numFmt w:val="lowerLetter"/>
      <w:start w:val="1"/>
    </w:lvl>
    <w:lvl w:ilvl="1">
      <w:lvlJc w:val="left"/>
      <w:lvlText w:val="(%2)"/>
      <w:numFmt w:val="lowerRoman"/>
      <w:start w:val="22"/>
    </w:lvl>
  </w:abstractNum>
  <w:abstractNum w:abstractNumId="193">
    <w:nsid w:val="8F8B73F"/>
    <w:multiLevelType w:val="hybridMultilevel"/>
    <w:lvl w:ilvl="0">
      <w:lvlJc w:val="left"/>
      <w:lvlText w:val="(%1)"/>
      <w:numFmt w:val="lowerLetter"/>
      <w:start w:val="2"/>
    </w:lvl>
    <w:lvl w:ilvl="1">
      <w:lvlJc w:val="left"/>
      <w:lvlText w:val="%2"/>
      <w:numFmt w:val="lowerRoman"/>
      <w:start w:val="1"/>
    </w:lvl>
  </w:abstractNum>
  <w:abstractNum w:abstractNumId="194">
    <w:nsid w:val="CA6B462"/>
    <w:multiLevelType w:val="hybridMultilevel"/>
    <w:lvl w:ilvl="0">
      <w:lvlJc w:val="left"/>
      <w:lvlText w:val="(%1)"/>
      <w:numFmt w:val="lowerLetter"/>
      <w:start w:val="1"/>
    </w:lvl>
  </w:abstractNum>
  <w:abstractNum w:abstractNumId="195">
    <w:nsid w:val="763CB680"/>
    <w:multiLevelType w:val="hybridMultilevel"/>
    <w:lvl w:ilvl="0">
      <w:lvlJc w:val="left"/>
      <w:lvlText w:val="(%1)"/>
      <w:numFmt w:val="lowerLetter"/>
      <w:start w:val="1"/>
    </w:lvl>
  </w:abstractNum>
  <w:abstractNum w:abstractNumId="196">
    <w:nsid w:val="15B71329"/>
    <w:multiLevelType w:val="hybridMultilevel"/>
    <w:lvl w:ilvl="0">
      <w:lvlJc w:val="left"/>
      <w:lvlText w:val="(%1)"/>
      <w:numFmt w:val="lowerLetter"/>
      <w:start w:val="2"/>
    </w:lvl>
  </w:abstractNum>
  <w:abstractNum w:abstractNumId="197">
    <w:nsid w:val="3DA97044"/>
    <w:multiLevelType w:val="hybridMultilevel"/>
    <w:lvl w:ilvl="0">
      <w:lvlJc w:val="left"/>
      <w:lvlText w:val="(%1)"/>
      <w:numFmt w:val="lowerLetter"/>
      <w:start w:val="4"/>
    </w:lvl>
  </w:abstractNum>
  <w:abstractNum w:abstractNumId="198">
    <w:nsid w:val="1CDCE2DE"/>
    <w:multiLevelType w:val="hybridMultilevel"/>
    <w:lvl w:ilvl="0">
      <w:lvlJc w:val="left"/>
      <w:lvlText w:val="(%1)"/>
      <w:numFmt w:val="lowerLetter"/>
      <w:start w:val="1"/>
    </w:lvl>
  </w:abstractNum>
  <w:abstractNum w:abstractNumId="199">
    <w:nsid w:val="69D3947C"/>
    <w:multiLevelType w:val="hybridMultilevel"/>
    <w:lvl w:ilvl="0">
      <w:lvlJc w:val="left"/>
      <w:lvlText w:val="(%1)"/>
      <w:numFmt w:val="lowerLetter"/>
      <w:start w:val="1"/>
    </w:lvl>
  </w:abstractNum>
  <w:abstractNum w:abstractNumId="200">
    <w:nsid w:val="2539DFA5"/>
    <w:multiLevelType w:val="hybridMultilevel"/>
    <w:lvl w:ilvl="0">
      <w:lvlJc w:val="left"/>
      <w:lvlText w:val="(%1)"/>
      <w:numFmt w:val="lowerLetter"/>
      <w:start w:val="1"/>
    </w:lvl>
  </w:abstractNum>
  <w:abstractNum w:abstractNumId="201">
    <w:nsid w:val="2DB88089"/>
    <w:multiLevelType w:val="hybridMultilevel"/>
    <w:lvl w:ilvl="0">
      <w:lvlJc w:val="left"/>
      <w:lvlText w:val="(%1)"/>
      <w:numFmt w:val="lowerLetter"/>
      <w:start w:val="1"/>
    </w:lvl>
  </w:abstractNum>
  <w:abstractNum w:abstractNumId="202">
    <w:nsid w:val="706B674E"/>
    <w:multiLevelType w:val="hybridMultilevel"/>
    <w:lvl w:ilvl="0">
      <w:lvlJc w:val="left"/>
      <w:lvlText w:val="%1"/>
      <w:numFmt w:val="lowerRoman"/>
      <w:start w:val="1"/>
    </w:lvl>
    <w:lvl w:ilvl="1">
      <w:lvlJc w:val="left"/>
      <w:lvlText w:val="(%2)"/>
      <w:numFmt w:val="lowerLetter"/>
      <w:start w:val="4"/>
    </w:lvl>
  </w:abstractNum>
  <w:abstractNum w:abstractNumId="203">
    <w:nsid w:val="2C106A57"/>
    <w:multiLevelType w:val="hybridMultilevel"/>
    <w:lvl w:ilvl="0">
      <w:lvlJc w:val="left"/>
      <w:lvlText w:val="(%1)"/>
      <w:numFmt w:val="lowerRoman"/>
      <w:start w:val="4"/>
    </w:lvl>
    <w:lvl w:ilvl="1">
      <w:lvlJc w:val="left"/>
      <w:lvlText w:val="%2"/>
      <w:numFmt w:val="lowerLetter"/>
      <w:start w:val="1"/>
    </w:lvl>
  </w:abstractNum>
  <w:abstractNum w:abstractNumId="204">
    <w:nsid w:val="684EED59"/>
    <w:multiLevelType w:val="hybridMultilevel"/>
    <w:lvl w:ilvl="0">
      <w:lvlJc w:val="left"/>
      <w:lvlText w:val="(%1)"/>
      <w:numFmt w:val="lowerLetter"/>
      <w:start w:val="7"/>
    </w:lvl>
  </w:abstractNum>
  <w:abstractNum w:abstractNumId="205">
    <w:nsid w:val="545EE5D3"/>
    <w:multiLevelType w:val="hybridMultilevel"/>
    <w:lvl w:ilvl="0">
      <w:lvlJc w:val="left"/>
      <w:lvlText w:val="(%1)"/>
      <w:numFmt w:val="lowerLetter"/>
      <w:start w:val="12"/>
    </w:lvl>
  </w:abstractNum>
  <w:abstractNum w:abstractNumId="206">
    <w:nsid w:val="4A66051"/>
    <w:multiLevelType w:val="hybridMultilevel"/>
    <w:lvl w:ilvl="0">
      <w:lvlJc w:val="left"/>
      <w:lvlText w:val="(%1)"/>
      <w:numFmt w:val="lowerLetter"/>
      <w:start w:val="18"/>
    </w:lvl>
    <w:lvl w:ilvl="1">
      <w:lvlJc w:val="left"/>
      <w:lvlText w:val="*"/>
      <w:numFmt w:val="bullet"/>
      <w:start w:val="1"/>
    </w:lvl>
  </w:abstractNum>
  <w:abstractNum w:abstractNumId="207">
    <w:nsid w:val="20F4BDAD"/>
    <w:multiLevelType w:val="hybridMultilevel"/>
    <w:lvl w:ilvl="0">
      <w:lvlJc w:val="left"/>
      <w:lvlText w:val="%1."/>
      <w:numFmt w:val="decimal"/>
      <w:start w:val="1"/>
    </w:lvl>
  </w:abstractNum>
  <w:abstractNum w:abstractNumId="208">
    <w:nsid w:val="639DEFAC"/>
    <w:multiLevelType w:val="hybridMultilevel"/>
    <w:lvl w:ilvl="0">
      <w:lvlJc w:val="left"/>
      <w:lvlText w:val="(%1)"/>
      <w:numFmt w:val="lowerLetter"/>
      <w:start w:val="1"/>
    </w:lvl>
    <w:lvl w:ilvl="1">
      <w:lvlJc w:val="left"/>
      <w:lvlText w:val="(%2)"/>
      <w:numFmt w:val="lowerRoman"/>
      <w:start w:val="1"/>
    </w:lvl>
  </w:abstractNum>
  <w:abstractNum w:abstractNumId="209">
    <w:nsid w:val="501F9786"/>
    <w:multiLevelType w:val="hybridMultilevel"/>
    <w:lvl w:ilvl="0">
      <w:lvlJc w:val="left"/>
      <w:lvlText w:val="%1."/>
      <w:numFmt w:val="decimal"/>
      <w:start w:val="2"/>
    </w:lvl>
  </w:abstractNum>
  <w:abstractNum w:abstractNumId="210">
    <w:nsid w:val="6B057295"/>
    <w:multiLevelType w:val="hybridMultilevel"/>
    <w:lvl w:ilvl="0">
      <w:lvlJc w:val="left"/>
      <w:lvlText w:val="(%1)"/>
      <w:numFmt w:val="lowerLetter"/>
      <w:start w:val="1"/>
    </w:lvl>
  </w:abstractNum>
  <w:abstractNum w:abstractNumId="211">
    <w:nsid w:val="2771AC80"/>
    <w:multiLevelType w:val="hybridMultilevel"/>
    <w:lvl w:ilvl="0">
      <w:lvlJc w:val="left"/>
      <w:lvlText w:val="(%1)"/>
      <w:numFmt w:val="lowerLetter"/>
      <w:start w:val="3"/>
    </w:lvl>
    <w:lvl w:ilvl="1">
      <w:lvlJc w:val="left"/>
      <w:lvlText w:val="(%2)"/>
      <w:numFmt w:val="lowerRoman"/>
      <w:start w:val="1"/>
    </w:lvl>
  </w:abstractNum>
  <w:abstractNum w:abstractNumId="212">
    <w:nsid w:val="1C4A08EC"/>
    <w:multiLevelType w:val="hybridMultilevel"/>
    <w:lvl w:ilvl="0">
      <w:lvlJc w:val="left"/>
      <w:lvlText w:val="(%1)"/>
      <w:numFmt w:val="lowerLetter"/>
      <w:start w:val="4"/>
    </w:lvl>
    <w:lvl w:ilvl="1">
      <w:lvlJc w:val="left"/>
      <w:lvlText w:val="(%2)"/>
      <w:numFmt w:val="lowerRoman"/>
      <w:start w:val="1"/>
    </w:lvl>
  </w:abstractNum>
  <w:abstractNum w:abstractNumId="213">
    <w:nsid w:val="1958BD17"/>
    <w:multiLevelType w:val="hybridMultilevel"/>
    <w:lvl w:ilvl="0">
      <w:lvlJc w:val="left"/>
      <w:lvlText w:val="(%1)"/>
      <w:numFmt w:val="lowerLetter"/>
      <w:start w:val="8"/>
    </w:lvl>
  </w:abstractNum>
  <w:abstractNum w:abstractNumId="214">
    <w:nsid w:val="4E647FE4"/>
    <w:multiLevelType w:val="hybridMultilevel"/>
    <w:lvl w:ilvl="0">
      <w:lvlJc w:val="left"/>
      <w:lvlText w:val="(%1)"/>
      <w:numFmt w:val="lowerLetter"/>
      <w:start w:val="1"/>
    </w:lvl>
  </w:abstractNum>
  <w:abstractNum w:abstractNumId="215">
    <w:nsid w:val="E0BB885"/>
    <w:multiLevelType w:val="hybridMultilevel"/>
    <w:lvl w:ilvl="0">
      <w:lvlJc w:val="left"/>
      <w:lvlText w:val="(%1)"/>
      <w:numFmt w:val="lowerLetter"/>
      <w:start w:val="2"/>
    </w:lvl>
  </w:abstractNum>
  <w:abstractNum w:abstractNumId="216">
    <w:nsid w:val="565976F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17">
    <w:nsid w:val="64212B8C"/>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218">
    <w:nsid w:val="5C17530C"/>
    <w:multiLevelType w:val="hybridMultilevel"/>
    <w:lvl w:ilvl="0">
      <w:lvlJc w:val="left"/>
      <w:lvlText w:val="%1."/>
      <w:numFmt w:val="decimal"/>
      <w:start w:val="5"/>
    </w:lvl>
  </w:abstractNum>
  <w:abstractNum w:abstractNumId="219">
    <w:nsid w:val="19A52566"/>
    <w:multiLevelType w:val="hybridMultilevel"/>
    <w:lvl w:ilvl="0">
      <w:lvlJc w:val="left"/>
      <w:lvlText w:val="%1."/>
      <w:numFmt w:val="decimal"/>
      <w:start w:val="1"/>
    </w:lvl>
    <w:lvl w:ilvl="1">
      <w:lvlJc w:val="left"/>
      <w:lvlText w:val="%2)"/>
      <w:numFmt w:val="lowerLetter"/>
      <w:start w:val="1"/>
    </w:lvl>
  </w:abstractNum>
  <w:abstractNum w:abstractNumId="220">
    <w:nsid w:val="335A1DF1"/>
    <w:multiLevelType w:val="hybridMultilevel"/>
    <w:lvl w:ilvl="0">
      <w:lvlJc w:val="left"/>
      <w:lvlText w:val="%1."/>
      <w:numFmt w:val="decimal"/>
      <w:start w:val="1"/>
    </w:lvl>
    <w:lvl w:ilvl="1">
      <w:lvlJc w:val="left"/>
      <w:lvlText w:val="%2."/>
      <w:numFmt w:val="lowerLetter"/>
      <w:start w:val="1"/>
    </w:lvl>
  </w:abstractNum>
  <w:abstractNum w:abstractNumId="221">
    <w:nsid w:val="28677B7C"/>
    <w:multiLevelType w:val="hybridMultilevel"/>
    <w:lvl w:ilvl="0">
      <w:lvlJc w:val="left"/>
      <w:lvlText w:val="(%1)"/>
      <w:numFmt w:val="lowerRoman"/>
      <w:start w:val="1"/>
    </w:lvl>
  </w:abstractNum>
  <w:abstractNum w:abstractNumId="222">
    <w:nsid w:val="378D97C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jpeg"/><Relationship Id="rId220" Type="http://schemas.openxmlformats.org/officeDocument/2006/relationships/image" Target="media/image208.jpeg"/><Relationship Id="rId221" Type="http://schemas.openxmlformats.org/officeDocument/2006/relationships/image" Target="media/image209.png"/><Relationship Id="rId222" Type="http://schemas.openxmlformats.org/officeDocument/2006/relationships/image" Target="media/image210.jpeg"/><Relationship Id="rId223" Type="http://schemas.openxmlformats.org/officeDocument/2006/relationships/image" Target="media/image211.png"/><Relationship Id="rId224" Type="http://schemas.openxmlformats.org/officeDocument/2006/relationships/image" Target="media/image212.jpeg"/><Relationship Id="rId225" Type="http://schemas.openxmlformats.org/officeDocument/2006/relationships/image" Target="media/image213.png"/><Relationship Id="rId226" Type="http://schemas.openxmlformats.org/officeDocument/2006/relationships/image" Target="media/image214.jpeg"/><Relationship Id="rId227" Type="http://schemas.openxmlformats.org/officeDocument/2006/relationships/image" Target="media/image215.png"/><Relationship Id="rId228" Type="http://schemas.openxmlformats.org/officeDocument/2006/relationships/image" Target="media/image216.jpeg"/><Relationship Id="rId229" Type="http://schemas.openxmlformats.org/officeDocument/2006/relationships/image" Target="media/image217.png"/><Relationship Id="rId230" Type="http://schemas.openxmlformats.org/officeDocument/2006/relationships/image" Target="media/image218.jpeg"/><Relationship Id="rId231" Type="http://schemas.openxmlformats.org/officeDocument/2006/relationships/image" Target="media/image219.png"/><Relationship Id="rId232" Type="http://schemas.openxmlformats.org/officeDocument/2006/relationships/image" Target="media/image220.jpeg"/><Relationship Id="rId233" Type="http://schemas.openxmlformats.org/officeDocument/2006/relationships/image" Target="media/image221.png"/><Relationship Id="rId234" Type="http://schemas.openxmlformats.org/officeDocument/2006/relationships/image" Target="media/image222.jpeg"/><Relationship Id="rId235" Type="http://schemas.openxmlformats.org/officeDocument/2006/relationships/image" Target="media/image223.png"/><Relationship Id="rId236" Type="http://schemas.openxmlformats.org/officeDocument/2006/relationships/image" Target="media/image224.jpeg"/><Relationship Id="rId237" Type="http://schemas.openxmlformats.org/officeDocument/2006/relationships/image" Target="media/image225.png"/><Relationship Id="rId238" Type="http://schemas.openxmlformats.org/officeDocument/2006/relationships/image" Target="media/image226.jpeg"/><Relationship Id="rId239" Type="http://schemas.openxmlformats.org/officeDocument/2006/relationships/image" Target="media/image227.png"/><Relationship Id="rId240" Type="http://schemas.openxmlformats.org/officeDocument/2006/relationships/image" Target="media/image228.jpeg"/><Relationship Id="rId241" Type="http://schemas.openxmlformats.org/officeDocument/2006/relationships/image" Target="media/image229.png"/><Relationship Id="rId242" Type="http://schemas.openxmlformats.org/officeDocument/2006/relationships/image" Target="media/image230.jpeg"/><Relationship Id="rId243" Type="http://schemas.openxmlformats.org/officeDocument/2006/relationships/image" Target="media/image231.png"/><Relationship Id="rId244" Type="http://schemas.openxmlformats.org/officeDocument/2006/relationships/image" Target="media/image232.jpeg"/><Relationship Id="rId245" Type="http://schemas.openxmlformats.org/officeDocument/2006/relationships/image" Target="media/image233.png"/><Relationship Id="rId246" Type="http://schemas.openxmlformats.org/officeDocument/2006/relationships/image" Target="media/image234.jpeg"/><Relationship Id="rId247" Type="http://schemas.openxmlformats.org/officeDocument/2006/relationships/image" Target="media/image235.png"/><Relationship Id="rId248" Type="http://schemas.openxmlformats.org/officeDocument/2006/relationships/image" Target="media/image236.jpeg"/><Relationship Id="rId249" Type="http://schemas.openxmlformats.org/officeDocument/2006/relationships/image" Target="media/image237.png"/><Relationship Id="rId250" Type="http://schemas.openxmlformats.org/officeDocument/2006/relationships/image" Target="media/image238.jpeg"/><Relationship Id="rId251" Type="http://schemas.openxmlformats.org/officeDocument/2006/relationships/image" Target="media/image239.png"/><Relationship Id="rId252" Type="http://schemas.openxmlformats.org/officeDocument/2006/relationships/image" Target="media/image240.jpeg"/><Relationship Id="rId253" Type="http://schemas.openxmlformats.org/officeDocument/2006/relationships/image" Target="media/image241.png"/><Relationship Id="rId254" Type="http://schemas.openxmlformats.org/officeDocument/2006/relationships/image" Target="media/image242.jpeg"/><Relationship Id="rId255" Type="http://schemas.openxmlformats.org/officeDocument/2006/relationships/image" Target="media/image243.png"/><Relationship Id="rId256" Type="http://schemas.openxmlformats.org/officeDocument/2006/relationships/image" Target="media/image244.jpeg"/><Relationship Id="rId257" Type="http://schemas.openxmlformats.org/officeDocument/2006/relationships/image" Target="media/image245.png"/><Relationship Id="rId258" Type="http://schemas.openxmlformats.org/officeDocument/2006/relationships/image" Target="media/image246.jpe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jpe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jpeg"/><Relationship Id="rId265" Type="http://schemas.openxmlformats.org/officeDocument/2006/relationships/image" Target="media/image253.png"/><Relationship Id="rId266" Type="http://schemas.openxmlformats.org/officeDocument/2006/relationships/image" Target="media/image254.jpeg"/><Relationship Id="rId267" Type="http://schemas.openxmlformats.org/officeDocument/2006/relationships/image" Target="media/image255.png"/><Relationship Id="rId268" Type="http://schemas.openxmlformats.org/officeDocument/2006/relationships/image" Target="media/image256.jpeg"/><Relationship Id="rId269" Type="http://schemas.openxmlformats.org/officeDocument/2006/relationships/image" Target="media/image257.png"/><Relationship Id="rId270" Type="http://schemas.openxmlformats.org/officeDocument/2006/relationships/image" Target="media/image258.jpeg"/><Relationship Id="rId271" Type="http://schemas.openxmlformats.org/officeDocument/2006/relationships/image" Target="media/image259.png"/><Relationship Id="rId272" Type="http://schemas.openxmlformats.org/officeDocument/2006/relationships/image" Target="media/image260.jpeg"/><Relationship Id="rId273" Type="http://schemas.openxmlformats.org/officeDocument/2006/relationships/image" Target="media/image261.png"/><Relationship Id="rId274" Type="http://schemas.openxmlformats.org/officeDocument/2006/relationships/image" Target="media/image262.jpeg"/><Relationship Id="rId275" Type="http://schemas.openxmlformats.org/officeDocument/2006/relationships/image" Target="media/image263.png"/><Relationship Id="rId276" Type="http://schemas.openxmlformats.org/officeDocument/2006/relationships/image" Target="media/image264.jpeg"/><Relationship Id="rId277" Type="http://schemas.openxmlformats.org/officeDocument/2006/relationships/image" Target="media/image265.png"/><Relationship Id="rId278" Type="http://schemas.openxmlformats.org/officeDocument/2006/relationships/image" Target="media/image266.jpeg"/><Relationship Id="rId279" Type="http://schemas.openxmlformats.org/officeDocument/2006/relationships/image" Target="media/image267.png"/><Relationship Id="rId280" Type="http://schemas.openxmlformats.org/officeDocument/2006/relationships/image" Target="media/image268.jpeg"/><Relationship Id="rId281" Type="http://schemas.openxmlformats.org/officeDocument/2006/relationships/image" Target="media/image269.png"/><Relationship Id="rId282" Type="http://schemas.openxmlformats.org/officeDocument/2006/relationships/image" Target="media/image270.jpeg"/><Relationship Id="rId283" Type="http://schemas.openxmlformats.org/officeDocument/2006/relationships/image" Target="media/image271.png"/><Relationship Id="rId284" Type="http://schemas.openxmlformats.org/officeDocument/2006/relationships/image" Target="media/image272.jpeg"/><Relationship Id="rId285" Type="http://schemas.openxmlformats.org/officeDocument/2006/relationships/image" Target="media/image273.png"/><Relationship Id="rId286" Type="http://schemas.openxmlformats.org/officeDocument/2006/relationships/image" Target="media/image274.jpeg"/><Relationship Id="rId287" Type="http://schemas.openxmlformats.org/officeDocument/2006/relationships/image" Target="media/image275.png"/><Relationship Id="rId288" Type="http://schemas.openxmlformats.org/officeDocument/2006/relationships/image" Target="media/image276.jpeg"/><Relationship Id="rId289" Type="http://schemas.openxmlformats.org/officeDocument/2006/relationships/image" Target="media/image277.png"/><Relationship Id="rId290" Type="http://schemas.openxmlformats.org/officeDocument/2006/relationships/image" Target="media/image278.jpeg"/><Relationship Id="rId291" Type="http://schemas.openxmlformats.org/officeDocument/2006/relationships/image" Target="media/image279.png"/><Relationship Id="rId292" Type="http://schemas.openxmlformats.org/officeDocument/2006/relationships/image" Target="media/image280.jpeg"/><Relationship Id="rId293" Type="http://schemas.openxmlformats.org/officeDocument/2006/relationships/image" Target="media/image281.png"/><Relationship Id="rId294" Type="http://schemas.openxmlformats.org/officeDocument/2006/relationships/image" Target="media/image282.jpeg"/><Relationship Id="rId295" Type="http://schemas.openxmlformats.org/officeDocument/2006/relationships/image" Target="media/image283.png"/><Relationship Id="rId296" Type="http://schemas.openxmlformats.org/officeDocument/2006/relationships/image" Target="media/image284.jpeg"/><Relationship Id="rId297" Type="http://schemas.openxmlformats.org/officeDocument/2006/relationships/image" Target="media/image285.png"/><Relationship Id="rId298" Type="http://schemas.openxmlformats.org/officeDocument/2006/relationships/image" Target="media/image286.jpeg"/><Relationship Id="rId299" Type="http://schemas.openxmlformats.org/officeDocument/2006/relationships/image" Target="media/image287.png"/><Relationship Id="rId300" Type="http://schemas.openxmlformats.org/officeDocument/2006/relationships/image" Target="media/image288.jpeg"/><Relationship Id="rId301" Type="http://schemas.openxmlformats.org/officeDocument/2006/relationships/image" Target="media/image289.png"/><Relationship Id="rId302" Type="http://schemas.openxmlformats.org/officeDocument/2006/relationships/image" Target="media/image290.jpeg"/><Relationship Id="rId303" Type="http://schemas.openxmlformats.org/officeDocument/2006/relationships/image" Target="media/image291.png"/><Relationship Id="rId304" Type="http://schemas.openxmlformats.org/officeDocument/2006/relationships/image" Target="media/image292.jpeg"/><Relationship Id="rId305" Type="http://schemas.openxmlformats.org/officeDocument/2006/relationships/image" Target="media/image293.png"/><Relationship Id="rId306" Type="http://schemas.openxmlformats.org/officeDocument/2006/relationships/image" Target="media/image294.jpeg"/><Relationship Id="rId307" Type="http://schemas.openxmlformats.org/officeDocument/2006/relationships/image" Target="media/image295.png"/><Relationship Id="rId308" Type="http://schemas.openxmlformats.org/officeDocument/2006/relationships/image" Target="media/image296.jpeg"/><Relationship Id="rId309" Type="http://schemas.openxmlformats.org/officeDocument/2006/relationships/image" Target="media/image297.png"/><Relationship Id="rId310" Type="http://schemas.openxmlformats.org/officeDocument/2006/relationships/image" Target="media/image298.jpe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128" Type="http://schemas.openxmlformats.org/officeDocument/2006/relationships/hyperlink" Target="http://www.sec.gov/Archives/edgar/data/1843586/000119312521156926/d123209dex31.htm" TargetMode="External"/><Relationship Id="rId129" Type="http://schemas.openxmlformats.org/officeDocument/2006/relationships/hyperlink" Target="http://www.sec.gov/Archives/edgar/data/1843586/000119312521121323/d123209dex43.htm" TargetMode="External"/><Relationship Id="rId130" Type="http://schemas.openxmlformats.org/officeDocument/2006/relationships/hyperlink" Target="http://www.sec.gov/Archives/edgar/data/1843586/000119312521156926/d123209dex102.htm" TargetMode="External"/><Relationship Id="rId131" Type="http://schemas.openxmlformats.org/officeDocument/2006/relationships/hyperlink" Target="http://www.sec.gov/Archives/edgar/data/1843586/000119312521156926/d123209dex101.htm" TargetMode="External"/><Relationship Id="rId132" Type="http://schemas.openxmlformats.org/officeDocument/2006/relationships/hyperlink" Target="http://www.sec.gov/Archives/edgar/data/1843586/000119312521121323/d12320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2022-04-06T07:16:58Z</dcterms:created>
  <dcterms:modified xsi:type="dcterms:W3CDTF">2022-04-06T07:16:58Z</dcterms:modified>
</cp:coreProperties>
</file>