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4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30, 2025, the Company issued a press release announcing its financial results for the quarter ended March 31, 2025. A copy of the press release is furnished as Exhibit 99.1 to this Report on 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of Oatly Group AB, dated April 30, 2025</w:t>
            </w:r>
          </w:p>
        </w:tc>
      </w:tr>
      <w:tr>
        <w:trPr>
          <w:trHeight w:val="99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20" w:type="dxa"/>
            <w:vAlign w:val="bottom"/>
            <w:tcBorders>
              <w:top w:val="single" w:sz="8" w:color="0000FF"/>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620" w:type="dxa"/>
            <w:vAlign w:val="bottom"/>
          </w:tcPr>
          <w:p>
            <w:pPr>
              <w:spacing w:after="0"/>
              <w:rPr>
                <w:sz w:val="16"/>
                <w:szCs w:val="16"/>
                <w:color w:val="auto"/>
              </w:rPr>
            </w:pPr>
          </w:p>
        </w:tc>
        <w:tc>
          <w:tcPr>
            <w:tcW w:w="28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620" w:type="dxa"/>
            <w:vAlign w:val="bottom"/>
          </w:tcPr>
          <w:p>
            <w:pPr>
              <w:spacing w:after="0"/>
              <w:rPr>
                <w:sz w:val="20"/>
                <w:szCs w:val="20"/>
                <w:color w:val="auto"/>
              </w:rPr>
            </w:pP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6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167640</wp:posOffset>
            </wp:positionV>
            <wp:extent cx="160274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27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Reports First Quarter 2025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MALMÖ, Sweden, April 30, 2025 – Oatly Group AB (Nasdaq: OTLY) (“Oatly”, the “Company” or the “Group”), the world’s original and largest oat drink company, today announced financial results for the first quarter ended March 31, 2025.</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Jean-Christophe Flatin, Oatly’s CEO, commented, “In the first quarter, we made progress on our 2025 priorities. We delivered the expected benefits of our cost efficiency programs, as we drove efficiencies in both the supply chain and our overhead structure. As planned, we redeployed a portion of those efficiencies into brand-building investments. We also began to see early positive signs that our work to ignite positive momentum in our business is working, most notably in our European businesses where we have been most active on executing our playbook. While there is plenty of work still to do, and we will need to navigate a dynamic environment, especially in North America, we remain on track to deliver our first full year of profitable growth as a public company. As such, our 2025 outlook remains unchanged.”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revenue as reported to revenue on a constant currency basis by segment for the three months ended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31,</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1180" w:type="dxa"/>
            <w:vAlign w:val="bottom"/>
            <w:tcBorders>
              <w:bottom w:val="single" w:sz="8" w:color="auto"/>
            </w:tcBorders>
            <w:gridSpan w:val="2"/>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720" w:type="dxa"/>
            <w:vAlign w:val="bottom"/>
            <w:vMerge w:val="restart"/>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107,66</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110,37</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2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110,407</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(2,709)</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1120" w:type="dxa"/>
            <w:vAlign w:val="bottom"/>
            <w:gridSpan w:val="3"/>
            <w:vMerge w:val="continue"/>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187"/>
        </w:trPr>
        <w:tc>
          <w:tcPr>
            <w:tcW w:w="252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197,53</w:t>
            </w:r>
          </w:p>
        </w:tc>
        <w:tc>
          <w:tcPr>
            <w:tcW w:w="20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200,57</w:t>
            </w:r>
          </w:p>
        </w:tc>
        <w:tc>
          <w:tcPr>
            <w:tcW w:w="1120" w:type="dxa"/>
            <w:vAlign w:val="bottom"/>
            <w:tcBorders>
              <w:top w:val="single" w:sz="8" w:color="CFF0FC"/>
            </w:tcBorders>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-0.8%</w:t>
            </w:r>
          </w:p>
        </w:tc>
        <w:tc>
          <w:tcPr>
            <w:tcW w:w="112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0.7%</w:t>
            </w:r>
          </w:p>
        </w:tc>
        <w:tc>
          <w:tcPr>
            <w:tcW w:w="96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9.2%</w:t>
            </w:r>
          </w:p>
        </w:tc>
        <w:tc>
          <w:tcPr>
            <w:tcW w:w="940" w:type="dxa"/>
            <w:vAlign w:val="bottom"/>
            <w:tcBorders>
              <w:top w:val="single" w:sz="8" w:color="CFF0FC"/>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197,530</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199,155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(3,040)</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-307975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-307975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89" w:lineRule="exact"/>
        <w:rPr>
          <w:sz w:val="20"/>
          <w:szCs w:val="20"/>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revenue of $197.5 million, a 0.8% decrease compared to the prior year period, with a constant currency revenue increase of 0.7% compared to the prior year period.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 the first quarter was 31.6%, which is a 4.5 percentage points increase compared to the prior year period.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net loss attributable to shareholders of the parent was $12.4 million, which is an improvement of $33.4 million compared to net loss attributable to shareholders of the parent of $45.8 million in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Adjusted EBITDA loss was $3.7 million, which is an improvement of $9.5 million compared to the prior year period.</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expect that it will achieve its first full year of profitable growth in 2025. Specifically, in 2025 the Company continues to expect:</w:t>
      </w:r>
    </w:p>
    <w:p>
      <w:pPr>
        <w:spacing w:after="0" w:line="121" w:lineRule="exact"/>
        <w:rPr>
          <w:sz w:val="20"/>
          <w:szCs w:val="20"/>
          <w:color w:val="auto"/>
        </w:rPr>
      </w:pPr>
    </w:p>
    <w:p>
      <w:pPr>
        <w:ind w:left="1500" w:hanging="369"/>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in the range of 2% to 4%,</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adjusted EBITDA in the range of $5 million to $15 million, and</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the range of $30 million to $35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Results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decreased $1.6 million, or 0.8% to $197.5 million for the first quarter ended March 31, 2025, compared to $199.2 million for the prior year period. Excluding a foreign currency exchange headwind of $3.0 million, revenue for the first quarter was $200.6 million, or an increase of 0.7% compared to the prior year period. The growth in constant currency revenue was primarily driven by very strong growth in Greater China, partially offset by decline in North America. Sold volume for the first quarter of 2025 increased 9.2% to 144.6 million liters compared to 132.4 million liters in the first quarter of 2024. Produced finished goods volume for the first quarter of 2025 was 143.1 million liters compared to 141.0 million liters for the first quarter of 2024.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$62.3 million for the first quarter of 2025 compared to $53.9 million for the first quarter of 2024. Gross profit margin was 31.6% in the first quarter of 2025, an increase of 449 basis points compared to the prior year period. The margin improvement compared to the first quarter of 2024 was primarily driven by improvements in supply chain efficiency across all segments.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 the first quarter of 2025 decreased $0.2 million to $4.4 million compared to $4.6 million in the prior year period.</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 the first quarter of 2025 decreased $1.2 million to $77.5 million compared to $78.7 million in the prior year period. The decrease was primarily related to lower employee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operating income and (expenses), net for the first quarter of 2025 was income of $1.0 million comprised primarily of $0.8 in reversal of other exit costs related to the closure of the production facility in Singapore. Other operating income and (expenses), net for the prior year period was income of $1.1 million primarily driven by $0.9 million in reversal of previously recognized non-cash impairment charges related to the discontinued construction of the production facility in Dallas-Fort Worth, Texas.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income and (expenses), net for the first quarter of 2025 was income of $9.4 million comprised primarily of fair value gains on Convertible Notes of $22.1 million, offset by net interest expenses of $13.6 million. The finance income and (expenses), net for the prior year period was an expense of $17.4 million comprised primarily of net interest expenses of $12.3 million and other financial expenses of $5.1 million.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shareholders of the parent was $12.4 million for the first quarter of 2025 compared to a loss of $45.8 million in the prior year period. The improvement was primarily a result of higher gross profit and fair value gains on Convertible Notes.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loss for the first quarter of 2025 was $3.7 million, compared to a loss of $13.2 million in the prior year period. The improvement in Adjusted EBITDA loss was primarily a result of higher gross profit.</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EBITDA, Adjusted EBITDA loss, and Constant Currency Revenue are non-IFRS financial measures defined under “Non-IFRS financial measures”. Please see above revenue at constant currency table and “Reconciliation of IFRS to Non-IFRS Financial measures” at the end of this press release.</w:t>
      </w:r>
    </w:p>
    <w:p>
      <w:pPr>
        <w:spacing w:after="0" w:line="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 Adjusted EBITDA, EBITDA and loss before tax for the Company’s three reportable segments for the periods presented.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(689)</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108,354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29,979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15,536</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1,129</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(22,014)</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(3,731)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(468)</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(668)</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15,914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(24,555)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(7,410)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(9,180)</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110,407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(1,964)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112,371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21,781</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(1,964)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14,496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(388)</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(3,428)</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(23,884)</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(13,204)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14,118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1,755</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(4,642)</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(26,631)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(15,400)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(17,377)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(45,790)</w:t>
            </w: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Eliminations in 2025 and 2024 refer to intersegment revenue for sales of products from Europe &amp; International to Greater China.</w:t>
      </w:r>
    </w:p>
    <w:p>
      <w:pPr>
        <w:spacing w:after="0" w:line="19"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exit costs related to closure of the Group’s production facility in Singapore.</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non-cash impairments related to discontinued construction of the Group’s production facility in Dallas-Fort Worth, Texas.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International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Europe &amp; International revenue decreased $2.7 million, or 2.5%, to $107.7 million for the first quarter of 2025, compared to $110.4 million in the prior year period. Excluding a foreign currency exchange headwind of $2.7 million, Europe &amp; International revenue for the first quarter was $110.4 million, which was flat compared to the prior year period. For the first quarter of 2025, the volume growth was 4.0% primarily driven by growth in the Barista products. The revenue increase from volume growth for the first quarter was offset by a price/mix decline of 4.0%. Approximately 79% of Europe &amp; International revenue was from the retail channel for the first quarter of 2025 compared to 82% in the prior year period. The sold finished goods volume for the three months ended March 31, 2025 and 2024 amounted to 80.6 and 77.5 million liters, respectively.</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Europe &amp; International Adjusted EBITDA increased $1.0 million to $15.5 million for the first quarter of 2025 compared to $14.5 million in the prior year period. The improvement in Adjusted EBITDA was primarily driven by higher gross profit.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 w:name="page7"/>
    <w:bookmarkEnd w:id="6"/>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North America revenue decreased $7.1 million, or 10.6%, to $59.9 million for the first quarter of 2025, compared to $67.0 million in the prior year period. The sold finished goods volume for the three months ended March 31, 2025 and 2024 amounted to 34.5 million and 38.7 million liters, respectively. The 10.9% volume decrease was primarily due to expected reductions in sales to the segment’s largest foodservice customer as well as discontinuations of certain frozen products. Approximately 60% of North America revenue was from the retail channel in the first quarter of 2025 compared to 54% in the prior year period.</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North America Adjusted EBITDA improved $1.5 million to a profit of $1.1 million compared to a loss of $0.4 million in the prior year period. The improvement in Adjusted EBITDA was primarily due to higher gross profit, largely driven by improved supply chain efficiency, partially offset by higher selling, general and administrative expenses as the Company invested in branding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China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Greater China revenue increased $8.2 million, or 37.6%, to $30.0 million for the first quarter of 2025, compared to $21.8 million in the prior year period. Excluding a foreign currency exchange headwind of $0.3 million, Greater China revenue for the first quarter was $30.3 million, or an increase of 39.2%. The Greater China segment growth was primarily driven by sales to a new foodservice customer that was added in the second quarter of 2024 as well as entry into the club customer segment within the retail channel. Approximately 76% of Greater China revenue was from the foodservice channel for the first quarter of 2025 compared to 70% in the prior year period. The sold finished goods volume for the three months ended March 31, 2025 and 2024 amounted to 29.4 million and 16.1 million liters, respectively.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Greater China Adjusted EBITDA improved $5.0 million to a profit of $1.6 million compared to a loss of $3.4 million in the prior year period. The improvement in Adjusted EBITDA was primarily due to higher gross profit and reduction in selling, general and administrative expenses, as the segment continued to right-size its expenses to improve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Oatly’s corporate expense, which consists of general costs not allocated to the segments, in the first quarter of 2025 was $24.6 million, a decrease of $2.1 million compared to the prior year period. The decrease was primarily related to lower employee expenses. Adjusted EBITDA in the first quarter of 2025 was a loss of $22.0 million compared to a loss of $23.9 million in the prior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cash and cash equivalents of $74.4 million and total outstanding debt of $432.1 million consisting of Convertible Notes and liabilities to credit institutions. Net cash used in operating activities was $13.6 million for the three months ended March 31, 2025, compared to $39.1 million during the prior year period, which was driven by improved operating results and a lower negative impact from changes in working capital.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were $7.0 million for the three months ended March 31, 2025, compared to $6.2 million in the prior year period.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$20.5 million for the three months ended March 31, 2025 compared to an outflow of $45.3 million during the prior year period. The improvement in free cash flow was driven by decreased net cash flows used in operating activities.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Free Cash Flow is a non-IFRS liquidity measure defined under “Non-IFRS financial measures.” Please see “Reconciliation of IFRS to Non-IFRS Financial measures” at the end of this press release.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on the Company’s assessment of the current operating environment and the actions it is taking, the Company continues to expect to achieve its first full year of profitable growth in 2025, and the Company’s 2025 outlook remains unchanged. Specifically, in 2025 the Company expects:</w:t>
      </w:r>
    </w:p>
    <w:p>
      <w:pPr>
        <w:spacing w:after="0" w:line="28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in the range of 2% to 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adjusted EBITDA in the range of $5 million to $15 million,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the range of $30 million to $35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outlook is provided in the context of significant macroeconomic uncertainty and other geopolitical uncertainties.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Webcast and Supplemental Presentation Details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 will host a conference call and webcast at 7:30 a.m. ET today to discuss these results. The conference call, simultaneous, live webcast and supplemental presentation can be accessed on Oatly’s Investors website at https://investors.oatly.com under “Events.” The webcast will be archived for 30 days.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Oatly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50 countries globally.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www.oatly.com.</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2025, profitability improvement, profitable growth in 2025,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our history of losses and how we may be unable to achieve or sustain profitability, including due to elevated inflation and increased costs for transportation, energy and materials; how our future business, financial condition and results of operations may be adversely affected by reduced or limited availability of oats and other raw materials and ingredients, which meet our quality standards, that our limited number of suppliers are able to sell us; how a failure to obtain necessary capital when needed on acceptable terms, or at all, may force us to delay, limit, reduce or terminate our product manufacturing and development and other operations; those concerning our cash and cash equivalents maintained at financial institutions, often in balances that exceed federally insured limits;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 enforcement actions, increasing our operating costs and reducing demand for our product offerings; how a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 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 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18"/>
          <w:szCs w:val="18"/>
          <w:color w:val="auto"/>
        </w:rPr>
        <w:t>sustainability risks (including environmental, climate change, uncertainty about future related mandatory disclosure requirements,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 risks associated with how our customers generally are not obligated to continue purchasing products from us; difficulties as we expand our operations into countries in which we have no prior operating experience; risks associated with the international nature of our business; how our operations in China could expose us to substantial business, regulatory, political, financial and economic risks; our strategic reset in Asia may not be successful; if we fail to comply with trade compliance and economic sanctions laws and regulations of the United States, the EU and other applicable international jurisdictions, it could materially adversely affect our reputation and results of operations;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global conflicts, other effects of ongoing wars and conflicts, and increasing geopolitical tensions and changes to international trade policies, treaties and tariffs, including as a result of the emergence of a trade war; the risk that legal claims, government investigations or other regulatory enforcement actions could subject us to civil and criminal penalties; how our operations are subject to U.S., EU, China and other laws and regulations, and there is no assurance that we will be in compliance with all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 failure to protect our intellectual property, enforce or defend our intellectual property and other proprietary rights adequately, which may impact our commercial success; if we are unable to remediate material weaknesses, or if other material weaknesses are identified, we may not be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and the other important factors discussed under the caption “Risk Factors” in our Annual Report on Form 20-F for the year ended December 31, 2024 filed with the U.S. Securities and Exchange Commission (“SEC”) on March 13, 2025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impacts related to closure of production facility, discontinued construction of production facilities and non-controlling interests.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9" w:name="page10"/>
    <w:bookmarkEnd w:id="9"/>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Above we have provided a reconciliation of revenue as reported to revenue on a constant currency basis for the periods presented.</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Oatly Group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+1 866-704-0391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investors@oatly.com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press.us@oatly.com</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1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77"/>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21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199,155</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(135,200)</w:t>
            </w: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(145,257)</w:t>
            </w: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28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53,898</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(4,391)</w:t>
            </w: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(4,642)</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(77,498)</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(78,742)</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(18,591)</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(28,413)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(17,377)</w:t>
            </w:r>
          </w:p>
        </w:tc>
      </w:tr>
      <w:tr>
        <w:trPr>
          <w:trHeight w:val="20"/>
        </w:trPr>
        <w:tc>
          <w:tcPr>
            <w:tcW w:w="68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(9,180)</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(45,790)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(3,351)</w:t>
            </w: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68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(12,531)</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(45,844)</w:t>
            </w:r>
          </w:p>
        </w:tc>
      </w:tr>
      <w:tr>
        <w:trPr>
          <w:trHeight w:val="197"/>
        </w:trPr>
        <w:tc>
          <w:tcPr>
            <w:tcW w:w="68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2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(12,430)</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(45,799)</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68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7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(0.08)</w:t>
            </w:r>
          </w:p>
        </w:tc>
      </w:tr>
      <w:tr>
        <w:trPr>
          <w:trHeight w:val="174"/>
        </w:trPr>
        <w:tc>
          <w:tcPr>
            <w:tcW w:w="686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w:t>
            </w:r>
          </w:p>
        </w:tc>
        <w:tc>
          <w:tcPr>
            <w:tcW w:w="21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21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w:t>
            </w:r>
          </w:p>
        </w:tc>
        <w:tc>
          <w:tcPr>
            <w:tcW w:w="2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20"/>
        </w:trPr>
        <w:tc>
          <w:tcPr>
            <w:tcW w:w="686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74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20"/>
        </w:trPr>
        <w:tc>
          <w:tcPr>
            <w:tcW w:w="68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8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1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6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w:t>
            </w:r>
          </w:p>
        </w:tc>
        <w:tc>
          <w:tcPr>
            <w:tcW w:w="2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598,559,840</w:t>
            </w: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595,060,257</w:t>
            </w:r>
          </w:p>
        </w:tc>
        <w:tc>
          <w:tcPr>
            <w:tcW w:w="10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8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999,176,184</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595,060,257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-1988185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-1971040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-1113790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-1096645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-676275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-659130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-350520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-333375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126,842</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116,208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301,538</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294,199</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44,951</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45,555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44,287</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44,331</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4,325</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r>
      <w:tr>
        <w:trPr>
          <w:trHeight w:val="20"/>
        </w:trPr>
        <w:tc>
          <w:tcPr>
            <w:tcW w:w="660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521,943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504,854</w:t>
            </w: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64,762</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65,602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94,645</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103,366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6,034</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19,477</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15,738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11,734</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74,428</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98,923</w:t>
            </w:r>
          </w:p>
        </w:tc>
      </w:tr>
      <w:tr>
        <w:trPr>
          <w:trHeight w:val="20"/>
        </w:trPr>
        <w:tc>
          <w:tcPr>
            <w:tcW w:w="660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271,080</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299,126</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793,023</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197"/>
        </w:trPr>
        <w:tc>
          <w:tcPr>
            <w:tcW w:w="6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1,628,045</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1,628,045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(249,465)</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(274,160)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(1,258,141)</w:t>
            </w: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(1,249,303)</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120,545</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104,688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1,336</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121,881</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106,123</w:t>
            </w:r>
          </w:p>
        </w:tc>
      </w:tr>
      <w:tr>
        <w:trPr>
          <w:trHeight w:val="210"/>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30,456</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31,724</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115,739</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116,216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11,953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14,857</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158,148</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162,797</w:t>
            </w:r>
          </w:p>
        </w:tc>
      </w:tr>
      <w:tr>
        <w:trPr>
          <w:trHeight w:val="197"/>
        </w:trPr>
        <w:tc>
          <w:tcPr>
            <w:tcW w:w="6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13,408</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13,359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311,172</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324,395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5,154</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52,145</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60,152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1,358</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7,794</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7,998</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106,358</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103,719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15,605</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18,204</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512,994</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535,060</w:t>
            </w:r>
          </w:p>
        </w:tc>
      </w:tr>
      <w:tr>
        <w:trPr>
          <w:trHeight w:val="20"/>
        </w:trPr>
        <w:tc>
          <w:tcPr>
            <w:tcW w:w="660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671,142</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697,857</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793,023</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-5382895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-5382895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-4268470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-3977005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-3959860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-2562225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-1722120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-1704975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-316865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(12,531)</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(45,844)</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w:t>
            </w: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tcPr>
          <w:p>
            <w:pPr>
              <w:spacing w:after="0"/>
              <w:rPr>
                <w:sz w:val="20"/>
                <w:szCs w:val="20"/>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loss on trade receivables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—Movements in provisions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(6,241)</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(3,036)</w:t>
            </w: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(9,411)</w:t>
            </w: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reversal related to discontinued construction of production facilities</w:t>
            </w:r>
          </w:p>
        </w:tc>
        <w:tc>
          <w:tcPr>
            <w:tcW w:w="2820" w:type="dxa"/>
            <w:vAlign w:val="bottom"/>
            <w:gridSpan w:val="3"/>
            <w:shd w:val="clear" w:color="auto" w:fill="CFF0FC"/>
          </w:tcPr>
          <w:p>
            <w:pPr>
              <w:jc w:val="right"/>
              <w:ind w:right="1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(5,944)</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(6,493)</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(806)</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inventories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(689)</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(11,422)</w:t>
            </w: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—Decrease in trade payables, other current liabilities, accrued expenses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(7,871)</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(14,612)</w:t>
            </w:r>
          </w:p>
        </w:tc>
      </w:tr>
      <w:tr>
        <w:trPr>
          <w:trHeight w:val="20"/>
        </w:trPr>
        <w:tc>
          <w:tcPr>
            <w:tcW w:w="74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(13,558)</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(39,078)</w:t>
            </w: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0" w:type="dxa"/>
            <w:vAlign w:val="bottom"/>
            <w:tcBorders>
              <w:top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(291)</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(6,660)</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(5,712)</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2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00" w:type="dxa"/>
            <w:vAlign w:val="bottom"/>
          </w:tcPr>
          <w:p>
            <w:pPr>
              <w:spacing w:after="0"/>
              <w:rPr>
                <w:sz w:val="18"/>
                <w:szCs w:val="18"/>
                <w:color w:val="auto"/>
              </w:rPr>
            </w:pP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9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in)/from investing activities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(6,649)</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7,813</w:t>
            </w:r>
          </w:p>
        </w:tc>
        <w:tc>
          <w:tcPr>
            <w:tcW w:w="100" w:type="dxa"/>
            <w:vAlign w:val="bottom"/>
          </w:tcPr>
          <w:p>
            <w:pPr>
              <w:spacing w:after="0"/>
              <w:rPr>
                <w:sz w:val="18"/>
                <w:szCs w:val="18"/>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0" w:type="dxa"/>
            <w:vAlign w:val="bottom"/>
            <w:tcBorders>
              <w:top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(647)</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(1,020)</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(3,397)</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(3,054)</w:t>
            </w:r>
          </w:p>
        </w:tc>
      </w:tr>
      <w:tr>
        <w:trPr>
          <w:trHeight w:val="20"/>
        </w:trPr>
        <w:tc>
          <w:tcPr>
            <w:tcW w:w="74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(5,064)</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(8,726)</w:t>
            </w:r>
          </w:p>
        </w:tc>
      </w:tr>
      <w:tr>
        <w:trPr>
          <w:trHeight w:val="20"/>
        </w:trPr>
        <w:tc>
          <w:tcPr>
            <w:tcW w:w="74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(25,271)</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(39,991)</w:t>
            </w: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9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r>
      <w:tr>
        <w:trPr>
          <w:trHeight w:val="249"/>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74,428</w:t>
            </w:r>
          </w:p>
        </w:tc>
        <w:tc>
          <w:tcPr>
            <w:tcW w:w="9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209,025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-2288540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-1447800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-599440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Reconciliation of IFRS to Non-IFRS Financial measures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 to loss for the period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20" w:type="dxa"/>
            <w:vAlign w:val="bottom"/>
            <w:tcBorders>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(12,531)</w:t>
            </w: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(45,844)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(9,411)</w:t>
            </w:r>
          </w:p>
        </w:tc>
        <w:tc>
          <w:tcPr>
            <w:tcW w:w="8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2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(7,410)</w:t>
            </w: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(15,400)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(2)</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w:t>
            </w:r>
          </w:p>
        </w:tc>
        <w:tc>
          <w:tcPr>
            <w:tcW w:w="8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(3)</w:t>
            </w:r>
          </w:p>
        </w:tc>
        <w:tc>
          <w:tcPr>
            <w:tcW w:w="3280" w:type="dxa"/>
            <w:vAlign w:val="bottom"/>
            <w:gridSpan w:val="3"/>
            <w:shd w:val="clear" w:color="auto" w:fill="CFF0FC"/>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(3,731)</w:t>
            </w:r>
          </w:p>
        </w:tc>
        <w:tc>
          <w:tcPr>
            <w:tcW w:w="2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(13,204)</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4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exit costs related to closure of the Group’s production facility in Singapore.</w:t>
      </w:r>
    </w:p>
    <w:p>
      <w:pPr>
        <w:spacing w:after="0" w:line="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non-cash impairments related to discontinued construction of the Group’s production facility in Dallas-Fort Worth, Texas.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Flows used in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80" w:type="dxa"/>
            <w:vAlign w:val="bottom"/>
            <w:tcBorders>
              <w:bottom w:val="single" w:sz="8" w:color="auto"/>
            </w:tcBorders>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460" w:type="dxa"/>
            <w:vAlign w:val="bottom"/>
            <w:tcBorders>
              <w:bottom w:val="single" w:sz="8" w:color="auto"/>
            </w:tcBorders>
          </w:tcPr>
          <w:p>
            <w:pPr>
              <w:jc w:val="right"/>
              <w:ind w:right="10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9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(13,558)</w:t>
            </w:r>
          </w:p>
        </w:tc>
        <w:tc>
          <w:tcPr>
            <w:tcW w:w="9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(39,078)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(6,951)</w:t>
            </w:r>
          </w:p>
        </w:tc>
        <w:tc>
          <w:tcPr>
            <w:tcW w:w="9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(6,194)</w:t>
            </w:r>
          </w:p>
        </w:tc>
      </w:tr>
      <w:tr>
        <w:trPr>
          <w:trHeight w:val="20"/>
        </w:trPr>
        <w:tc>
          <w:tcPr>
            <w:tcW w:w="59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(20,509)</w:t>
            </w:r>
          </w:p>
        </w:tc>
        <w:tc>
          <w:tcPr>
            <w:tcW w:w="9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(45,272)</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2025-04-30T05:44:58Z</dcterms:created>
  <dcterms:modified xsi:type="dcterms:W3CDTF">2025-04-30T05:44:58Z</dcterms:modified>
</cp:coreProperties>
</file>