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712470</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127000</wp:posOffset>
            </wp:positionV>
            <wp:extent cx="1426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170180</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month of July 2024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127000</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Oatly Group AB</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173990</wp:posOffset>
            </wp:positionV>
            <wp:extent cx="1426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3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Ångfärjekajen 8</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211 19 Malmö</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Sweden</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182245</wp:posOffset>
            </wp:positionV>
            <wp:extent cx="1426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2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307340</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1038225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35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2924175</wp:posOffset>
            </wp:positionH>
            <wp:positionV relativeFrom="page">
              <wp:posOffset>2421255</wp:posOffset>
            </wp:positionV>
            <wp:extent cx="1665605" cy="1614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65605" cy="161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Interim condensed consolidated financial statements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607695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20" w:type="dxa"/>
            <w:vAlign w:val="bottom"/>
          </w:tcPr>
          <w:p>
            <w:pPr>
              <w:spacing w:after="0"/>
              <w:rPr>
                <w:sz w:val="20"/>
                <w:szCs w:val="20"/>
                <w:color w:val="auto"/>
              </w:rPr>
            </w:pPr>
          </w:p>
        </w:tc>
      </w:tr>
      <w:tr>
        <w:trPr>
          <w:trHeight w:val="444"/>
        </w:trPr>
        <w:tc>
          <w:tcPr>
            <w:tcW w:w="20" w:type="dxa"/>
            <w:vAlign w:val="bottom"/>
          </w:tcPr>
          <w:p>
            <w:pPr>
              <w:spacing w:after="0"/>
              <w:rPr>
                <w:sz w:val="24"/>
                <w:szCs w:val="24"/>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2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060" w:type="dxa"/>
            <w:vAlign w:val="bottom"/>
            <w:tcBorders>
              <w:bottom w:val="single" w:sz="8" w:color="0000FF"/>
            </w:tcBorders>
            <w:gridSpan w:val="5"/>
          </w:tcPr>
          <w:p>
            <w:pPr>
              <w:spacing w:after="0" w:line="201" w:lineRule="exact"/>
              <w:rPr>
                <w:sz w:val="20"/>
                <w:szCs w:val="20"/>
                <w:color w:val="auto"/>
              </w:rPr>
            </w:pPr>
            <w:r>
              <w:rPr>
                <w:rFonts w:ascii="Times New Roman" w:cs="Times New Roman" w:eastAsia="Times New Roman" w:hAnsi="Times New Roman"/>
                <w:sz w:val="18"/>
                <w:szCs w:val="18"/>
                <w:color w:val="0000FF"/>
                <w:w w:val="99"/>
              </w:rPr>
              <w:t>Item 1. Financial Statements</w:t>
            </w:r>
          </w:p>
        </w:tc>
        <w:tc>
          <w:tcPr>
            <w:tcW w:w="6940" w:type="dxa"/>
            <w:vAlign w:val="bottom"/>
            <w:gridSpan w:val="10"/>
          </w:tcPr>
          <w:p>
            <w:pPr>
              <w:spacing w:after="0"/>
              <w:rPr>
                <w:sz w:val="17"/>
                <w:szCs w:val="17"/>
                <w:color w:val="auto"/>
              </w:rPr>
            </w:pPr>
          </w:p>
        </w:tc>
        <w:tc>
          <w:tcPr>
            <w:tcW w:w="22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Interim condensed consolidated statement of operations</w:t>
            </w:r>
          </w:p>
        </w:tc>
        <w:tc>
          <w:tcPr>
            <w:tcW w:w="5000" w:type="dxa"/>
            <w:vAlign w:val="bottom"/>
            <w:gridSpan w:val="8"/>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2"/>
        </w:trPr>
        <w:tc>
          <w:tcPr>
            <w:tcW w:w="20" w:type="dxa"/>
            <w:vAlign w:val="bottom"/>
          </w:tcPr>
          <w:p>
            <w:pPr>
              <w:spacing w:after="0"/>
              <w:rPr>
                <w:sz w:val="19"/>
                <w:szCs w:val="19"/>
                <w:color w:val="auto"/>
              </w:rPr>
            </w:pPr>
          </w:p>
        </w:tc>
        <w:tc>
          <w:tcPr>
            <w:tcW w:w="46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Interim condensed consolidated statement of comprehensive loss</w:t>
            </w:r>
          </w:p>
        </w:tc>
        <w:tc>
          <w:tcPr>
            <w:tcW w:w="4320" w:type="dxa"/>
            <w:vAlign w:val="bottom"/>
            <w:gridSpan w:val="4"/>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2"/>
        </w:trPr>
        <w:tc>
          <w:tcPr>
            <w:tcW w:w="20" w:type="dxa"/>
            <w:vAlign w:val="bottom"/>
          </w:tcPr>
          <w:p>
            <w:pPr>
              <w:spacing w:after="0"/>
              <w:rPr>
                <w:sz w:val="19"/>
                <w:szCs w:val="19"/>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Interim condensed consolidated statement of financial position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Interim condensed consolidated statement of changes in equity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2"/>
        </w:trPr>
        <w:tc>
          <w:tcPr>
            <w:tcW w:w="20" w:type="dxa"/>
            <w:vAlign w:val="bottom"/>
          </w:tcPr>
          <w:p>
            <w:pPr>
              <w:spacing w:after="0"/>
              <w:rPr>
                <w:sz w:val="19"/>
                <w:szCs w:val="19"/>
                <w:color w:val="auto"/>
              </w:rPr>
            </w:pPr>
          </w:p>
        </w:tc>
        <w:tc>
          <w:tcPr>
            <w:tcW w:w="40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Interim condensed consolidated statement of cash flows</w:t>
            </w:r>
          </w:p>
        </w:tc>
        <w:tc>
          <w:tcPr>
            <w:tcW w:w="480" w:type="dxa"/>
            <w:vAlign w:val="bottom"/>
            <w:tcBorders>
              <w:top w:val="single" w:sz="8" w:color="0000FF"/>
            </w:tcBorders>
          </w:tcPr>
          <w:p>
            <w:pPr>
              <w:spacing w:after="0"/>
              <w:rPr>
                <w:sz w:val="19"/>
                <w:szCs w:val="19"/>
                <w:color w:val="auto"/>
              </w:rPr>
            </w:pPr>
          </w:p>
        </w:tc>
        <w:tc>
          <w:tcPr>
            <w:tcW w:w="4500" w:type="dxa"/>
            <w:vAlign w:val="bottom"/>
            <w:gridSpan w:val="6"/>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2"/>
        </w:trPr>
        <w:tc>
          <w:tcPr>
            <w:tcW w:w="20" w:type="dxa"/>
            <w:vAlign w:val="bottom"/>
          </w:tcPr>
          <w:p>
            <w:pPr>
              <w:spacing w:after="0"/>
              <w:rPr>
                <w:sz w:val="19"/>
                <w:szCs w:val="19"/>
                <w:color w:val="auto"/>
              </w:rPr>
            </w:pPr>
          </w:p>
        </w:tc>
        <w:tc>
          <w:tcPr>
            <w:tcW w:w="4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the interim condensed consolidated financial statements</w:t>
            </w:r>
          </w:p>
        </w:tc>
        <w:tc>
          <w:tcPr>
            <w:tcW w:w="4340" w:type="dxa"/>
            <w:vAlign w:val="bottom"/>
            <w:gridSpan w:val="5"/>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2"/>
        </w:trPr>
        <w:tc>
          <w:tcPr>
            <w:tcW w:w="20" w:type="dxa"/>
            <w:vAlign w:val="bottom"/>
          </w:tcPr>
          <w:p>
            <w:pPr>
              <w:spacing w:after="0"/>
              <w:rPr>
                <w:sz w:val="19"/>
                <w:szCs w:val="19"/>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2"/>
        </w:trPr>
        <w:tc>
          <w:tcPr>
            <w:tcW w:w="20" w:type="dxa"/>
            <w:vAlign w:val="bottom"/>
          </w:tcPr>
          <w:p>
            <w:pPr>
              <w:spacing w:after="0"/>
              <w:rPr>
                <w:sz w:val="19"/>
                <w:szCs w:val="19"/>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3.</w:t>
            </w:r>
          </w:p>
        </w:tc>
        <w:tc>
          <w:tcPr>
            <w:tcW w:w="4360" w:type="dxa"/>
            <w:vAlign w:val="bottom"/>
            <w:tcBorders>
              <w:top w:val="single" w:sz="8" w:color="0000FF"/>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tcPr>
          <w:p>
            <w:pPr>
              <w:spacing w:after="0"/>
              <w:rPr>
                <w:sz w:val="19"/>
                <w:szCs w:val="19"/>
                <w:color w:val="auto"/>
              </w:rPr>
            </w:pPr>
          </w:p>
        </w:tc>
        <w:tc>
          <w:tcPr>
            <w:tcW w:w="20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20" w:type="dxa"/>
            <w:vAlign w:val="bottom"/>
          </w:tcPr>
          <w:p>
            <w:pPr>
              <w:spacing w:after="0"/>
              <w:rPr>
                <w:sz w:val="22"/>
                <w:szCs w:val="22"/>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22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0000FF"/>
              </w:rPr>
              <w:t>Item 1.</w:t>
            </w:r>
          </w:p>
        </w:tc>
        <w:tc>
          <w:tcPr>
            <w:tcW w:w="8460" w:type="dxa"/>
            <w:vAlign w:val="bottom"/>
            <w:gridSpan w:val="14"/>
          </w:tcPr>
          <w:p>
            <w:pPr>
              <w:ind w:left="20"/>
              <w:spacing w:after="0" w:line="201" w:lineRule="exact"/>
              <w:rPr>
                <w:sz w:val="20"/>
                <w:szCs w:val="20"/>
                <w:color w:val="auto"/>
              </w:rPr>
            </w:pPr>
            <w:r>
              <w:rPr>
                <w:rFonts w:ascii="Times New Roman" w:cs="Times New Roman" w:eastAsia="Times New Roman" w:hAnsi="Times New Roman"/>
                <w:sz w:val="18"/>
                <w:szCs w:val="18"/>
                <w:color w:val="0000FF"/>
              </w:rPr>
              <w:t>Legal Proceedings</w:t>
            </w:r>
          </w:p>
        </w:tc>
        <w:tc>
          <w:tcPr>
            <w:tcW w:w="2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38</w:t>
            </w:r>
          </w:p>
        </w:tc>
      </w:tr>
      <w:tr>
        <w:trPr>
          <w:trHeight w:val="222"/>
        </w:trPr>
        <w:tc>
          <w:tcPr>
            <w:tcW w:w="20" w:type="dxa"/>
            <w:vAlign w:val="bottom"/>
          </w:tcPr>
          <w:p>
            <w:pPr>
              <w:spacing w:after="0"/>
              <w:rPr>
                <w:sz w:val="19"/>
                <w:szCs w:val="19"/>
                <w:color w:val="auto"/>
              </w:rPr>
            </w:pPr>
          </w:p>
        </w:tc>
        <w:tc>
          <w:tcPr>
            <w:tcW w:w="18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120" w:type="dxa"/>
            <w:vAlign w:val="bottom"/>
            <w:gridSpan w:val="11"/>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2.</w:t>
            </w:r>
          </w:p>
        </w:tc>
        <w:tc>
          <w:tcPr>
            <w:tcW w:w="846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2"/>
        </w:trPr>
        <w:tc>
          <w:tcPr>
            <w:tcW w:w="20" w:type="dxa"/>
            <w:vAlign w:val="bottom"/>
          </w:tcPr>
          <w:p>
            <w:pPr>
              <w:spacing w:after="0"/>
              <w:rPr>
                <w:sz w:val="19"/>
                <w:szCs w:val="19"/>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3.</w:t>
            </w:r>
          </w:p>
        </w:tc>
        <w:tc>
          <w:tcPr>
            <w:tcW w:w="4340" w:type="dxa"/>
            <w:vAlign w:val="bottom"/>
            <w:tcBorders>
              <w:top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120" w:type="dxa"/>
            <w:vAlign w:val="bottom"/>
            <w:gridSpan w:val="3"/>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2"/>
        </w:trPr>
        <w:tc>
          <w:tcPr>
            <w:tcW w:w="20" w:type="dxa"/>
            <w:vAlign w:val="bottom"/>
          </w:tcPr>
          <w:p>
            <w:pPr>
              <w:spacing w:after="0"/>
              <w:rPr>
                <w:sz w:val="19"/>
                <w:szCs w:val="19"/>
                <w:color w:val="auto"/>
              </w:rPr>
            </w:pPr>
          </w:p>
        </w:tc>
        <w:tc>
          <w:tcPr>
            <w:tcW w:w="28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140" w:type="dxa"/>
            <w:vAlign w:val="bottom"/>
            <w:gridSpan w:val="9"/>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225"/>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2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8"/>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data)</w:t>
            </w:r>
          </w:p>
        </w:tc>
        <w:tc>
          <w:tcPr>
            <w:tcW w:w="660" w:type="dxa"/>
            <w:vAlign w:val="bottom"/>
            <w:gridSpan w:val="2"/>
            <w:vMerge w:val="continue"/>
          </w:tcPr>
          <w:p>
            <w:pPr>
              <w:spacing w:after="0"/>
              <w:rPr>
                <w:sz w:val="14"/>
                <w:szCs w:val="14"/>
                <w:color w:val="auto"/>
              </w:rPr>
            </w:pPr>
          </w:p>
        </w:tc>
        <w:tc>
          <w:tcPr>
            <w:tcW w:w="110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06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24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195,987</w:t>
            </w: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2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(143,239 )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(158,331 )</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(288,496 )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(319,888 )</w:t>
            </w:r>
          </w:p>
        </w:tc>
        <w:tc>
          <w:tcPr>
            <w:tcW w:w="0" w:type="dxa"/>
            <w:vAlign w:val="bottom"/>
          </w:tcPr>
          <w:p>
            <w:pPr>
              <w:spacing w:after="0"/>
              <w:rPr>
                <w:sz w:val="1"/>
                <w:szCs w:val="1"/>
                <w:color w:val="auto"/>
              </w:rPr>
            </w:pPr>
          </w:p>
        </w:tc>
      </w:tr>
      <w:tr>
        <w:trPr>
          <w:trHeight w:val="24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58,956</w:t>
            </w:r>
          </w:p>
        </w:tc>
        <w:tc>
          <w:tcPr>
            <w:tcW w:w="24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37,656</w:t>
            </w: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112,854</w:t>
            </w:r>
          </w:p>
        </w:tc>
        <w:tc>
          <w:tcPr>
            <w:tcW w:w="2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71,744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(10,898 )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(5,321 )</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(15,540 )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(11,035 )</w:t>
            </w:r>
          </w:p>
        </w:tc>
        <w:tc>
          <w:tcPr>
            <w:tcW w:w="0" w:type="dxa"/>
            <w:vAlign w:val="bottom"/>
          </w:tcPr>
          <w:p>
            <w:pPr>
              <w:spacing w:after="0"/>
              <w:rPr>
                <w:sz w:val="1"/>
                <w:szCs w:val="1"/>
                <w:color w:val="auto"/>
              </w:rPr>
            </w:pPr>
          </w:p>
        </w:tc>
      </w:tr>
      <w:tr>
        <w:trPr>
          <w:trHeight w:val="24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(84,261 )</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(106,695 )</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(163,003 )</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(205,550 )</w:t>
            </w:r>
          </w:p>
        </w:tc>
        <w:tc>
          <w:tcPr>
            <w:tcW w:w="0" w:type="dxa"/>
            <w:vAlign w:val="bottom"/>
          </w:tcPr>
          <w:p>
            <w:pPr>
              <w:spacing w:after="0"/>
              <w:rPr>
                <w:sz w:val="1"/>
                <w:szCs w:val="1"/>
                <w:color w:val="auto"/>
              </w:rPr>
            </w:pP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(2,876 )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(1,120 )</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(1,803 )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(2,208 )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(39,079 )</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(75,480 )</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(67,492 )</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(147,049 )</w:t>
            </w:r>
          </w:p>
        </w:tc>
        <w:tc>
          <w:tcPr>
            <w:tcW w:w="0" w:type="dxa"/>
            <w:vAlign w:val="bottom"/>
          </w:tcPr>
          <w:p>
            <w:pPr>
              <w:spacing w:after="0"/>
              <w:rPr>
                <w:sz w:val="1"/>
                <w:szCs w:val="1"/>
                <w:color w:val="auto"/>
              </w:rPr>
            </w:pPr>
          </w:p>
        </w:tc>
      </w:tr>
      <w:tr>
        <w:trPr>
          <w:trHeight w:val="24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(11,512 )</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(6,988 )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(13,508 )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(28,690 )</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(86,992 )</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(74,480 )</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(160,557 )</w:t>
            </w:r>
          </w:p>
        </w:tc>
        <w:tc>
          <w:tcPr>
            <w:tcW w:w="0" w:type="dxa"/>
            <w:vAlign w:val="bottom"/>
          </w:tcPr>
          <w:p>
            <w:pPr>
              <w:spacing w:after="0"/>
              <w:rPr>
                <w:sz w:val="1"/>
                <w:szCs w:val="1"/>
                <w:color w:val="auto"/>
              </w:rPr>
            </w:pPr>
          </w:p>
        </w:tc>
      </w:tr>
      <w:tr>
        <w:trPr>
          <w:trHeight w:val="24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(1,751 )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(1,805 )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(1,739 )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5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(30,441 )</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(86,719 )</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(76,285 )</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(162,296 )</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-24765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-7620</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-24765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-7620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Attributable to:</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Shareholders of the parent</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Loss per share, attributable to shareholders of the parent: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(30,384 )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(86,719 )</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(76,183 )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(162,296 )</w:t>
            </w:r>
          </w:p>
        </w:tc>
      </w:tr>
      <w:tr>
        <w:trPr>
          <w:trHeight w:val="242"/>
        </w:trPr>
        <w:tc>
          <w:tcPr>
            <w:tcW w:w="4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(57 )</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(102 )</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98"/>
        </w:trPr>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24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(0.15 )</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(0.13 )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(0.27 )</w:t>
            </w:r>
          </w:p>
        </w:tc>
      </w:tr>
      <w:tr>
        <w:trPr>
          <w:trHeight w:val="20"/>
        </w:trPr>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5"/>
        </w:trPr>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596,242,505</w:t>
            </w:r>
          </w:p>
        </w:tc>
        <w:tc>
          <w:tcPr>
            <w:tcW w:w="24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593,189,505</w:t>
            </w:r>
          </w:p>
        </w:tc>
        <w:tc>
          <w:tcPr>
            <w:tcW w:w="22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595,654,647</w:t>
            </w: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592,757,116</w:t>
            </w:r>
          </w:p>
        </w:tc>
        <w:tc>
          <w:tcPr>
            <w:tcW w:w="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-973455</wp:posOffset>
            </wp:positionV>
            <wp:extent cx="7132955" cy="153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-665480</wp:posOffset>
            </wp:positionV>
            <wp:extent cx="7132955" cy="153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-332740</wp:posOffset>
            </wp:positionV>
            <wp:extent cx="7132955" cy="153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940" w:space="720"/>
            <w:col w:w="5580"/>
          </w:cols>
          <w:pgMar w:left="320" w:top="992"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comprehensive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20" w:type="dxa"/>
            <w:vAlign w:val="bottom"/>
          </w:tcPr>
          <w:p>
            <w:pPr>
              <w:spacing w:after="0"/>
              <w:rPr>
                <w:sz w:val="16"/>
                <w:szCs w:val="16"/>
                <w:color w:val="auto"/>
              </w:rPr>
            </w:pPr>
          </w:p>
        </w:tc>
        <w:tc>
          <w:tcPr>
            <w:tcW w:w="26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8"/>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520" w:type="dxa"/>
            <w:vAlign w:val="bottom"/>
            <w:shd w:val="clear" w:color="auto" w:fill="CFF0FC"/>
          </w:tcPr>
          <w:p>
            <w:pPr>
              <w:spacing w:after="0"/>
              <w:rPr>
                <w:sz w:val="20"/>
                <w:szCs w:val="20"/>
                <w:color w:val="auto"/>
              </w:rPr>
            </w:pP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(30,441 )</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(86,719 )</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(76,285 )</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(162,296 )</w:t>
            </w:r>
          </w:p>
        </w:tc>
        <w:tc>
          <w:tcPr>
            <w:tcW w:w="0" w:type="dxa"/>
            <w:vAlign w:val="bottom"/>
          </w:tcPr>
          <w:p>
            <w:pPr>
              <w:spacing w:after="0"/>
              <w:rPr>
                <w:sz w:val="1"/>
                <w:szCs w:val="1"/>
                <w:color w:val="auto"/>
              </w:rPr>
            </w:pPr>
          </w:p>
        </w:tc>
      </w:tr>
      <w:tr>
        <w:trPr>
          <w:trHeight w:val="236"/>
        </w:trPr>
        <w:tc>
          <w:tcPr>
            <w:tcW w:w="5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5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operations (net of tax):</w:t>
            </w: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differences from translation of foreign operations</w:t>
            </w:r>
          </w:p>
        </w:tc>
        <w:tc>
          <w:tcPr>
            <w:tcW w:w="520" w:type="dxa"/>
            <w:vAlign w:val="bottom"/>
          </w:tcPr>
          <w:p>
            <w:pPr>
              <w:spacing w:after="0"/>
              <w:rPr>
                <w:sz w:val="20"/>
                <w:szCs w:val="20"/>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(1,228 )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(28,216 )</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(20,460 )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(20,863 )</w:t>
            </w:r>
          </w:p>
        </w:tc>
        <w:tc>
          <w:tcPr>
            <w:tcW w:w="0" w:type="dxa"/>
            <w:vAlign w:val="bottom"/>
          </w:tcPr>
          <w:p>
            <w:pPr>
              <w:spacing w:after="0"/>
              <w:rPr>
                <w:sz w:val="1"/>
                <w:szCs w:val="1"/>
                <w:color w:val="auto"/>
              </w:rPr>
            </w:pPr>
          </w:p>
        </w:tc>
      </w:tr>
      <w:tr>
        <w:trPr>
          <w:trHeight w:val="215"/>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Items that will not be subsequently reclassified to the consolidated</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statement of operations (net of tax):</w:t>
            </w: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changes on Convertible Notes attributable to changes in credit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rPr>
                <w:sz w:val="18"/>
                <w:szCs w:val="18"/>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(72,656 )</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(72,656 )</w:t>
            </w:r>
          </w:p>
        </w:tc>
        <w:tc>
          <w:tcPr>
            <w:tcW w:w="0" w:type="dxa"/>
            <w:vAlign w:val="bottom"/>
          </w:tcPr>
          <w:p>
            <w:pPr>
              <w:spacing w:after="0"/>
              <w:rPr>
                <w:sz w:val="1"/>
                <w:szCs w:val="1"/>
                <w:color w:val="auto"/>
              </w:rPr>
            </w:pP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w:t>
            </w: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loss for the period</w:t>
            </w:r>
          </w:p>
        </w:tc>
        <w:tc>
          <w:tcPr>
            <w:tcW w:w="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(1,228 )</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(100,872 )</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(20,460 )</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(93,519 )</w:t>
            </w: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(31,669 )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(187,591 )</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(96,745 )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(255,815 )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Attributable to:</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520" w:type="dxa"/>
            <w:vAlign w:val="bottom"/>
          </w:tcPr>
          <w:p>
            <w:pPr>
              <w:spacing w:after="0"/>
              <w:rPr>
                <w:sz w:val="20"/>
                <w:szCs w:val="20"/>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(31,605 )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(187,591 )</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(96,627 )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(255,815 )</w:t>
            </w:r>
          </w:p>
        </w:tc>
        <w:tc>
          <w:tcPr>
            <w:tcW w:w="0" w:type="dxa"/>
            <w:vAlign w:val="bottom"/>
          </w:tcPr>
          <w:p>
            <w:pPr>
              <w:spacing w:after="0"/>
              <w:rPr>
                <w:sz w:val="1"/>
                <w:szCs w:val="1"/>
                <w:color w:val="auto"/>
              </w:rPr>
            </w:pPr>
          </w:p>
        </w:tc>
      </w:tr>
      <w:tr>
        <w:trPr>
          <w:trHeight w:val="24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2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(118 )</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-1989455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-1989455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-1989455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-1989455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-648335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-648335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-648335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-648335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6"/>
                <w:szCs w:val="16"/>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8"/>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121,180</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130,326</w:t>
            </w:r>
          </w:p>
        </w:tc>
        <w:tc>
          <w:tcPr>
            <w:tcW w:w="100" w:type="dxa"/>
            <w:vAlign w:val="bottom"/>
            <w:shd w:val="clear" w:color="auto" w:fill="CFF0FC"/>
          </w:tcPr>
          <w:p>
            <w:pPr>
              <w:spacing w:after="0"/>
              <w:rPr>
                <w:sz w:val="21"/>
                <w:szCs w:val="21"/>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342,470</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360,286</w:t>
            </w:r>
          </w:p>
        </w:tc>
        <w:tc>
          <w:tcPr>
            <w:tcW w:w="100" w:type="dxa"/>
            <w:vAlign w:val="bottom"/>
          </w:tcPr>
          <w:p>
            <w:pPr>
              <w:spacing w:after="0"/>
              <w:rPr>
                <w:sz w:val="20"/>
                <w:szCs w:val="20"/>
                <w:color w:val="auto"/>
              </w:rPr>
            </w:pPr>
          </w:p>
        </w:tc>
      </w:tr>
      <w:tr>
        <w:trPr>
          <w:trHeight w:val="24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57,030</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88,393</w:t>
            </w:r>
          </w:p>
        </w:tc>
        <w:tc>
          <w:tcPr>
            <w:tcW w:w="100" w:type="dxa"/>
            <w:vAlign w:val="bottom"/>
            <w:shd w:val="clear" w:color="auto" w:fill="CFF0FC"/>
          </w:tcPr>
          <w:p>
            <w:pPr>
              <w:spacing w:after="0"/>
              <w:rPr>
                <w:sz w:val="21"/>
                <w:szCs w:val="21"/>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44,444</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44,378</w:t>
            </w:r>
          </w:p>
        </w:tc>
        <w:tc>
          <w:tcPr>
            <w:tcW w:w="100" w:type="dxa"/>
            <w:vAlign w:val="bottom"/>
          </w:tcPr>
          <w:p>
            <w:pPr>
              <w:spacing w:after="0"/>
              <w:rPr>
                <w:sz w:val="20"/>
                <w:szCs w:val="20"/>
                <w:color w:val="auto"/>
              </w:rPr>
            </w:pPr>
          </w:p>
        </w:tc>
      </w:tr>
      <w:tr>
        <w:trPr>
          <w:trHeight w:val="246"/>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2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570,541</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633,586</w:t>
            </w:r>
          </w:p>
        </w:tc>
        <w:tc>
          <w:tcPr>
            <w:tcW w:w="100" w:type="dxa"/>
            <w:vAlign w:val="bottom"/>
          </w:tcPr>
          <w:p>
            <w:pPr>
              <w:spacing w:after="0"/>
              <w:rPr>
                <w:sz w:val="20"/>
                <w:szCs w:val="20"/>
                <w:color w:val="auto"/>
              </w:rPr>
            </w:pPr>
          </w:p>
        </w:tc>
      </w:tr>
      <w:tr>
        <w:trPr>
          <w:trHeight w:val="238"/>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79,816</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67,882</w:t>
            </w:r>
          </w:p>
        </w:tc>
        <w:tc>
          <w:tcPr>
            <w:tcW w:w="100" w:type="dxa"/>
            <w:vAlign w:val="bottom"/>
          </w:tcPr>
          <w:p>
            <w:pPr>
              <w:spacing w:after="0"/>
              <w:rPr>
                <w:sz w:val="20"/>
                <w:szCs w:val="20"/>
                <w:color w:val="auto"/>
              </w:rPr>
            </w:pPr>
          </w:p>
        </w:tc>
      </w:tr>
      <w:tr>
        <w:trPr>
          <w:trHeight w:val="24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103,678</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112,951</w:t>
            </w:r>
          </w:p>
        </w:tc>
        <w:tc>
          <w:tcPr>
            <w:tcW w:w="100" w:type="dxa"/>
            <w:vAlign w:val="bottom"/>
            <w:shd w:val="clear" w:color="auto" w:fill="CFF0FC"/>
          </w:tcPr>
          <w:p>
            <w:pPr>
              <w:spacing w:after="0"/>
              <w:rPr>
                <w:sz w:val="21"/>
                <w:szCs w:val="21"/>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tax assets</w:t>
            </w:r>
          </w:p>
        </w:tc>
        <w:tc>
          <w:tcPr>
            <w:tcW w:w="7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20"/>
                <w:szCs w:val="20"/>
                <w:color w:val="auto"/>
              </w:rPr>
            </w:pPr>
          </w:p>
        </w:tc>
      </w:tr>
      <w:tr>
        <w:trPr>
          <w:trHeight w:val="24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33,820</w:t>
            </w:r>
          </w:p>
        </w:tc>
        <w:tc>
          <w:tcPr>
            <w:tcW w:w="100" w:type="dxa"/>
            <w:vAlign w:val="bottom"/>
            <w:shd w:val="clear" w:color="auto" w:fill="CFF0FC"/>
          </w:tcPr>
          <w:p>
            <w:pPr>
              <w:spacing w:after="0"/>
              <w:rPr>
                <w:sz w:val="21"/>
                <w:szCs w:val="21"/>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7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16,928</w:t>
            </w:r>
          </w:p>
        </w:tc>
        <w:tc>
          <w:tcPr>
            <w:tcW w:w="100" w:type="dxa"/>
            <w:vAlign w:val="bottom"/>
          </w:tcPr>
          <w:p>
            <w:pPr>
              <w:spacing w:after="0"/>
              <w:rPr>
                <w:sz w:val="20"/>
                <w:szCs w:val="20"/>
                <w:color w:val="auto"/>
              </w:rPr>
            </w:pPr>
          </w:p>
        </w:tc>
      </w:tr>
      <w:tr>
        <w:trPr>
          <w:trHeight w:val="246"/>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142,728</w:t>
            </w:r>
          </w:p>
        </w:tc>
        <w:tc>
          <w:tcPr>
            <w:tcW w:w="2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361,318</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483,385</w:t>
            </w:r>
          </w:p>
        </w:tc>
        <w:tc>
          <w:tcPr>
            <w:tcW w:w="100" w:type="dxa"/>
            <w:vAlign w:val="bottom"/>
          </w:tcPr>
          <w:p>
            <w:pPr>
              <w:spacing w:after="0"/>
              <w:rPr>
                <w:sz w:val="20"/>
                <w:szCs w:val="20"/>
                <w:color w:val="auto"/>
              </w:rPr>
            </w:pPr>
          </w:p>
        </w:tc>
      </w:tr>
      <w:tr>
        <w:trPr>
          <w:trHeight w:val="27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shd w:val="clear" w:color="auto" w:fill="CFF0FC"/>
          </w:tcPr>
          <w:p>
            <w:pPr>
              <w:spacing w:after="0"/>
              <w:rPr>
                <w:sz w:val="23"/>
                <w:szCs w:val="23"/>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931,859</w:t>
            </w:r>
          </w:p>
        </w:tc>
        <w:tc>
          <w:tcPr>
            <w:tcW w:w="200" w:type="dxa"/>
            <w:vAlign w:val="bottom"/>
            <w:shd w:val="clear" w:color="auto" w:fill="CFF0FC"/>
          </w:tcPr>
          <w:p>
            <w:pPr>
              <w:spacing w:after="0"/>
              <w:rPr>
                <w:sz w:val="23"/>
                <w:szCs w:val="2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1,116,971</w:t>
            </w:r>
          </w:p>
        </w:tc>
        <w:tc>
          <w:tcPr>
            <w:tcW w:w="100" w:type="dxa"/>
            <w:vAlign w:val="bottom"/>
            <w:shd w:val="clear" w:color="auto" w:fill="CFF0FC"/>
          </w:tcPr>
          <w:p>
            <w:pPr>
              <w:spacing w:after="0"/>
              <w:rPr>
                <w:sz w:val="23"/>
                <w:szCs w:val="23"/>
                <w:color w:val="auto"/>
              </w:rPr>
            </w:pPr>
          </w:p>
        </w:tc>
      </w:tr>
      <w:tr>
        <w:trPr>
          <w:trHeight w:val="223"/>
        </w:trPr>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7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4"/>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7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r>
      <w:tr>
        <w:trPr>
          <w:trHeight w:val="24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720" w:type="dxa"/>
            <w:vAlign w:val="bottom"/>
            <w:shd w:val="clear" w:color="auto" w:fill="CFF0FC"/>
          </w:tcPr>
          <w:p>
            <w:pPr>
              <w:spacing w:after="0"/>
              <w:rPr>
                <w:sz w:val="21"/>
                <w:szCs w:val="21"/>
                <w:color w:val="auto"/>
              </w:rPr>
            </w:pPr>
          </w:p>
        </w:tc>
        <w:tc>
          <w:tcPr>
            <w:tcW w:w="1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contributed capital</w:t>
            </w:r>
          </w:p>
        </w:tc>
        <w:tc>
          <w:tcPr>
            <w:tcW w:w="7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1,628,045</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1,628,045</w:t>
            </w:r>
          </w:p>
        </w:tc>
        <w:tc>
          <w:tcPr>
            <w:tcW w:w="100" w:type="dxa"/>
            <w:vAlign w:val="bottom"/>
          </w:tcPr>
          <w:p>
            <w:pPr>
              <w:spacing w:after="0"/>
              <w:rPr>
                <w:sz w:val="20"/>
                <w:szCs w:val="20"/>
                <w:color w:val="auto"/>
              </w:rPr>
            </w:pPr>
          </w:p>
        </w:tc>
      </w:tr>
      <w:tr>
        <w:trPr>
          <w:trHeight w:val="24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reserves</w:t>
            </w:r>
          </w:p>
        </w:tc>
        <w:tc>
          <w:tcPr>
            <w:tcW w:w="720" w:type="dxa"/>
            <w:vAlign w:val="bottom"/>
            <w:shd w:val="clear" w:color="auto" w:fill="CFF0FC"/>
          </w:tcPr>
          <w:p>
            <w:pPr>
              <w:spacing w:after="0"/>
              <w:rPr>
                <w:sz w:val="21"/>
                <w:szCs w:val="21"/>
                <w:color w:val="auto"/>
              </w:rPr>
            </w:pPr>
          </w:p>
        </w:tc>
        <w:tc>
          <w:tcPr>
            <w:tcW w:w="1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(253,648 )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(233,204 )</w:t>
            </w: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(1,130,341 )</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(1,060,952 )</w:t>
            </w:r>
          </w:p>
        </w:tc>
      </w:tr>
      <w:tr>
        <w:trPr>
          <w:trHeight w:val="240"/>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244,162</w:t>
            </w:r>
          </w:p>
        </w:tc>
        <w:tc>
          <w:tcPr>
            <w:tcW w:w="200" w:type="dxa"/>
            <w:vAlign w:val="bottom"/>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333,994</w:t>
            </w:r>
          </w:p>
        </w:tc>
        <w:tc>
          <w:tcPr>
            <w:tcW w:w="100" w:type="dxa"/>
            <w:vAlign w:val="bottom"/>
            <w:shd w:val="clear" w:color="auto" w:fill="CFF0FC"/>
          </w:tcPr>
          <w:p>
            <w:pPr>
              <w:spacing w:after="0"/>
              <w:rPr>
                <w:sz w:val="20"/>
                <w:szCs w:val="20"/>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0"/>
                <w:szCs w:val="20"/>
                <w:color w:val="auto"/>
              </w:rPr>
            </w:pPr>
          </w:p>
        </w:tc>
      </w:tr>
      <w:tr>
        <w:trPr>
          <w:trHeight w:val="238"/>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245,831</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335,781</w:t>
            </w:r>
          </w:p>
        </w:tc>
        <w:tc>
          <w:tcPr>
            <w:tcW w:w="100" w:type="dxa"/>
            <w:vAlign w:val="bottom"/>
            <w:shd w:val="clear" w:color="auto" w:fill="CFF0FC"/>
          </w:tcPr>
          <w:p>
            <w:pPr>
              <w:spacing w:after="0"/>
              <w:rPr>
                <w:sz w:val="20"/>
                <w:szCs w:val="20"/>
                <w:color w:val="auto"/>
              </w:rPr>
            </w:pPr>
          </w:p>
        </w:tc>
      </w:tr>
      <w:tr>
        <w:trPr>
          <w:trHeight w:val="236"/>
        </w:trPr>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4"/>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37,734</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72,570</w:t>
            </w:r>
          </w:p>
        </w:tc>
        <w:tc>
          <w:tcPr>
            <w:tcW w:w="100" w:type="dxa"/>
            <w:vAlign w:val="bottom"/>
          </w:tcPr>
          <w:p>
            <w:pPr>
              <w:spacing w:after="0"/>
              <w:rPr>
                <w:sz w:val="20"/>
                <w:szCs w:val="20"/>
                <w:color w:val="auto"/>
              </w:rPr>
            </w:pPr>
          </w:p>
        </w:tc>
      </w:tr>
      <w:tr>
        <w:trPr>
          <w:trHeight w:val="24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115,486</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114,249</w:t>
            </w:r>
          </w:p>
        </w:tc>
        <w:tc>
          <w:tcPr>
            <w:tcW w:w="100" w:type="dxa"/>
            <w:vAlign w:val="bottom"/>
            <w:shd w:val="clear" w:color="auto" w:fill="CFF0FC"/>
          </w:tcPr>
          <w:p>
            <w:pPr>
              <w:spacing w:after="0"/>
              <w:rPr>
                <w:sz w:val="21"/>
                <w:szCs w:val="21"/>
                <w:color w:val="auto"/>
              </w:rPr>
            </w:pPr>
          </w:p>
        </w:tc>
      </w:tr>
      <w:tr>
        <w:trPr>
          <w:trHeight w:val="242"/>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100" w:type="dxa"/>
            <w:vAlign w:val="bottom"/>
          </w:tcPr>
          <w:p>
            <w:pPr>
              <w:spacing w:after="0"/>
              <w:rPr>
                <w:sz w:val="21"/>
                <w:szCs w:val="21"/>
                <w:color w:val="auto"/>
              </w:rPr>
            </w:pPr>
          </w:p>
        </w:tc>
      </w:tr>
      <w:tr>
        <w:trPr>
          <w:trHeight w:val="23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154,779</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197,535</w:t>
            </w:r>
          </w:p>
        </w:tc>
        <w:tc>
          <w:tcPr>
            <w:tcW w:w="100" w:type="dxa"/>
            <w:vAlign w:val="bottom"/>
            <w:shd w:val="clear" w:color="auto" w:fill="CFF0FC"/>
          </w:tcPr>
          <w:p>
            <w:pPr>
              <w:spacing w:after="0"/>
              <w:rPr>
                <w:sz w:val="20"/>
                <w:szCs w:val="20"/>
                <w:color w:val="auto"/>
              </w:rPr>
            </w:pPr>
          </w:p>
        </w:tc>
      </w:tr>
      <w:tr>
        <w:trPr>
          <w:trHeight w:val="236"/>
        </w:trPr>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4"/>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100" w:type="dxa"/>
            <w:vAlign w:val="bottom"/>
            <w:shd w:val="clear" w:color="auto" w:fill="CFF0FC"/>
          </w:tcPr>
          <w:p>
            <w:pPr>
              <w:spacing w:after="0"/>
              <w:rPr>
                <w:sz w:val="21"/>
                <w:szCs w:val="21"/>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13,21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317,047</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323,528</w:t>
            </w:r>
          </w:p>
        </w:tc>
        <w:tc>
          <w:tcPr>
            <w:tcW w:w="100" w:type="dxa"/>
            <w:vAlign w:val="bottom"/>
          </w:tcPr>
          <w:p>
            <w:pPr>
              <w:spacing w:after="0"/>
              <w:rPr>
                <w:sz w:val="20"/>
                <w:szCs w:val="20"/>
                <w:color w:val="auto"/>
              </w:rPr>
            </w:pPr>
          </w:p>
        </w:tc>
      </w:tr>
      <w:tr>
        <w:trPr>
          <w:trHeight w:val="24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shd w:val="clear" w:color="auto" w:fill="CFF0FC"/>
          </w:tcPr>
          <w:p>
            <w:pPr>
              <w:spacing w:after="0"/>
              <w:rPr>
                <w:sz w:val="21"/>
                <w:szCs w:val="21"/>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7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47,163</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64,368</w:t>
            </w:r>
          </w:p>
        </w:tc>
        <w:tc>
          <w:tcPr>
            <w:tcW w:w="100" w:type="dxa"/>
            <w:vAlign w:val="bottom"/>
          </w:tcPr>
          <w:p>
            <w:pPr>
              <w:spacing w:after="0"/>
              <w:rPr>
                <w:sz w:val="20"/>
                <w:szCs w:val="20"/>
                <w:color w:val="auto"/>
              </w:rPr>
            </w:pPr>
          </w:p>
        </w:tc>
      </w:tr>
      <w:tr>
        <w:trPr>
          <w:trHeight w:val="24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liabilities</w:t>
            </w:r>
          </w:p>
        </w:tc>
        <w:tc>
          <w:tcPr>
            <w:tcW w:w="7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shd w:val="clear" w:color="auto" w:fill="CFF0FC"/>
          </w:tcPr>
          <w:p>
            <w:pPr>
              <w:spacing w:after="0"/>
              <w:rPr>
                <w:sz w:val="21"/>
                <w:szCs w:val="21"/>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00" w:type="dxa"/>
            <w:vAlign w:val="bottom"/>
          </w:tcPr>
          <w:p>
            <w:pPr>
              <w:spacing w:after="0"/>
              <w:rPr>
                <w:sz w:val="20"/>
                <w:szCs w:val="20"/>
                <w:color w:val="auto"/>
              </w:rPr>
            </w:pPr>
          </w:p>
        </w:tc>
      </w:tr>
      <w:tr>
        <w:trPr>
          <w:trHeight w:val="24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125,205</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121,338</w:t>
            </w:r>
          </w:p>
        </w:tc>
        <w:tc>
          <w:tcPr>
            <w:tcW w:w="100" w:type="dxa"/>
            <w:vAlign w:val="bottom"/>
            <w:shd w:val="clear" w:color="auto" w:fill="CFF0FC"/>
          </w:tcPr>
          <w:p>
            <w:pPr>
              <w:spacing w:after="0"/>
              <w:rPr>
                <w:sz w:val="21"/>
                <w:szCs w:val="21"/>
                <w:color w:val="auto"/>
              </w:rPr>
            </w:pPr>
          </w:p>
        </w:tc>
      </w:tr>
      <w:tr>
        <w:trPr>
          <w:trHeight w:val="242"/>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2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35,328</w:t>
            </w:r>
          </w:p>
        </w:tc>
        <w:tc>
          <w:tcPr>
            <w:tcW w:w="100" w:type="dxa"/>
            <w:vAlign w:val="bottom"/>
          </w:tcPr>
          <w:p>
            <w:pPr>
              <w:spacing w:after="0"/>
              <w:rPr>
                <w:sz w:val="21"/>
                <w:szCs w:val="21"/>
                <w:color w:val="auto"/>
              </w:rPr>
            </w:pPr>
          </w:p>
        </w:tc>
      </w:tr>
      <w:tr>
        <w:trPr>
          <w:trHeight w:val="233"/>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531,249</w:t>
            </w:r>
          </w:p>
        </w:tc>
        <w:tc>
          <w:tcPr>
            <w:tcW w:w="2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583,655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686,028</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781,190</w:t>
            </w:r>
          </w:p>
        </w:tc>
        <w:tc>
          <w:tcPr>
            <w:tcW w:w="100" w:type="dxa"/>
            <w:vAlign w:val="bottom"/>
          </w:tcPr>
          <w:p>
            <w:pPr>
              <w:spacing w:after="0"/>
              <w:rPr>
                <w:sz w:val="20"/>
                <w:szCs w:val="20"/>
                <w:color w:val="auto"/>
              </w:rPr>
            </w:pPr>
          </w:p>
        </w:tc>
      </w:tr>
      <w:tr>
        <w:trPr>
          <w:trHeight w:val="276"/>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7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931,859</w:t>
            </w:r>
          </w:p>
        </w:tc>
        <w:tc>
          <w:tcPr>
            <w:tcW w:w="2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1,116,971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-5996305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-5996305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-4749165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-4749165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-4424045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-4406900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-4424045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-4406900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-2844165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-2844165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-1904365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-1904365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-349885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-349885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changes in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3"/>
                <w:szCs w:val="13"/>
                <w:color w:val="auto"/>
              </w:rPr>
            </w:pPr>
          </w:p>
        </w:tc>
        <w:tc>
          <w:tcPr>
            <w:tcW w:w="860" w:type="dxa"/>
            <w:vAlign w:val="bottom"/>
          </w:tcPr>
          <w:p>
            <w:pPr>
              <w:jc w:val="right"/>
              <w:ind w:right="75"/>
              <w:spacing w:after="0" w:line="15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00" w:type="dxa"/>
            <w:vAlign w:val="bottom"/>
          </w:tcPr>
          <w:p>
            <w:pPr>
              <w:spacing w:after="0"/>
              <w:rPr>
                <w:sz w:val="13"/>
                <w:szCs w:val="13"/>
                <w:color w:val="auto"/>
              </w:rPr>
            </w:pPr>
          </w:p>
        </w:tc>
        <w:tc>
          <w:tcPr>
            <w:tcW w:w="860" w:type="dxa"/>
            <w:vAlign w:val="bottom"/>
          </w:tcPr>
          <w:p>
            <w:pPr>
              <w:jc w:val="right"/>
              <w:ind w:right="176"/>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4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(233,204)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(1,060,952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333,994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335,781</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(45,844)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3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10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0" w:type="dxa"/>
            <w:vAlign w:val="bottom"/>
          </w:tcPr>
          <w:p>
            <w:pPr>
              <w:spacing w:after="0"/>
              <w:rPr>
                <w:sz w:val="1"/>
                <w:szCs w:val="1"/>
                <w:color w:val="auto"/>
              </w:rPr>
            </w:pPr>
          </w:p>
        </w:tc>
      </w:tr>
      <w:tr>
        <w:trPr>
          <w:trHeight w:val="200"/>
        </w:trPr>
        <w:tc>
          <w:tcPr>
            <w:tcW w:w="3100" w:type="dxa"/>
            <w:vAlign w:val="bottom"/>
            <w:tcBorders>
              <w:top w:val="single" w:sz="8" w:color="CFF0FC"/>
            </w:tcBorders>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vMerge w:val="restart"/>
          </w:tcPr>
          <w:p>
            <w:pPr>
              <w:spacing w:after="0"/>
              <w:rPr>
                <w:sz w:val="17"/>
                <w:szCs w:val="17"/>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(19,223)</w:t>
            </w:r>
          </w:p>
        </w:tc>
        <w:tc>
          <w:tcPr>
            <w:tcW w:w="100" w:type="dxa"/>
            <w:vAlign w:val="bottom"/>
            <w:tcBorders>
              <w:top w:val="single" w:sz="8" w:color="CFF0FC"/>
            </w:tcBorders>
            <w:vMerge w:val="restart"/>
          </w:tcPr>
          <w:p>
            <w:pPr>
              <w:spacing w:after="0"/>
              <w:rPr>
                <w:sz w:val="17"/>
                <w:szCs w:val="17"/>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(45,799)</w:t>
            </w:r>
          </w:p>
        </w:tc>
        <w:tc>
          <w:tcPr>
            <w:tcW w:w="120" w:type="dxa"/>
            <w:vAlign w:val="bottom"/>
            <w:tcBorders>
              <w:top w:val="single" w:sz="8" w:color="CFF0FC"/>
            </w:tcBorders>
            <w:vMerge w:val="restart"/>
          </w:tcPr>
          <w:p>
            <w:pPr>
              <w:spacing w:after="0"/>
              <w:rPr>
                <w:sz w:val="17"/>
                <w:szCs w:val="17"/>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(65,022)</w:t>
            </w:r>
          </w:p>
        </w:tc>
        <w:tc>
          <w:tcPr>
            <w:tcW w:w="120" w:type="dxa"/>
            <w:vAlign w:val="bottom"/>
            <w:tcBorders>
              <w:top w:val="single" w:sz="8" w:color="CFF0FC"/>
            </w:tcBorders>
            <w:vMerge w:val="restart"/>
          </w:tcPr>
          <w:p>
            <w:pPr>
              <w:spacing w:after="0"/>
              <w:rPr>
                <w:sz w:val="17"/>
                <w:szCs w:val="17"/>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top w:val="single" w:sz="8" w:color="CFF0FC"/>
            </w:tcBorders>
            <w:vMerge w:val="restart"/>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(65,076)</w:t>
            </w:r>
          </w:p>
        </w:tc>
        <w:tc>
          <w:tcPr>
            <w:tcW w:w="0" w:type="dxa"/>
            <w:vAlign w:val="bottom"/>
          </w:tcPr>
          <w:p>
            <w:pPr>
              <w:spacing w:after="0"/>
              <w:rPr>
                <w:sz w:val="1"/>
                <w:szCs w:val="1"/>
                <w:color w:val="auto"/>
              </w:rPr>
            </w:pPr>
          </w:p>
        </w:tc>
      </w:tr>
      <w:tr>
        <w:trPr>
          <w:trHeight w:val="103"/>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1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89"/>
        </w:trPr>
        <w:tc>
          <w:tcPr>
            <w:tcW w:w="3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4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0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(252,427)</w:t>
            </w:r>
          </w:p>
        </w:tc>
        <w:tc>
          <w:tcPr>
            <w:tcW w:w="10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(1,104,136</w:t>
            </w:r>
          </w:p>
        </w:tc>
        <w:tc>
          <w:tcPr>
            <w:tcW w:w="1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271,587</w:t>
            </w:r>
          </w:p>
        </w:tc>
        <w:tc>
          <w:tcPr>
            <w:tcW w:w="1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10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273,320</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955" cy="170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-1161415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-1144270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-1161415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-1144270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-1161415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-1144270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-1161415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-1144270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-1161415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-1144270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-1161415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-1144270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-1161415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-1144270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-793750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-793750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-793750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-793750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-793750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-793750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-793750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-323850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-323850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-323850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-323850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-323850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-323850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-323850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for the period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58" w:lineRule="exact"/>
        <w:rPr>
          <w:sz w:val="20"/>
          <w:szCs w:val="20"/>
          <w:color w:val="auto"/>
        </w:rPr>
      </w:pPr>
    </w:p>
    <w:p>
      <w:pPr>
        <w:ind w:left="20" w:right="440"/>
        <w:spacing w:after="0" w:line="275" w:lineRule="auto"/>
        <w:rPr>
          <w:sz w:val="20"/>
          <w:szCs w:val="20"/>
          <w:color w:val="auto"/>
        </w:rPr>
      </w:pPr>
      <w:r>
        <w:rPr>
          <w:rFonts w:ascii="Times New Roman" w:cs="Times New Roman" w:eastAsia="Times New Roman" w:hAnsi="Times New Roman"/>
          <w:sz w:val="18"/>
          <w:szCs w:val="18"/>
          <w:b w:val="1"/>
          <w:bCs w:val="1"/>
          <w:color w:val="auto"/>
        </w:rPr>
        <w:t>Total comprehensive loss for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(30,441)</w:t>
            </w:r>
          </w:p>
        </w:tc>
      </w:tr>
      <w:tr>
        <w:trPr>
          <w:trHeight w:val="269"/>
        </w:trPr>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3"/>
                <w:szCs w:val="23"/>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3"/>
                <w:szCs w:val="23"/>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(1,228)</w:t>
            </w:r>
          </w:p>
        </w:tc>
      </w:tr>
      <w:tr>
        <w:trPr>
          <w:trHeight w:val="27"/>
        </w:trPr>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3"/>
        </w:trPr>
        <w:tc>
          <w:tcPr>
            <w:tcW w:w="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24"/>
                <w:szCs w:val="24"/>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24"/>
                <w:szCs w:val="24"/>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(30,384)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(31,605)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(31,669)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-196215</wp:posOffset>
            </wp:positionV>
            <wp:extent cx="7132955" cy="290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29019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920" w:space="720"/>
            <w:col w:w="7600"/>
          </w:cols>
          <w:pgMar w:left="320" w:top="992"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 of shares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3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89"/>
        </w:trPr>
        <w:tc>
          <w:tcPr>
            <w:tcW w:w="3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4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0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(253,648)</w:t>
            </w:r>
          </w:p>
        </w:tc>
        <w:tc>
          <w:tcPr>
            <w:tcW w:w="10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(1,130,341</w:t>
            </w:r>
          </w:p>
        </w:tc>
        <w:tc>
          <w:tcPr>
            <w:tcW w:w="1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244,162</w:t>
            </w:r>
          </w:p>
        </w:tc>
        <w:tc>
          <w:tcPr>
            <w:tcW w:w="1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1,669</w:t>
            </w:r>
          </w:p>
        </w:tc>
        <w:tc>
          <w:tcPr>
            <w:tcW w:w="10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245,831</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vMerge w:val="restart"/>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3"/>
                <w:szCs w:val="13"/>
                <w:color w:val="auto"/>
              </w:rPr>
            </w:pPr>
          </w:p>
        </w:tc>
        <w:tc>
          <w:tcPr>
            <w:tcW w:w="860" w:type="dxa"/>
            <w:vAlign w:val="bottom"/>
          </w:tcPr>
          <w:p>
            <w:pPr>
              <w:jc w:val="right"/>
              <w:ind w:right="74"/>
              <w:spacing w:after="0" w:line="15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00" w:type="dxa"/>
            <w:vAlign w:val="bottom"/>
          </w:tcPr>
          <w:p>
            <w:pPr>
              <w:spacing w:after="0"/>
              <w:rPr>
                <w:sz w:val="13"/>
                <w:szCs w:val="13"/>
                <w:color w:val="auto"/>
              </w:rPr>
            </w:pPr>
          </w:p>
        </w:tc>
        <w:tc>
          <w:tcPr>
            <w:tcW w:w="860" w:type="dxa"/>
            <w:vAlign w:val="bottom"/>
          </w:tcPr>
          <w:p>
            <w:pPr>
              <w:jc w:val="right"/>
              <w:ind w:right="174"/>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4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3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(171,483)</w:t>
            </w:r>
          </w:p>
        </w:tc>
        <w:tc>
          <w:tcPr>
            <w:tcW w:w="1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(665,524)</w:t>
            </w: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791,143</w:t>
            </w: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791,143</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(75,577)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(75,577)</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(75,577)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3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2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0" w:type="dxa"/>
            <w:vAlign w:val="bottom"/>
          </w:tcPr>
          <w:p>
            <w:pPr>
              <w:spacing w:after="0"/>
              <w:rPr>
                <w:sz w:val="1"/>
                <w:szCs w:val="1"/>
                <w:color w:val="auto"/>
              </w:rPr>
            </w:pPr>
          </w:p>
        </w:tc>
      </w:tr>
      <w:tr>
        <w:trPr>
          <w:trHeight w:val="200"/>
        </w:trPr>
        <w:tc>
          <w:tcPr>
            <w:tcW w:w="3100" w:type="dxa"/>
            <w:vAlign w:val="bottom"/>
            <w:tcBorders>
              <w:top w:val="single" w:sz="8" w:color="CFF0FC"/>
            </w:tcBorders>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vMerge w:val="restart"/>
          </w:tcPr>
          <w:p>
            <w:pPr>
              <w:spacing w:after="0"/>
              <w:rPr>
                <w:sz w:val="17"/>
                <w:szCs w:val="17"/>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7,353</w:t>
            </w:r>
          </w:p>
        </w:tc>
        <w:tc>
          <w:tcPr>
            <w:tcW w:w="100" w:type="dxa"/>
            <w:vAlign w:val="bottom"/>
            <w:tcBorders>
              <w:top w:val="single" w:sz="8" w:color="CFF0FC"/>
            </w:tcBorders>
            <w:vMerge w:val="restart"/>
          </w:tcPr>
          <w:p>
            <w:pPr>
              <w:spacing w:after="0"/>
              <w:rPr>
                <w:sz w:val="17"/>
                <w:szCs w:val="17"/>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(75,577)</w:t>
            </w:r>
          </w:p>
        </w:tc>
        <w:tc>
          <w:tcPr>
            <w:tcW w:w="120" w:type="dxa"/>
            <w:vAlign w:val="bottom"/>
            <w:tcBorders>
              <w:top w:val="single" w:sz="8" w:color="CFF0FC"/>
            </w:tcBorders>
            <w:vMerge w:val="restart"/>
          </w:tcPr>
          <w:p>
            <w:pPr>
              <w:spacing w:after="0"/>
              <w:rPr>
                <w:sz w:val="17"/>
                <w:szCs w:val="17"/>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(68,224)</w:t>
            </w:r>
          </w:p>
        </w:tc>
        <w:tc>
          <w:tcPr>
            <w:tcW w:w="12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vMerge w:val="restart"/>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(68,224)</w:t>
            </w:r>
          </w:p>
        </w:tc>
        <w:tc>
          <w:tcPr>
            <w:tcW w:w="0" w:type="dxa"/>
            <w:vAlign w:val="bottom"/>
          </w:tcPr>
          <w:p>
            <w:pPr>
              <w:spacing w:after="0"/>
              <w:rPr>
                <w:sz w:val="1"/>
                <w:szCs w:val="1"/>
                <w:color w:val="auto"/>
              </w:rPr>
            </w:pPr>
          </w:p>
        </w:tc>
      </w:tr>
      <w:tr>
        <w:trPr>
          <w:trHeight w:val="103"/>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1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0" w:type="dxa"/>
            <w:vAlign w:val="bottom"/>
          </w:tcPr>
          <w:p>
            <w:pPr>
              <w:spacing w:after="0"/>
              <w:rPr>
                <w:sz w:val="1"/>
                <w:szCs w:val="1"/>
                <w:color w:val="auto"/>
              </w:rPr>
            </w:pPr>
          </w:p>
        </w:tc>
      </w:tr>
      <w:tr>
        <w:trPr>
          <w:trHeight w:val="256"/>
        </w:trPr>
        <w:tc>
          <w:tcPr>
            <w:tcW w:w="3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42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Borders>
              <w:top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top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00" w:type="dxa"/>
            <w:vAlign w:val="bottom"/>
            <w:tcBorders>
              <w:top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(164,130)</w:t>
            </w:r>
          </w:p>
        </w:tc>
        <w:tc>
          <w:tcPr>
            <w:tcW w:w="100" w:type="dxa"/>
            <w:vAlign w:val="bottom"/>
            <w:tcBorders>
              <w:top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(733,054)</w:t>
            </w:r>
          </w:p>
        </w:tc>
        <w:tc>
          <w:tcPr>
            <w:tcW w:w="120" w:type="dxa"/>
            <w:vAlign w:val="bottom"/>
            <w:tcBorders>
              <w:top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730,966</w:t>
            </w:r>
          </w:p>
        </w:tc>
        <w:tc>
          <w:tcPr>
            <w:tcW w:w="120" w:type="dxa"/>
            <w:vAlign w:val="bottom"/>
            <w:tcBorders>
              <w:top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730,966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-2305685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-2305685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-2305685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-2305685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-2305685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-2305685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-2305685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955" cy="1708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-1041400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-1024255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-1041400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-1024255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-1041400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-1024255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-1041400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-1024255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-1041400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-1024255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-1041400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-1024255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-1041400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-1024255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-674370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-674370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-674370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-674370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-674370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-674370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-674370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-204470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-204470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-204470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-204470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-204470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-204470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-204470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type w:val="continuous"/>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for the period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45" w:lineRule="exact"/>
        <w:rPr>
          <w:sz w:val="20"/>
          <w:szCs w:val="20"/>
          <w:color w:val="auto"/>
        </w:rPr>
      </w:pPr>
    </w:p>
    <w:p>
      <w:pPr>
        <w:ind w:left="20" w:right="440"/>
        <w:spacing w:after="0" w:line="275" w:lineRule="auto"/>
        <w:rPr>
          <w:sz w:val="20"/>
          <w:szCs w:val="20"/>
          <w:color w:val="auto"/>
        </w:rPr>
      </w:pPr>
      <w:r>
        <w:rPr>
          <w:rFonts w:ascii="Times New Roman" w:cs="Times New Roman" w:eastAsia="Times New Roman" w:hAnsi="Times New Roman"/>
          <w:sz w:val="18"/>
          <w:szCs w:val="18"/>
          <w:b w:val="1"/>
          <w:bCs w:val="1"/>
          <w:color w:val="auto"/>
        </w:rPr>
        <w:t>Total comprehensive loss for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(86,719)</w:t>
            </w: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(86,719)</w:t>
            </w:r>
          </w:p>
        </w:tc>
      </w:tr>
      <w:tr>
        <w:trPr>
          <w:trHeight w:val="256"/>
        </w:trPr>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2"/>
                <w:szCs w:val="22"/>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2"/>
                <w:szCs w:val="22"/>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(100,872)</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(100,872)</w:t>
            </w:r>
          </w:p>
        </w:tc>
        <w:tc>
          <w:tcPr>
            <w:tcW w:w="120" w:type="dxa"/>
            <w:vAlign w:val="bottom"/>
          </w:tcPr>
          <w:p>
            <w:pPr>
              <w:spacing w:after="0"/>
              <w:rPr>
                <w:sz w:val="22"/>
                <w:szCs w:val="22"/>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(100,872)</w:t>
            </w:r>
          </w:p>
        </w:tc>
      </w:tr>
      <w:tr>
        <w:trPr>
          <w:trHeight w:val="27"/>
        </w:trPr>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3"/>
        </w:trPr>
        <w:tc>
          <w:tcPr>
            <w:tcW w:w="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24"/>
                <w:szCs w:val="24"/>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24"/>
                <w:szCs w:val="24"/>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(100,872)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(86,719)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(187,591)</w:t>
            </w:r>
          </w:p>
        </w:tc>
        <w:tc>
          <w:tcPr>
            <w:tcW w:w="120" w:type="dxa"/>
            <w:vAlign w:val="bottom"/>
          </w:tcPr>
          <w:p>
            <w:pPr>
              <w:spacing w:after="0"/>
              <w:rPr>
                <w:sz w:val="24"/>
                <w:szCs w:val="24"/>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(187,591)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-196215</wp:posOffset>
            </wp:positionV>
            <wp:extent cx="7132955" cy="290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29019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920" w:space="720"/>
            <w:col w:w="7600"/>
          </w:cols>
          <w:pgMar w:left="320" w:top="992"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 of shares</w:t>
            </w:r>
          </w:p>
        </w:tc>
        <w:tc>
          <w:tcPr>
            <w:tcW w:w="10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9"/>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42"/>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0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(265,002)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(817,351)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545,797</w:t>
            </w:r>
          </w:p>
        </w:tc>
        <w:tc>
          <w:tcPr>
            <w:tcW w:w="12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545,797</w:t>
            </w:r>
          </w:p>
        </w:tc>
      </w:tr>
      <w:tr>
        <w:trPr>
          <w:trHeight w:val="20"/>
        </w:trPr>
        <w:tc>
          <w:tcPr>
            <w:tcW w:w="2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-187325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-187325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-187325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-187325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-187325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-187325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6513830</wp:posOffset>
            </wp:positionH>
            <wp:positionV relativeFrom="paragraph">
              <wp:posOffset>-187325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type w:val="continuous"/>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34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8"/>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80" w:type="dxa"/>
            <w:vAlign w:val="bottom"/>
            <w:gridSpan w:val="2"/>
            <w:vMerge w:val="continue"/>
          </w:tcPr>
          <w:p>
            <w:pPr>
              <w:spacing w:after="0"/>
              <w:rPr>
                <w:sz w:val="14"/>
                <w:szCs w:val="14"/>
                <w:color w:val="auto"/>
              </w:rPr>
            </w:pPr>
          </w:p>
        </w:tc>
        <w:tc>
          <w:tcPr>
            <w:tcW w:w="152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(76,285 )</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(162,296 )</w:t>
            </w:r>
          </w:p>
        </w:tc>
        <w:tc>
          <w:tcPr>
            <w:tcW w:w="0" w:type="dxa"/>
            <w:vAlign w:val="bottom"/>
          </w:tcPr>
          <w:p>
            <w:pPr>
              <w:spacing w:after="0"/>
              <w:rPr>
                <w:sz w:val="1"/>
                <w:szCs w:val="1"/>
                <w:color w:val="auto"/>
              </w:rPr>
            </w:pPr>
          </w:p>
        </w:tc>
      </w:tr>
      <w:tr>
        <w:trPr>
          <w:trHeight w:val="24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of property, plant and equipment and right-of-use assets and</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9,10,11</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1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71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14</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loss/(gain) on trade receivables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15</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46"/>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—Movements in provisions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20</w:t>
            </w:r>
          </w:p>
        </w:tc>
        <w:tc>
          <w:tcPr>
            <w:tcW w:w="14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(35,507 )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related to discontinued construction of production facilities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10</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0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(815 )</w:t>
            </w:r>
          </w:p>
        </w:tc>
        <w:tc>
          <w:tcPr>
            <w:tcW w:w="0" w:type="dxa"/>
            <w:vAlign w:val="bottom"/>
          </w:tcPr>
          <w:p>
            <w:pPr>
              <w:spacing w:after="0"/>
              <w:rPr>
                <w:sz w:val="1"/>
                <w:szCs w:val="1"/>
                <w:color w:val="auto"/>
              </w:rPr>
            </w:pPr>
          </w:p>
        </w:tc>
      </w:tr>
      <w:tr>
        <w:trPr>
          <w:trHeight w:val="23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received</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(13,002 )</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(7,657 )</w:t>
            </w:r>
          </w:p>
        </w:tc>
        <w:tc>
          <w:tcPr>
            <w:tcW w:w="0" w:type="dxa"/>
            <w:vAlign w:val="bottom"/>
          </w:tcPr>
          <w:p>
            <w:pPr>
              <w:spacing w:after="0"/>
              <w:rPr>
                <w:sz w:val="1"/>
                <w:szCs w:val="1"/>
                <w:color w:val="auto"/>
              </w:rPr>
            </w:pPr>
          </w:p>
        </w:tc>
      </w:tr>
      <w:tr>
        <w:trPr>
          <w:trHeight w:val="23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paid</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(3,767 )</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(12,191 )</w:t>
            </w:r>
          </w:p>
        </w:tc>
        <w:tc>
          <w:tcPr>
            <w:tcW w:w="0" w:type="dxa"/>
            <w:vAlign w:val="bottom"/>
          </w:tcPr>
          <w:p>
            <w:pPr>
              <w:spacing w:after="0"/>
              <w:rPr>
                <w:sz w:val="1"/>
                <w:szCs w:val="1"/>
                <w:color w:val="auto"/>
              </w:rPr>
            </w:pPr>
          </w:p>
        </w:tc>
      </w:tr>
      <w:tr>
        <w:trPr>
          <w:trHeight w:val="24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—(Increase)/decrease in inventories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14</w:t>
            </w:r>
          </w:p>
        </w:tc>
        <w:tc>
          <w:tcPr>
            <w:tcW w:w="14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(14,151 )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—Decrease/(increase) in trade receivables, other current receivables, prepaid expenses</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15,16</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2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(1,934 )</w:t>
            </w:r>
          </w:p>
        </w:tc>
        <w:tc>
          <w:tcPr>
            <w:tcW w:w="0" w:type="dxa"/>
            <w:vAlign w:val="bottom"/>
          </w:tcPr>
          <w:p>
            <w:pPr>
              <w:spacing w:after="0"/>
              <w:rPr>
                <w:sz w:val="1"/>
                <w:szCs w:val="1"/>
                <w:color w:val="auto"/>
              </w:rPr>
            </w:pPr>
          </w:p>
        </w:tc>
      </w:tr>
      <w:tr>
        <w:trPr>
          <w:trHeight w:val="238"/>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—(Decrease)/increase in trade payables, other current liabilities, accrued expenses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22</w:t>
            </w:r>
          </w:p>
        </w:tc>
        <w:tc>
          <w:tcPr>
            <w:tcW w:w="14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(9,786 )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(86,013 )</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(113,090 )</w:t>
            </w:r>
          </w:p>
        </w:tc>
        <w:tc>
          <w:tcPr>
            <w:tcW w:w="0" w:type="dxa"/>
            <w:vAlign w:val="bottom"/>
          </w:tcPr>
          <w:p>
            <w:pPr>
              <w:spacing w:after="0"/>
              <w:rPr>
                <w:sz w:val="1"/>
                <w:szCs w:val="1"/>
                <w:color w:val="auto"/>
              </w:rPr>
            </w:pPr>
          </w:p>
        </w:tc>
      </w:tr>
      <w:tr>
        <w:trPr>
          <w:trHeight w:val="236"/>
        </w:trPr>
        <w:tc>
          <w:tcPr>
            <w:tcW w:w="7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(773 )</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(1,569 )</w:t>
            </w:r>
          </w:p>
        </w:tc>
        <w:tc>
          <w:tcPr>
            <w:tcW w:w="0" w:type="dxa"/>
            <w:vAlign w:val="bottom"/>
          </w:tcPr>
          <w:p>
            <w:pPr>
              <w:spacing w:after="0"/>
              <w:rPr>
                <w:sz w:val="1"/>
                <w:szCs w:val="1"/>
                <w:color w:val="auto"/>
              </w:rPr>
            </w:pPr>
          </w:p>
        </w:tc>
      </w:tr>
      <w:tr>
        <w:trPr>
          <w:trHeight w:val="23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10</w:t>
            </w:r>
          </w:p>
        </w:tc>
        <w:tc>
          <w:tcPr>
            <w:tcW w:w="14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(19,647 )</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(39,465 )</w:t>
            </w:r>
          </w:p>
        </w:tc>
        <w:tc>
          <w:tcPr>
            <w:tcW w:w="0" w:type="dxa"/>
            <w:vAlign w:val="bottom"/>
          </w:tcPr>
          <w:p>
            <w:pPr>
              <w:spacing w:after="0"/>
              <w:rPr>
                <w:sz w:val="1"/>
                <w:szCs w:val="1"/>
                <w:color w:val="auto"/>
              </w:rPr>
            </w:pPr>
          </w:p>
        </w:tc>
      </w:tr>
      <w:tr>
        <w:trPr>
          <w:trHeight w:val="24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financial assets</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12</w:t>
            </w: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(1,651 )</w:t>
            </w:r>
          </w:p>
        </w:tc>
        <w:tc>
          <w:tcPr>
            <w:tcW w:w="0" w:type="dxa"/>
            <w:vAlign w:val="bottom"/>
          </w:tcPr>
          <w:p>
            <w:pPr>
              <w:spacing w:after="0"/>
              <w:rPr>
                <w:sz w:val="1"/>
                <w:szCs w:val="1"/>
                <w:color w:val="auto"/>
              </w:rPr>
            </w:pPr>
          </w:p>
        </w:tc>
      </w:tr>
      <w:tr>
        <w:trPr>
          <w:trHeight w:val="23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20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assets held for sale</w:t>
            </w: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from investing activities</w:t>
            </w:r>
          </w:p>
        </w:tc>
        <w:tc>
          <w:tcPr>
            <w:tcW w:w="6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2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13,21</w:t>
            </w: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liabilities to credit institutions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19</w:t>
            </w:r>
          </w:p>
        </w:tc>
        <w:tc>
          <w:tcPr>
            <w:tcW w:w="1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19</w:t>
            </w: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(1,360 )</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(97,680 )</w:t>
            </w:r>
          </w:p>
        </w:tc>
        <w:tc>
          <w:tcPr>
            <w:tcW w:w="0" w:type="dxa"/>
            <w:vAlign w:val="bottom"/>
          </w:tcPr>
          <w:p>
            <w:pPr>
              <w:spacing w:after="0"/>
              <w:rPr>
                <w:sz w:val="1"/>
                <w:szCs w:val="1"/>
                <w:color w:val="auto"/>
              </w:rPr>
            </w:pPr>
          </w:p>
        </w:tc>
      </w:tr>
      <w:tr>
        <w:trPr>
          <w:trHeight w:val="23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(4,965 )</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(31,815 )</w:t>
            </w:r>
          </w:p>
        </w:tc>
        <w:tc>
          <w:tcPr>
            <w:tcW w:w="0" w:type="dxa"/>
            <w:vAlign w:val="bottom"/>
          </w:tcPr>
          <w:p>
            <w:pPr>
              <w:spacing w:after="0"/>
              <w:rPr>
                <w:sz w:val="1"/>
                <w:szCs w:val="1"/>
                <w:color w:val="auto"/>
              </w:rPr>
            </w:pPr>
          </w:p>
        </w:tc>
      </w:tr>
      <w:tr>
        <w:trPr>
          <w:trHeight w:val="242"/>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(13,888 )</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(5,102 )</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in)/from financing activities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(20,213 )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(105,368 )</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255,532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6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200" w:type="dxa"/>
            <w:vAlign w:val="bottom"/>
            <w:tcBorders>
              <w:top w:val="single" w:sz="8" w:color="CFF0FC"/>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82,644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(1,203 )</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64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140" w:type="dxa"/>
            <w:vAlign w:val="bottom"/>
            <w:tcBorders>
              <w:top w:val="single" w:sz="8" w:color="CFF0FC"/>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142,728</w:t>
            </w:r>
          </w:p>
        </w:tc>
        <w:tc>
          <w:tcPr>
            <w:tcW w:w="200" w:type="dxa"/>
            <w:vAlign w:val="bottom"/>
            <w:tcBorders>
              <w:top w:val="single" w:sz="8" w:color="CFF0FC"/>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340,730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5975985</wp:posOffset>
            </wp:positionH>
            <wp:positionV relativeFrom="paragraph">
              <wp:posOffset>-3006090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-3006090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-1758950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-1758950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-828040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-828040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-503555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-503555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-187325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Corporate information</w:t>
      </w:r>
    </w:p>
    <w:p>
      <w:pPr>
        <w:spacing w:after="0" w:line="227"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Oatly Group AB (the “Company” or the “parent”) is a public limited company incorporated and domiciled in Sweden. The Company’s registered office is located at Ångfärjekajen 8, Malmö, Sweden.</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Oatly Group AB and its subsidiaries (together, the “Group”) manufacture, distribute and sell oat-based products.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accounting policies</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of Oatly Group AB for the three and six months ended June 30, 2024 and 2023 have been prepared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 Group has prepared the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 and corresponding interim reporting period.</w:t>
      </w:r>
    </w:p>
    <w:p>
      <w:pPr>
        <w:spacing w:after="0" w:line="18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interim financial information reflects all normal recurring adjustments that are, in the opinion of management, necessary to fairly present the information set forth herein. The interim condensed consolidated financial statements should be read in conjunction with the Group’s consolidated financial statements for the year ended December 31, 2023, as they do not include all the information and disclosures required in the annual consolidated financial statements. Interim results are not necessarily indicative of the results for a full year. The interim condensed consolidated financial statements are presented in thousands of U.S. dollars, unless otherwise stated.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judgments, estimates and assessments</w:t>
      </w:r>
    </w:p>
    <w:p>
      <w:pPr>
        <w:spacing w:after="0" w:line="22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In preparing these interim condensed consolidated financial statements, the significant judgments made by management in applying the Group’s accounting policies and the key sources of estimation and uncertainty were the same as those applied to the consolidated financial statements for the year ended December 31, 2023.</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Estimates and judgments are continually evaluated and are based on historical experience and other factors, including expectation of future events.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Seasonality</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To date, the Group has not experienced pronounced seasonality, but such fluctuations may have been masked by the Group’s historical growth and macroeconomic trends, including higher inflation. As the Group continues to grow, including the relative size of its markets, the Group expects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Greater China compared to other quarterly periods.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227"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Effective as of January 1, 2024, the Company made changes to how it makes strategic decisions and allocates resources among its operating segments. As part of this change, the Greater China business is managed separately from the rest of the Asia business, forming its own operating segment. The rest of the Asia business, including the Singapore manufacturing facility, is managed together with the EMEA business, which is now identified as Europe &amp; International. Following these changes, the new operating segments are:</w:t>
      </w:r>
    </w:p>
    <w:p>
      <w:pPr>
        <w:spacing w:after="0" w:line="75" w:lineRule="exact"/>
        <w:rPr>
          <w:sz w:val="20"/>
          <w:szCs w:val="20"/>
          <w:color w:val="auto"/>
        </w:rPr>
      </w:pPr>
    </w:p>
    <w:p>
      <w:pPr>
        <w:ind w:left="1020" w:hanging="504"/>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&amp; International, which is inclusive of Europe, Middle East and Africa, Asia Pacific and Latin America;</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which is inclusive of the United States and Canada;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which is inclusive of Mainland China, Hong Kong and Taiwan.</w:t>
      </w:r>
    </w:p>
    <w:p>
      <w:pPr>
        <w:spacing w:after="0" w:line="223" w:lineRule="exact"/>
        <w:rPr>
          <w:sz w:val="20"/>
          <w:szCs w:val="20"/>
          <w:color w:val="auto"/>
        </w:rPr>
      </w:pPr>
    </w:p>
    <w:p>
      <w:pPr>
        <w:ind w:firstLine="449"/>
        <w:spacing w:after="0" w:line="260" w:lineRule="auto"/>
        <w:rPr>
          <w:sz w:val="20"/>
          <w:szCs w:val="20"/>
          <w:color w:val="auto"/>
        </w:rPr>
      </w:pPr>
      <w:r>
        <w:rPr>
          <w:rFonts w:ascii="Times New Roman" w:cs="Times New Roman" w:eastAsia="Times New Roman" w:hAnsi="Times New Roman"/>
          <w:sz w:val="18"/>
          <w:szCs w:val="18"/>
          <w:color w:val="auto"/>
        </w:rPr>
        <w:t>In addition to the above-described changes, a majority of the research and development expenses, previously part of corporate overhead, are now allocated to the operating segments to align with how resources are being allocated and monitored as of January 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Segment information for the three and six months ended June 30, 2023 presented below has been updated to reflect the above-described changes.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 Revenue, Adjusted EBITDA and EBITDA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 Adjusted EBITDA and EBITDA</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(1,814 )</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107,355</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67,819</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28,835</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(1,814 )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12,638</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(428 )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(24,373 )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(10,997 )</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(501 )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(232 )</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(479 )</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(2,967 )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(4,179 )</w:t>
            </w: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20"/>
              <w:spacing w:after="0" w:line="244"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4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(855 )</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(769 )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(1,470 )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(3,214 )</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Discontinued construction of production</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66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24"/>
                <w:szCs w:val="24"/>
                <w:color w:val="auto"/>
                <w:vertAlign w:val="superscript"/>
              </w:rPr>
              <w:t>(2)</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(2,923 )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(2,646 )</w:t>
            </w:r>
          </w:p>
        </w:tc>
        <w:tc>
          <w:tcPr>
            <w:tcW w:w="0" w:type="dxa"/>
            <w:vAlign w:val="bottom"/>
          </w:tcPr>
          <w:p>
            <w:pPr>
              <w:spacing w:after="0"/>
              <w:rPr>
                <w:sz w:val="1"/>
                <w:szCs w:val="1"/>
                <w:color w:val="auto"/>
              </w:rPr>
            </w:pPr>
          </w:p>
        </w:tc>
      </w:tr>
      <w:tr>
        <w:trPr>
          <w:trHeight w:val="242"/>
        </w:trPr>
        <w:tc>
          <w:tcPr>
            <w:tcW w:w="366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(5,677 )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(5,677 )</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8,359</w:t>
            </w: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(5,235 )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(2,435 )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(27,460 )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(26,771 )</w:t>
            </w: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(12,308 )</w:t>
            </w: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(28,690 )</w:t>
            </w:r>
          </w:p>
        </w:tc>
        <w:tc>
          <w:tcPr>
            <w:tcW w:w="0" w:type="dxa"/>
            <w:vAlign w:val="bottom"/>
          </w:tcPr>
          <w:p>
            <w:pPr>
              <w:spacing w:after="0"/>
              <w:rPr>
                <w:sz w:val="1"/>
                <w:szCs w:val="1"/>
                <w:color w:val="auto"/>
              </w:rPr>
            </w:pPr>
          </w:p>
        </w:tc>
      </w:tr>
      <w:tr>
        <w:trPr>
          <w:trHeight w:val="37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0" w:type="dxa"/>
            <w:vAlign w:val="bottom"/>
          </w:tcPr>
          <w:p>
            <w:pPr>
              <w:spacing w:after="0"/>
              <w:rPr>
                <w:sz w:val="24"/>
                <w:szCs w:val="24"/>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98,768</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61,832</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(9,189 )</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107,835</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61,832</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35,509</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(9,189 )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(10,880 )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(18,577 )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(24,305 )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(52,468 )</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(808 )</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(1,391 )</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(2,422 )</w:t>
            </w: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20"/>
              <w:spacing w:after="0" w:line="244"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4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(26 )</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(2,407 )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(5,429 )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(7,972 )</w:t>
            </w:r>
          </w:p>
        </w:tc>
        <w:tc>
          <w:tcPr>
            <w:tcW w:w="0" w:type="dxa"/>
            <w:vAlign w:val="bottom"/>
          </w:tcPr>
          <w:p>
            <w:pPr>
              <w:spacing w:after="0"/>
              <w:rPr>
                <w:sz w:val="1"/>
                <w:szCs w:val="1"/>
                <w:color w:val="auto"/>
              </w:rPr>
            </w:pPr>
          </w:p>
        </w:tc>
      </w:tr>
      <w:tr>
        <w:trPr>
          <w:trHeight w:val="242"/>
        </w:trPr>
        <w:tc>
          <w:tcPr>
            <w:tcW w:w="366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4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1,194</w:t>
            </w: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(14,249 )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(20,078 )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(29,883 )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(63,016 )</w:t>
            </w: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(11,512 )</w:t>
            </w:r>
          </w:p>
        </w:tc>
        <w:tc>
          <w:tcPr>
            <w:tcW w:w="0" w:type="dxa"/>
            <w:vAlign w:val="bottom"/>
          </w:tcPr>
          <w:p>
            <w:pPr>
              <w:spacing w:after="0"/>
              <w:rPr>
                <w:sz w:val="1"/>
                <w:szCs w:val="1"/>
                <w:color w:val="auto"/>
              </w:rPr>
            </w:pPr>
          </w:p>
        </w:tc>
      </w:tr>
      <w:tr>
        <w:trPr>
          <w:trHeight w:val="24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(12,464 )</w:t>
            </w: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(86,992 )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(3,778 )</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219,726</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134,786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50,616</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(3,778 )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27,134</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(3,856 )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(48,257 )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(24,201 )</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(879 )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(1,179 )</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(5,763 )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(6,794 )</w:t>
            </w: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20"/>
              <w:spacing w:after="0" w:line="244"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4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(855 )</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(769 )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(1,940 )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(3,635 )</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Discontinued construction of production</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66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24"/>
                <w:szCs w:val="24"/>
                <w:color w:val="auto"/>
                <w:vertAlign w:val="superscript"/>
              </w:rPr>
              <w:t>(2)</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(2,923 )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(1,762 )</w:t>
            </w:r>
          </w:p>
        </w:tc>
        <w:tc>
          <w:tcPr>
            <w:tcW w:w="0" w:type="dxa"/>
            <w:vAlign w:val="bottom"/>
          </w:tcPr>
          <w:p>
            <w:pPr>
              <w:spacing w:after="0"/>
              <w:rPr>
                <w:sz w:val="1"/>
                <w:szCs w:val="1"/>
                <w:color w:val="auto"/>
              </w:rPr>
            </w:pPr>
          </w:p>
        </w:tc>
      </w:tr>
      <w:tr>
        <w:trPr>
          <w:trHeight w:val="242"/>
        </w:trPr>
        <w:tc>
          <w:tcPr>
            <w:tcW w:w="366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(5,677 )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(5,677 )</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22,477</w:t>
            </w: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(3,480 )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(7,077 )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(54,091 )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(42,171 )</w:t>
            </w: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(6,988 )</w:t>
            </w:r>
          </w:p>
        </w:tc>
        <w:tc>
          <w:tcPr>
            <w:tcW w:w="0" w:type="dxa"/>
            <w:vAlign w:val="bottom"/>
          </w:tcPr>
          <w:p>
            <w:pPr>
              <w:spacing w:after="0"/>
              <w:rPr>
                <w:sz w:val="1"/>
                <w:szCs w:val="1"/>
                <w:color w:val="auto"/>
              </w:rPr>
            </w:pPr>
          </w:p>
        </w:tc>
      </w:tr>
      <w:tr>
        <w:trPr>
          <w:trHeight w:val="24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(25,321 )</w:t>
            </w: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(74,480 )</w:t>
            </w:r>
          </w:p>
        </w:tc>
        <w:tc>
          <w:tcPr>
            <w:tcW w:w="0" w:type="dxa"/>
            <w:vAlign w:val="bottom"/>
          </w:tcPr>
          <w:p>
            <w:pPr>
              <w:spacing w:after="0"/>
              <w:rPr>
                <w:sz w:val="1"/>
                <w:szCs w:val="1"/>
                <w:color w:val="auto"/>
              </w:rPr>
            </w:pPr>
          </w:p>
        </w:tc>
      </w:tr>
      <w:tr>
        <w:trPr>
          <w:trHeight w:val="37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20" w:type="dxa"/>
            <w:vAlign w:val="bottom"/>
          </w:tcPr>
          <w:p>
            <w:pPr>
              <w:spacing w:after="0"/>
              <w:rPr>
                <w:sz w:val="24"/>
                <w:szCs w:val="24"/>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199,264</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125,873</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66,495</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(19,673 )</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218,815</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125,873</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66,617</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(19,673 )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8,491</w:t>
            </w: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(21,186 )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(35,906 )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(53,740 )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(102,341 )</w:t>
            </w: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(1,119 )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(1,852 )</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(2,779 )</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(4,719 )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(10,469 )</w:t>
            </w: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ind w:left="20"/>
              <w:spacing w:after="0" w:line="244"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4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(1,034 )</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(2,594 )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(5,429 )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(9,167 )</w:t>
            </w:r>
          </w:p>
        </w:tc>
        <w:tc>
          <w:tcPr>
            <w:tcW w:w="0" w:type="dxa"/>
            <w:vAlign w:val="bottom"/>
          </w:tcPr>
          <w:p>
            <w:pPr>
              <w:spacing w:after="0"/>
              <w:rPr>
                <w:sz w:val="1"/>
                <w:szCs w:val="1"/>
                <w:color w:val="auto"/>
              </w:rPr>
            </w:pPr>
          </w:p>
        </w:tc>
      </w:tr>
      <w:tr>
        <w:trPr>
          <w:trHeight w:val="242"/>
        </w:trPr>
        <w:tc>
          <w:tcPr>
            <w:tcW w:w="366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(375 )</w:t>
            </w:r>
          </w:p>
        </w:tc>
        <w:tc>
          <w:tcPr>
            <w:tcW w:w="0" w:type="dxa"/>
            <w:vAlign w:val="bottom"/>
          </w:tcPr>
          <w:p>
            <w:pPr>
              <w:spacing w:after="0"/>
              <w:rPr>
                <w:sz w:val="1"/>
                <w:szCs w:val="1"/>
                <w:color w:val="auto"/>
              </w:rPr>
            </w:pPr>
          </w:p>
        </w:tc>
      </w:tr>
      <w:tr>
        <w:trPr>
          <w:trHeight w:val="24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6,338</w:t>
            </w: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(26,007 )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(38,795 )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(63,888 )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(122,352 )</w:t>
            </w: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(13,508 )</w:t>
            </w:r>
          </w:p>
        </w:tc>
        <w:tc>
          <w:tcPr>
            <w:tcW w:w="0" w:type="dxa"/>
            <w:vAlign w:val="bottom"/>
          </w:tcPr>
          <w:p>
            <w:pPr>
              <w:spacing w:after="0"/>
              <w:rPr>
                <w:sz w:val="1"/>
                <w:szCs w:val="1"/>
                <w:color w:val="auto"/>
              </w:rPr>
            </w:pPr>
          </w:p>
        </w:tc>
      </w:tr>
      <w:tr>
        <w:trPr>
          <w:trHeight w:val="24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(24,697 )</w:t>
            </w:r>
          </w:p>
        </w:tc>
        <w:tc>
          <w:tcPr>
            <w:tcW w:w="0" w:type="dxa"/>
            <w:vAlign w:val="bottom"/>
          </w:tcPr>
          <w:p>
            <w:pPr>
              <w:spacing w:after="0"/>
              <w:rPr>
                <w:sz w:val="1"/>
                <w:szCs w:val="1"/>
                <w:color w:val="auto"/>
              </w:rPr>
            </w:pPr>
          </w:p>
        </w:tc>
      </w:tr>
      <w:tr>
        <w:trPr>
          <w:trHeight w:val="238"/>
        </w:trPr>
        <w:tc>
          <w:tcPr>
            <w:tcW w:w="3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(160,557 )</w:t>
            </w:r>
          </w:p>
        </w:tc>
        <w:tc>
          <w:tcPr>
            <w:tcW w:w="0" w:type="dxa"/>
            <w:vAlign w:val="bottom"/>
          </w:tcPr>
          <w:p>
            <w:pPr>
              <w:spacing w:after="0"/>
              <w:rPr>
                <w:sz w:val="1"/>
                <w:szCs w:val="1"/>
                <w:color w:val="auto"/>
              </w:rPr>
            </w:pPr>
          </w:p>
        </w:tc>
      </w:tr>
    </w:tbl>
    <w:p>
      <w:pPr>
        <w:ind w:left="300" w:hanging="292"/>
        <w:spacing w:after="0"/>
        <w:tabs>
          <w:tab w:leader="none" w:pos="3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overhead costs not allocated to the segments.</w:t>
      </w:r>
    </w:p>
    <w:p>
      <w:pPr>
        <w:spacing w:after="0" w:line="16"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2024 and 2023 primarily refer to intersegment revenue for sales of products from Europe &amp; International to Greater China.</w:t>
      </w:r>
    </w:p>
    <w:p>
      <w:pPr>
        <w:spacing w:after="0" w:line="1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Relates primarily to severance payments as the Group continues to adjust its organizational structure to the macro environment.</w:t>
      </w:r>
    </w:p>
    <w:p>
      <w:pPr>
        <w:spacing w:after="0" w:line="17" w:lineRule="exact"/>
        <w:rPr>
          <w:rFonts w:ascii="Times New Roman" w:cs="Times New Roman" w:eastAsia="Times New Roman" w:hAnsi="Times New Roman"/>
          <w:sz w:val="16"/>
          <w:szCs w:val="16"/>
          <w:color w:val="auto"/>
        </w:rPr>
      </w:pPr>
    </w:p>
    <w:p>
      <w:pPr>
        <w:ind w:right="520"/>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Relates primarily to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Peterborough, UK, and reversal of previously recognized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Dallas-Fort Worth, Texas.</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Expenses related to a new product launch issue.</w:t>
      </w:r>
    </w:p>
    <w:p>
      <w:pPr>
        <w:spacing w:after="0" w:line="11" w:lineRule="exact"/>
        <w:rPr>
          <w:rFonts w:ascii="Times New Roman" w:cs="Times New Roman" w:eastAsia="Times New Roman" w:hAnsi="Times New Roman"/>
          <w:sz w:val="16"/>
          <w:szCs w:val="16"/>
          <w:color w:val="auto"/>
        </w:rPr>
      </w:pPr>
    </w:p>
    <w:p>
      <w:pPr>
        <w:ind w:right="44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(4) Relates to the Ya YA Foods USA LLC transaction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YYF Transaction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See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Forms 6-K filed on January 3, 2023 and March 2, 2023 for further details.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i w:val="1"/>
          <w:iCs w:val="1"/>
          <w:color w:val="auto"/>
        </w:rPr>
        <w:t>Non-current assets by country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Non-current assets for this purpose consist of property, plant and equipment and right-of-use assets.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6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125,554</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123,542</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120,864</w:t>
            </w: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95,985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102,883</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29,218</w:t>
            </w: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26,115</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44,413</w:t>
            </w:r>
          </w:p>
        </w:tc>
        <w:tc>
          <w:tcPr>
            <w:tcW w:w="100" w:type="dxa"/>
            <w:vAlign w:val="bottom"/>
          </w:tcPr>
          <w:p>
            <w:pPr>
              <w:spacing w:after="0"/>
              <w:rPr>
                <w:sz w:val="20"/>
                <w:szCs w:val="20"/>
                <w:color w:val="auto"/>
              </w:rPr>
            </w:pPr>
          </w:p>
        </w:tc>
      </w:tr>
      <w:tr>
        <w:trPr>
          <w:trHeight w:val="242"/>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399,500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448,679</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-187325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5.3 Revenue from external customers, broken down by location of the customers</w:t>
      </w:r>
    </w:p>
    <w:p>
      <w:pPr>
        <w:spacing w:after="0" w:line="227" w:lineRule="exact"/>
        <w:rPr>
          <w:sz w:val="20"/>
          <w:szCs w:val="20"/>
          <w:color w:val="auto"/>
        </w:rPr>
      </w:pPr>
    </w:p>
    <w:p>
      <w:pPr>
        <w:ind w:firstLine="449"/>
        <w:spacing w:after="0" w:line="280" w:lineRule="auto"/>
        <w:rPr>
          <w:sz w:val="20"/>
          <w:szCs w:val="20"/>
          <w:color w:val="auto"/>
        </w:rPr>
      </w:pPr>
      <w:r>
        <w:rPr>
          <w:rFonts w:ascii="Times New Roman" w:cs="Times New Roman" w:eastAsia="Times New Roman" w:hAnsi="Times New Roman"/>
          <w:sz w:val="18"/>
          <w:szCs w:val="18"/>
          <w:color w:val="auto"/>
        </w:rPr>
        <w:t>The Group is domiciled in Sweden. The amount of its revenue from external customers, broken down by location of the customers, is shown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58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6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8"/>
        </w:trPr>
        <w:tc>
          <w:tcPr>
            <w:tcW w:w="58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61,049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132,482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124,262</w:t>
            </w:r>
          </w:p>
        </w:tc>
        <w:tc>
          <w:tcPr>
            <w:tcW w:w="10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66,447</w:t>
            </w:r>
          </w:p>
        </w:tc>
        <w:tc>
          <w:tcPr>
            <w:tcW w:w="100" w:type="dxa"/>
            <w:vAlign w:val="bottom"/>
          </w:tcPr>
          <w:p>
            <w:pPr>
              <w:spacing w:after="0"/>
              <w:rPr>
                <w:sz w:val="20"/>
                <w:szCs w:val="20"/>
                <w:color w:val="auto"/>
              </w:rPr>
            </w:pP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59,139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50,622</w:t>
            </w: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50,053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62,561</w:t>
            </w:r>
          </w:p>
        </w:tc>
        <w:tc>
          <w:tcPr>
            <w:tcW w:w="100" w:type="dxa"/>
            <w:vAlign w:val="bottom"/>
          </w:tcPr>
          <w:p>
            <w:pPr>
              <w:spacing w:after="0"/>
              <w:rPr>
                <w:sz w:val="20"/>
                <w:szCs w:val="20"/>
                <w:color w:val="auto"/>
              </w:rPr>
            </w:pP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23,944</w:t>
            </w: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tcPr>
          <w:p>
            <w:pPr>
              <w:spacing w:after="0"/>
              <w:rPr>
                <w:sz w:val="20"/>
                <w:szCs w:val="20"/>
                <w:color w:val="auto"/>
              </w:rPr>
            </w:pP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23,544</w:t>
            </w: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19,511</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38,752</w:t>
            </w:r>
          </w:p>
        </w:tc>
        <w:tc>
          <w:tcPr>
            <w:tcW w:w="100" w:type="dxa"/>
            <w:vAlign w:val="bottom"/>
          </w:tcPr>
          <w:p>
            <w:pPr>
              <w:spacing w:after="0"/>
              <w:rPr>
                <w:sz w:val="20"/>
                <w:szCs w:val="20"/>
                <w:color w:val="auto"/>
              </w:rPr>
            </w:pPr>
          </w:p>
        </w:tc>
      </w:tr>
      <w:tr>
        <w:trPr>
          <w:trHeight w:val="278"/>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195,987</w:t>
            </w:r>
          </w:p>
        </w:tc>
        <w:tc>
          <w:tcPr>
            <w:tcW w:w="2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391,632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-24765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 Revenue from external customers, broken down by channel and segment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external customers, broken down by channel and segment, is shown in the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Pr>
          <w:p>
            <w:pPr>
              <w:spacing w:after="0"/>
              <w:rPr>
                <w:sz w:val="16"/>
                <w:szCs w:val="16"/>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300" w:type="dxa"/>
            <w:vAlign w:val="bottom"/>
          </w:tcPr>
          <w:p>
            <w:pPr>
              <w:spacing w:after="0"/>
              <w:rPr>
                <w:sz w:val="16"/>
                <w:szCs w:val="16"/>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80" w:type="dxa"/>
            <w:vAlign w:val="bottom"/>
          </w:tcPr>
          <w:p>
            <w:pPr>
              <w:spacing w:after="0"/>
              <w:rPr>
                <w:sz w:val="16"/>
                <w:szCs w:val="16"/>
                <w:color w:val="auto"/>
              </w:rPr>
            </w:pPr>
          </w:p>
        </w:tc>
        <w:tc>
          <w:tcPr>
            <w:tcW w:w="15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84,669</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35,002</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122,302</w:t>
            </w:r>
          </w:p>
        </w:tc>
        <w:tc>
          <w:tcPr>
            <w:tcW w:w="100" w:type="dxa"/>
            <w:vAlign w:val="bottom"/>
            <w:shd w:val="clear" w:color="auto" w:fill="CFF0FC"/>
          </w:tcPr>
          <w:p>
            <w:pPr>
              <w:spacing w:after="0"/>
              <w:rPr>
                <w:sz w:val="20"/>
                <w:szCs w:val="20"/>
                <w:color w:val="auto"/>
              </w:rPr>
            </w:pPr>
          </w:p>
        </w:tc>
      </w:tr>
      <w:tr>
        <w:trPr>
          <w:trHeight w:val="24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Foodservice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31,173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71,917</w:t>
            </w:r>
          </w:p>
        </w:tc>
        <w:tc>
          <w:tcPr>
            <w:tcW w:w="100" w:type="dxa"/>
            <w:vAlign w:val="bottom"/>
          </w:tcPr>
          <w:p>
            <w:pPr>
              <w:spacing w:after="0"/>
              <w:rPr>
                <w:sz w:val="20"/>
                <w:szCs w:val="20"/>
                <w:color w:val="auto"/>
              </w:rPr>
            </w:pPr>
          </w:p>
        </w:tc>
      </w:tr>
      <w:tr>
        <w:trPr>
          <w:trHeight w:val="242"/>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2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105,541</w:t>
            </w:r>
          </w:p>
        </w:tc>
        <w:tc>
          <w:tcPr>
            <w:tcW w:w="3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67,819</w:t>
            </w:r>
          </w:p>
        </w:tc>
        <w:tc>
          <w:tcPr>
            <w:tcW w:w="26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28,835</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10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6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30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60" w:type="dxa"/>
            <w:vAlign w:val="bottom"/>
          </w:tcPr>
          <w:p>
            <w:pPr>
              <w:spacing w:after="0"/>
              <w:rPr>
                <w:sz w:val="24"/>
                <w:szCs w:val="24"/>
                <w:color w:val="auto"/>
              </w:rPr>
            </w:pPr>
          </w:p>
        </w:tc>
        <w:tc>
          <w:tcPr>
            <w:tcW w:w="16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3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79,315</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31,654</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117,937</w:t>
            </w:r>
          </w:p>
        </w:tc>
        <w:tc>
          <w:tcPr>
            <w:tcW w:w="100" w:type="dxa"/>
            <w:vAlign w:val="bottom"/>
            <w:shd w:val="clear" w:color="auto" w:fill="CFF0FC"/>
          </w:tcPr>
          <w:p>
            <w:pPr>
              <w:spacing w:after="0"/>
              <w:rPr>
                <w:sz w:val="20"/>
                <w:szCs w:val="20"/>
                <w:color w:val="auto"/>
              </w:rPr>
            </w:pPr>
          </w:p>
        </w:tc>
      </w:tr>
      <w:tr>
        <w:trPr>
          <w:trHeight w:val="24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Foodservice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28,613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66,945</w:t>
            </w:r>
          </w:p>
        </w:tc>
        <w:tc>
          <w:tcPr>
            <w:tcW w:w="100" w:type="dxa"/>
            <w:vAlign w:val="bottom"/>
          </w:tcPr>
          <w:p>
            <w:pPr>
              <w:spacing w:after="0"/>
              <w:rPr>
                <w:sz w:val="20"/>
                <w:szCs w:val="20"/>
                <w:color w:val="auto"/>
              </w:rPr>
            </w:pPr>
          </w:p>
        </w:tc>
      </w:tr>
      <w:tr>
        <w:trPr>
          <w:trHeight w:val="242"/>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2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98,768</w:t>
            </w:r>
          </w:p>
        </w:tc>
        <w:tc>
          <w:tcPr>
            <w:tcW w:w="3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61,832</w:t>
            </w:r>
          </w:p>
        </w:tc>
        <w:tc>
          <w:tcPr>
            <w:tcW w:w="26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35,387</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195,987</w:t>
            </w:r>
          </w:p>
        </w:tc>
        <w:tc>
          <w:tcPr>
            <w:tcW w:w="10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30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60" w:type="dxa"/>
            <w:vAlign w:val="bottom"/>
          </w:tcPr>
          <w:p>
            <w:pPr>
              <w:spacing w:after="0"/>
              <w:rPr>
                <w:sz w:val="24"/>
                <w:szCs w:val="24"/>
                <w:color w:val="auto"/>
              </w:rPr>
            </w:pPr>
          </w:p>
        </w:tc>
        <w:tc>
          <w:tcPr>
            <w:tcW w:w="16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3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174,876</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71,065</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251,371</w:t>
            </w:r>
          </w:p>
        </w:tc>
        <w:tc>
          <w:tcPr>
            <w:tcW w:w="100" w:type="dxa"/>
            <w:vAlign w:val="bottom"/>
            <w:shd w:val="clear" w:color="auto" w:fill="CFF0FC"/>
          </w:tcPr>
          <w:p>
            <w:pPr>
              <w:spacing w:after="0"/>
              <w:rPr>
                <w:sz w:val="20"/>
                <w:szCs w:val="20"/>
                <w:color w:val="auto"/>
              </w:rPr>
            </w:pPr>
          </w:p>
        </w:tc>
      </w:tr>
      <w:tr>
        <w:trPr>
          <w:trHeight w:val="24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Foodservice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40,020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60,286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35,523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135,829</w:t>
            </w:r>
          </w:p>
        </w:tc>
        <w:tc>
          <w:tcPr>
            <w:tcW w:w="100" w:type="dxa"/>
            <w:vAlign w:val="bottom"/>
          </w:tcPr>
          <w:p>
            <w:pPr>
              <w:spacing w:after="0"/>
              <w:rPr>
                <w:sz w:val="20"/>
                <w:szCs w:val="20"/>
                <w:color w:val="auto"/>
              </w:rPr>
            </w:pPr>
          </w:p>
        </w:tc>
      </w:tr>
      <w:tr>
        <w:trPr>
          <w:trHeight w:val="242"/>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3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2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215,948</w:t>
            </w:r>
          </w:p>
        </w:tc>
        <w:tc>
          <w:tcPr>
            <w:tcW w:w="3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134,786</w:t>
            </w:r>
          </w:p>
        </w:tc>
        <w:tc>
          <w:tcPr>
            <w:tcW w:w="26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50,616</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6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30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60" w:type="dxa"/>
            <w:vAlign w:val="bottom"/>
          </w:tcPr>
          <w:p>
            <w:pPr>
              <w:spacing w:after="0"/>
              <w:rPr>
                <w:sz w:val="24"/>
                <w:szCs w:val="24"/>
                <w:color w:val="auto"/>
              </w:rPr>
            </w:pPr>
          </w:p>
        </w:tc>
        <w:tc>
          <w:tcPr>
            <w:tcW w:w="16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3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162,654</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64,906</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240,196</w:t>
            </w:r>
          </w:p>
        </w:tc>
        <w:tc>
          <w:tcPr>
            <w:tcW w:w="100" w:type="dxa"/>
            <w:vAlign w:val="bottom"/>
            <w:shd w:val="clear" w:color="auto" w:fill="CFF0FC"/>
          </w:tcPr>
          <w:p>
            <w:pPr>
              <w:spacing w:after="0"/>
              <w:rPr>
                <w:sz w:val="20"/>
                <w:szCs w:val="20"/>
                <w:color w:val="auto"/>
              </w:rPr>
            </w:pPr>
          </w:p>
        </w:tc>
      </w:tr>
      <w:tr>
        <w:trPr>
          <w:trHeight w:val="24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Foodservice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35,041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57,979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39,817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132,837</w:t>
            </w:r>
          </w:p>
        </w:tc>
        <w:tc>
          <w:tcPr>
            <w:tcW w:w="100" w:type="dxa"/>
            <w:vAlign w:val="bottom"/>
          </w:tcPr>
          <w:p>
            <w:pPr>
              <w:spacing w:after="0"/>
              <w:rPr>
                <w:sz w:val="20"/>
                <w:szCs w:val="20"/>
                <w:color w:val="auto"/>
              </w:rPr>
            </w:pPr>
          </w:p>
        </w:tc>
      </w:tr>
      <w:tr>
        <w:trPr>
          <w:trHeight w:val="242"/>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3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14,042</w:t>
            </w:r>
          </w:p>
        </w:tc>
        <w:tc>
          <w:tcPr>
            <w:tcW w:w="2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199,264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125,873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66,495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391,632</w:t>
            </w:r>
          </w:p>
        </w:tc>
        <w:tc>
          <w:tcPr>
            <w:tcW w:w="10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-2955290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-2955290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-2955290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-2955290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-2040890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-2040890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-2040890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-2040890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-1101090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-1101090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-1101090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-1101090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-187325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-187325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-187325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is primarily related to e-commerce, both direct-to-consumer and through third-party platforms.</w:t>
      </w:r>
    </w:p>
    <w:p>
      <w:pPr>
        <w:spacing w:after="0" w:line="223"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Revenues of approximately 10% and 12% in the six months ended June 30, 2024 and 2023, respectively, were derived from a single external customer in the foodservice channel. The revenues were attributed to the North America and Greater China segments.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Oatmilk accounted for approximately 89% and 87% of the Group’s revenue in the six months ended June 30, 2024 and 2023, respectively.</w:t>
      </w:r>
    </w:p>
    <w:p>
      <w:pPr>
        <w:sectPr>
          <w:pgSz w:w="11900" w:h="16838" w:orient="portrait"/>
          <w:cols w:equalWidth="0" w:num="1">
            <w:col w:w="11240"/>
          </w:cols>
          <w:pgMar w:left="320" w:top="763"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Share-based compensation</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During the year ended December 31, 2021, in connection with the initial public offering (“IPO”),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shares have been reserved for grants pursuant to a variety of share-based compensation awards, including, but not limited to, stock options and restricted stock units (“RSUs”). To secure the future delivery of shares under the 2021 Plan, the Company’s shareholders resolved to issue 69,496,515 warrants. The right to subscribe for the warrants vests only in the Company. See Note 18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2024, the Company, under the 2021 Plan, granted 8,924,209 RSUs, of which 3,914,835 were granted to members of key management, including the CEO and CFO (the “Executive Officers”), and the Board of Directors. 2,897,187 RSUs vested during the period, of which 472,145 were to key management. The RSUs are accounted for as equity-settled share-based compensation transactions. The RSUs are measured based on the fair market value of the underlying ordinary shares on the date of grant. The RSUs granted to employees under the 2021 Plan vest in equal installments on each of the first three anniversaries of the date of grant, subject to continued service. The RSUs granted to members of its Board of Directors vest on the date of the next Annual General Meeting of shareholders following the grant date, subject to continued service on the applicable vesting date.</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June 18, 2024, pursuant to the resolutions of the Remuneration Committee, the Board of Directors and the shareholders of the Company, certain senior key employees were offered the opportunity to exchange outstanding unexercised stock options for a smaller number of RSUs. All holders of unexercised stock options granted during May 2021 and July 2023, with exercise prices ranging from $1.56 to $17.00, were offered to participate in the exchange. The number of new RSUs were determined such that the fair market value of the shares underlying the new RSUs equals the fair value of the exchanged stock options. For these purposes, fair market value was determined on a grant-by-grant basis and the number of shares underlying new RSUs equals the Black-Scholes option-pricing model value of the exchanged stock options, resulting in a weighted average conversion rate of 0.3492 RSUs per stock option. The exchange was completed on June 28, 2024 with a total of 4,257,251 new RSUs granted, of which 3,303,458 were granted to members of key management, including the Executive Officers, in exchange for a total number of 12,189,782 stock options. The new RSUs granted will vest in equal installments on each of the first two anniversaries of the date of grant, subject to continued service.</w:t>
      </w:r>
    </w:p>
    <w:p>
      <w:pPr>
        <w:spacing w:after="0" w:line="162"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The exchange of stock options for new RSUs has been accounted for as a modification of equity awards where the number of equity instruments has been reduced but the total fair value of the equity awards is unchanged. The Company has considered the total number of exchanged stock options as a single unit of account, with the original stock options and the grant of new RSUs accounted for as one modification. As a result, the original grant date fair value of the originally granted stock options will continue to be recognized over the vesting period.</w:t>
      </w:r>
    </w:p>
    <w:p>
      <w:pPr>
        <w:spacing w:after="0" w:line="142"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The following table list the key inputs to the Black-Scholes option-pricing model used to determine the total fair value of the stock options for exchange to RSUs: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 price at grant date</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price volatility of the Company’s shares (%)</w:t>
            </w:r>
          </w:p>
        </w:tc>
        <w:tc>
          <w:tcPr>
            <w:tcW w:w="2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Activity in the Group’s RSUs outstanding and related information is as follows:</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20" w:type="dxa"/>
            <w:vAlign w:val="bottom"/>
            <w:vMerge w:val="restart"/>
          </w:tcPr>
          <w:p>
            <w:pPr>
              <w:spacing w:after="0"/>
              <w:rPr>
                <w:sz w:val="24"/>
                <w:szCs w:val="24"/>
                <w:color w:val="auto"/>
              </w:rPr>
            </w:pP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54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540" w:type="dxa"/>
            <w:vAlign w:val="bottom"/>
            <w:tcBorders>
              <w:bottom w:val="single" w:sz="8" w:color="auto"/>
            </w:tcBorders>
            <w:shd w:val="clear" w:color="auto" w:fill="CFF0FC"/>
          </w:tcPr>
          <w:p>
            <w:pPr>
              <w:spacing w:after="0"/>
              <w:rPr>
                <w:sz w:val="20"/>
                <w:szCs w:val="20"/>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8,415,816</w:t>
            </w:r>
          </w:p>
        </w:tc>
        <w:tc>
          <w:tcPr>
            <w:tcW w:w="220" w:type="dxa"/>
            <w:vAlign w:val="bottom"/>
            <w:tcBorders>
              <w:bottom w:val="single" w:sz="8" w:color="CFF0FC"/>
            </w:tcBorders>
            <w:shd w:val="clear" w:color="auto" w:fill="CFF0FC"/>
          </w:tcPr>
          <w:p>
            <w:pPr>
              <w:spacing w:after="0"/>
              <w:rPr>
                <w:sz w:val="20"/>
                <w:szCs w:val="20"/>
                <w:color w:val="auto"/>
              </w:rPr>
            </w:pPr>
          </w:p>
        </w:tc>
        <w:tc>
          <w:tcPr>
            <w:tcW w:w="2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8,924,209</w:t>
            </w:r>
          </w:p>
        </w:tc>
        <w:tc>
          <w:tcPr>
            <w:tcW w:w="22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granted in exchange for stock options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4,257,251</w:t>
            </w:r>
          </w:p>
        </w:tc>
        <w:tc>
          <w:tcPr>
            <w:tcW w:w="220" w:type="dxa"/>
            <w:vAlign w:val="bottom"/>
            <w:shd w:val="clear" w:color="auto" w:fill="CFF0FC"/>
          </w:tcPr>
          <w:p>
            <w:pPr>
              <w:spacing w:after="0"/>
              <w:rPr>
                <w:sz w:val="21"/>
                <w:szCs w:val="21"/>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2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(1,019,993 )</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during the period</w:t>
            </w:r>
          </w:p>
        </w:tc>
        <w:tc>
          <w:tcPr>
            <w:tcW w:w="54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(2,897,187 )</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540" w:type="dxa"/>
            <w:vAlign w:val="bottom"/>
            <w:tcBorders>
              <w:top w:val="single" w:sz="8" w:color="auto"/>
              <w:bottom w:val="single" w:sz="8" w:color="auto"/>
            </w:tcBorders>
          </w:tcPr>
          <w:p>
            <w:pPr>
              <w:spacing w:after="0"/>
              <w:rPr>
                <w:sz w:val="20"/>
                <w:szCs w:val="20"/>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17,680,096</w:t>
            </w:r>
          </w:p>
        </w:tc>
        <w:tc>
          <w:tcPr>
            <w:tcW w:w="220" w:type="dxa"/>
            <w:vAlign w:val="bottom"/>
            <w:tcBorders>
              <w:top w:val="single" w:sz="8" w:color="CFF0FC"/>
            </w:tcBorders>
          </w:tcPr>
          <w:p>
            <w:pPr>
              <w:spacing w:after="0"/>
              <w:rPr>
                <w:sz w:val="20"/>
                <w:szCs w:val="20"/>
                <w:color w:val="auto"/>
              </w:rPr>
            </w:pPr>
          </w:p>
        </w:tc>
        <w:tc>
          <w:tcPr>
            <w:tcW w:w="2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5318125</wp:posOffset>
            </wp:positionH>
            <wp:positionV relativeFrom="paragraph">
              <wp:posOffset>-810895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-810895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-187325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2024, the Company, under the 2021 Plan, granted 8,812,133 stock options of which 5,355,577 were granted to members of key management. 5,525,929 stock options vested during the period, of which 3,822,272 were to key management. The stock options are accounted for as equity-settled share-based compensation transactions. For stock options granted under the 2021 Plan, the</w:t>
      </w:r>
    </w:p>
    <w:p>
      <w:pPr>
        <w:sectPr>
          <w:pgSz w:w="11900" w:h="16838" w:orient="portrait"/>
          <w:cols w:equalWidth="0" w:num="1">
            <w:col w:w="11240"/>
          </w:cols>
          <w:pgMar w:left="320" w:top="763"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exercise price is equal to the fair value of the ordinary shares on grant date. The stock options granted to participants under the 2021 Plan vest in equal installments on each of the first three anniversaries of the date of grant, subject to continued service. The stock options expire, in relation to each installment under the vesting schedule, five years after vesting, corresponding to a total term of six, seven and eight years for the respective installment.</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stock options outstanding and related information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7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 stock options</w:t>
            </w:r>
          </w:p>
        </w:tc>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 average exercise price ($)</w:t>
            </w:r>
          </w:p>
        </w:tc>
      </w:tr>
      <w:tr>
        <w:trPr>
          <w:trHeight w:val="233"/>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21,289,191</w:t>
            </w:r>
          </w:p>
        </w:tc>
        <w:tc>
          <w:tcPr>
            <w:tcW w:w="220" w:type="dxa"/>
            <w:vAlign w:val="bottom"/>
            <w:tcBorders>
              <w:bottom w:val="single" w:sz="8" w:color="CFF0FC"/>
            </w:tcBorders>
            <w:shd w:val="clear" w:color="auto" w:fill="CFF0FC"/>
          </w:tcPr>
          <w:p>
            <w:pPr>
              <w:spacing w:after="0"/>
              <w:rPr>
                <w:sz w:val="20"/>
                <w:szCs w:val="20"/>
                <w:color w:val="auto"/>
              </w:rPr>
            </w:pPr>
          </w:p>
        </w:tc>
        <w:tc>
          <w:tcPr>
            <w:tcW w:w="2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8,812,133</w:t>
            </w:r>
          </w:p>
        </w:tc>
        <w:tc>
          <w:tcPr>
            <w:tcW w:w="22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r>
      <w:tr>
        <w:trPr>
          <w:trHeight w:val="24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exchanged to RSUs</w:t>
            </w:r>
          </w:p>
        </w:tc>
        <w:tc>
          <w:tcPr>
            <w:tcW w:w="2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(12,189,782 )</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(1,325,061 )</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r>
      <w:tr>
        <w:trPr>
          <w:trHeight w:val="242"/>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Expired during the period</w:t>
            </w:r>
          </w:p>
        </w:tc>
        <w:tc>
          <w:tcPr>
            <w:tcW w:w="2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(1,301,189 )</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15,285,292</w:t>
            </w:r>
          </w:p>
        </w:tc>
        <w:tc>
          <w:tcPr>
            <w:tcW w:w="220" w:type="dxa"/>
            <w:vAlign w:val="bottom"/>
            <w:tcBorders>
              <w:top w:val="single" w:sz="8" w:color="CFF0FC"/>
            </w:tcBorders>
          </w:tcPr>
          <w:p>
            <w:pPr>
              <w:spacing w:after="0"/>
              <w:rPr>
                <w:sz w:val="20"/>
                <w:szCs w:val="20"/>
                <w:color w:val="auto"/>
              </w:rPr>
            </w:pP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Borders>
              <w:top w:val="single" w:sz="8" w:color="CFF0FC"/>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June 30, 2024</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4,419,139</w:t>
            </w:r>
          </w:p>
        </w:tc>
        <w:tc>
          <w:tcPr>
            <w:tcW w:w="220" w:type="dxa"/>
            <w:vAlign w:val="bottom"/>
            <w:shd w:val="clear" w:color="auto" w:fill="CFF0FC"/>
          </w:tcPr>
          <w:p>
            <w:pPr>
              <w:spacing w:after="0"/>
              <w:rPr>
                <w:sz w:val="19"/>
                <w:szCs w:val="19"/>
                <w:color w:val="auto"/>
              </w:rPr>
            </w:pP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5309870</wp:posOffset>
            </wp:positionH>
            <wp:positionV relativeFrom="paragraph">
              <wp:posOffset>-964565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-964565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-340995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-340995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fair value at grant date of the stock options granted during the financial year 2024 was $0.67 for the May 2024 grant date. The fair value at grant date of the stock options granted during the financial year 2023 was $0.98 for the May 2023 grant date, $1.09 for the July 2023 grant date and $0.43 for the November 2023 grant date. The fair value at grant date of the stock options granted during the financial year 2022 was $1.49 for the May 2022 grant date and $0.86 for the November 2022 grant date. The fair value at grant date of the stock options granted during the financial year 2021 was $6.24 for the May 2021 grant date and $3.67 for the November 2021 grant date. The fair value of the stock options at grant date has been determined using the Black-Scholes option-pricing model, which takes into account the exercise price, the expected term of the stock options, the share price at grant date, expected price volatility of the underlying share,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inputs to the Black-Scholes option-pricing model used for stock options granted during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 price at grant date</w:t>
            </w:r>
          </w:p>
        </w:tc>
        <w:tc>
          <w:tcPr>
            <w:tcW w:w="4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r>
      <w:tr>
        <w:trPr>
          <w:trHeight w:val="24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price volatility of the Company's shares (%)</w:t>
            </w:r>
          </w:p>
        </w:tc>
        <w:tc>
          <w:tcPr>
            <w:tcW w:w="4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4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4.56-4.57</w:t>
            </w:r>
          </w:p>
        </w:tc>
      </w:tr>
    </w:tbl>
    <w:p>
      <w:pPr>
        <w:spacing w:after="0" w:line="200" w:lineRule="exact"/>
        <w:rPr>
          <w:sz w:val="20"/>
          <w:szCs w:val="20"/>
          <w:color w:val="auto"/>
        </w:rPr>
      </w:pP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was $4.2 million for the three months ended June 30, 2024 (2023: $2.4 million) and $6.8 million for the six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2024 (2023: $10.5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Finance income and expenses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8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4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8"/>
        </w:trPr>
        <w:tc>
          <w:tcPr>
            <w:tcW w:w="58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financial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expenses on lease liabilities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(1,487 )</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(1,503 )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(3,009 )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(3,533 )</w:t>
            </w: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expenses on Convertible Notes</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(8,421 )</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(6,461 )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(16,529 )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(6,462 )</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expenses on liabilities to credit institutions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(5,966 )</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(6,586 )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(12,155 )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(8,725 )</w:t>
            </w: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changes on derivatives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(437 )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(745 )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changes on Convertible Notes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23,894</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tcPr>
          <w:p>
            <w:pPr>
              <w:spacing w:after="0"/>
              <w:rPr>
                <w:sz w:val="20"/>
                <w:szCs w:val="20"/>
                <w:color w:val="auto"/>
              </w:rPr>
            </w:pPr>
          </w:p>
        </w:tc>
      </w:tr>
      <w:tr>
        <w:trPr>
          <w:trHeight w:val="242"/>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financial expenses</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(623 )</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(18,321 )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(5,723 )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(18,566 )</w:t>
            </w:r>
          </w:p>
        </w:tc>
      </w:tr>
      <w:tr>
        <w:trPr>
          <w:trHeight w:val="20"/>
        </w:trPr>
        <w:tc>
          <w:tcPr>
            <w:tcW w:w="58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 income and expenses,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10,389</w:t>
            </w:r>
          </w:p>
        </w:tc>
        <w:tc>
          <w:tcPr>
            <w:tcW w:w="2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(11,512 )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(6,988 )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(13,508 )</w:t>
            </w:r>
          </w:p>
        </w:tc>
      </w:tr>
      <w:tr>
        <w:trPr>
          <w:trHeight w:val="20"/>
        </w:trPr>
        <w:tc>
          <w:tcPr>
            <w:tcW w:w="5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-187325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-187325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-187325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 xml:space="preserve">Interest expense on the Convertible Notes is the nominal coupon rate of 9.25%. Fair value changes on Convertible Notes contains the fair value changes less the coupon rate and changes in credit risk. See Note 13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and Note 21 </w:t>
      </w:r>
      <w:r>
        <w:rPr>
          <w:rFonts w:ascii="Times New Roman" w:cs="Times New Roman" w:eastAsia="Times New Roman" w:hAnsi="Times New Roman"/>
          <w:sz w:val="18"/>
          <w:szCs w:val="18"/>
          <w:i w:val="1"/>
          <w:iCs w:val="1"/>
          <w:color w:val="auto"/>
        </w:rPr>
        <w:t>Convertible Notes.</w:t>
      </w:r>
    </w:p>
    <w:p>
      <w:pPr>
        <w:sectPr>
          <w:pgSz w:w="11900" w:h="16838" w:orient="portrait"/>
          <w:cols w:equalWidth="0" w:num="1">
            <w:col w:w="11240"/>
          </w:cols>
          <w:pgMar w:left="320" w:top="763" w:right="3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2"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Other financial expenses for the six months ended June 30, 2024 mainly consists of $5.0 million in transaction costs relating to amendments in the Group’s financing arrangements.</w:t>
      </w:r>
    </w:p>
    <w:p>
      <w:pPr>
        <w:spacing w:after="0" w:line="16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Other financial expenses for the three and six months ended June 30, 2023 mainly consist of $16.8 million in transaction costs relating to the issuance of Convertible Notes, and $1.4 million in previously capitalized and amortized transaction costs relating to the previous Sustainable Revolving Credit Facility Agreement (the “SRCF Agreement”) that were expensed in connection with the extinguishment of the liability.</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19 </w:t>
      </w:r>
      <w:r>
        <w:rPr>
          <w:rFonts w:ascii="Times New Roman" w:cs="Times New Roman" w:eastAsia="Times New Roman" w:hAnsi="Times New Roman"/>
          <w:sz w:val="18"/>
          <w:szCs w:val="18"/>
          <w:i w:val="1"/>
          <w:iCs w:val="1"/>
          <w:color w:val="auto"/>
        </w:rPr>
        <w:t>Liabilities to credit institutions</w:t>
      </w:r>
      <w:r>
        <w:rPr>
          <w:rFonts w:ascii="Times New Roman" w:cs="Times New Roman" w:eastAsia="Times New Roman" w:hAnsi="Times New Roman"/>
          <w:sz w:val="18"/>
          <w:szCs w:val="18"/>
          <w:color w:val="auto"/>
        </w:rPr>
        <w:t xml:space="preserve"> for further details on the Group’s credit facilities.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Total tax expense for each of the three and six months ended June 30, 2024 was $1.8 million. Total tax benefit/(expense) for the three and six months ended June 30, 2023 was $0.3 million and $(1.7) million, respectively. The effective tax rate for the three and six months ended June 30, 2024 was 6.1% and 2.4%, respectively. The effective tax rate for three and six months ended June 30, 2023 was (0.3%) and 1.1%, respectively. Unrecognized tax losses in Sweden is the main driver of the Group’s effective tax rate. The Group operates in a global environment with significant operations in various jurisdictions outside Sweden. Accordingly, the consolidated income tax rate is a composite rate reflecting the Group’s earnings and the applicable tax rates in the various jurisdictions where the Group operates, and whether or not deferred tax assets are able to be recognized.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intangible assets as at June 30, 2024 and December 31, 2023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Ongoing</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40" w:type="dxa"/>
            <w:vAlign w:val="bottom"/>
            <w:gridSpan w:val="2"/>
            <w:vMerge w:val="continue"/>
          </w:tcPr>
          <w:p>
            <w:pPr>
              <w:spacing w:after="0"/>
              <w:rPr>
                <w:sz w:val="12"/>
                <w:szCs w:val="12"/>
                <w:color w:val="auto"/>
              </w:rPr>
            </w:pPr>
          </w:p>
        </w:tc>
        <w:tc>
          <w:tcPr>
            <w:tcW w:w="12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0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118,213</w:t>
            </w:r>
          </w:p>
        </w:tc>
        <w:tc>
          <w:tcPr>
            <w:tcW w:w="2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15,326</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7,617</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(781 )</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(7,197 )</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(943 )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(423 )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(64 )</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(8,627 )</w:t>
            </w:r>
          </w:p>
        </w:tc>
        <w:tc>
          <w:tcPr>
            <w:tcW w:w="0" w:type="dxa"/>
            <w:vAlign w:val="bottom"/>
          </w:tcPr>
          <w:p>
            <w:pPr>
              <w:spacing w:after="0"/>
              <w:rPr>
                <w:sz w:val="1"/>
                <w:szCs w:val="1"/>
                <w:color w:val="auto"/>
              </w:rPr>
            </w:pPr>
          </w:p>
        </w:tc>
      </w:tr>
      <w:tr>
        <w:trPr>
          <w:trHeight w:val="238"/>
        </w:trPr>
        <w:tc>
          <w:tcPr>
            <w:tcW w:w="5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111,016</w:t>
            </w:r>
          </w:p>
        </w:tc>
        <w:tc>
          <w:tcPr>
            <w:tcW w:w="240" w:type="dxa"/>
            <w:vAlign w:val="bottom"/>
            <w:tcBorders>
              <w:top w:val="single" w:sz="8" w:color="CFF0FC"/>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15,164</w:t>
            </w:r>
          </w:p>
        </w:tc>
        <w:tc>
          <w:tcPr>
            <w:tcW w:w="220" w:type="dxa"/>
            <w:vAlign w:val="bottom"/>
            <w:tcBorders>
              <w:top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7,671</w:t>
            </w:r>
          </w:p>
        </w:tc>
        <w:tc>
          <w:tcPr>
            <w:tcW w:w="22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220" w:type="dxa"/>
            <w:vAlign w:val="bottom"/>
            <w:tcBorders>
              <w:top w:val="single" w:sz="8" w:color="CFF0FC"/>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134,482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0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(8,357 )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(3,632 )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(11,989 )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charge</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(1,276 )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(774 )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(2,050 )</w:t>
            </w:r>
          </w:p>
        </w:tc>
        <w:tc>
          <w:tcPr>
            <w:tcW w:w="0" w:type="dxa"/>
            <w:vAlign w:val="bottom"/>
          </w:tcPr>
          <w:p>
            <w:pPr>
              <w:spacing w:after="0"/>
              <w:rPr>
                <w:sz w:val="1"/>
                <w:szCs w:val="1"/>
                <w:color w:val="auto"/>
              </w:rPr>
            </w:pPr>
          </w:p>
        </w:tc>
      </w:tr>
      <w:tr>
        <w:trPr>
          <w:trHeight w:val="23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(9,112 )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(4,190 )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(13,302 )</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net accumulated amortization</w:t>
            </w:r>
          </w:p>
        </w:tc>
        <w:tc>
          <w:tcPr>
            <w:tcW w:w="10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118,213</w:t>
            </w:r>
          </w:p>
        </w:tc>
        <w:tc>
          <w:tcPr>
            <w:tcW w:w="2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6,969</w:t>
            </w:r>
          </w:p>
        </w:tc>
        <w:tc>
          <w:tcPr>
            <w:tcW w:w="2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3,985</w:t>
            </w:r>
          </w:p>
        </w:tc>
        <w:tc>
          <w:tcPr>
            <w:tcW w:w="22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2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130,326</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111,016</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6,052</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3,481</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-1545590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-1545590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-1545590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-1545590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-1545590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-1203960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-1203960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-1203960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-1203960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-1203960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-546100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-528955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-546100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-528955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-546100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-528955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-546100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-528955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-546100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-528955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-204470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-187325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-204470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-187325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-204470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-187325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-204470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-187325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-204470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for the three months ended June 30, 2024 was $1.1 million (2023: $1.0 million). Amortization expense for the six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2024 was $2.1 million (2023: $2.0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Property, Plant and Equipment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property, plant, and equipment as at June 30, 2024 and December 31, 2023 is as follows: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104,749</w:t>
            </w: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278,849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217,295</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600,893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0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(84 )</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(17,642 )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(18,224 )</w:t>
            </w:r>
          </w:p>
        </w:tc>
        <w:tc>
          <w:tcPr>
            <w:tcW w:w="0" w:type="dxa"/>
            <w:vAlign w:val="bottom"/>
          </w:tcPr>
          <w:p>
            <w:pPr>
              <w:spacing w:after="0"/>
              <w:rPr>
                <w:sz w:val="1"/>
                <w:szCs w:val="1"/>
                <w:color w:val="auto"/>
              </w:rPr>
            </w:pPr>
          </w:p>
        </w:tc>
      </w:tr>
      <w:tr>
        <w:trPr>
          <w:trHeight w:val="242"/>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(2,317 )</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(3,800 )</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(6,505 )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(2,031 )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(12,336 )</w:t>
            </w:r>
          </w:p>
        </w:tc>
        <w:tc>
          <w:tcPr>
            <w:tcW w:w="0" w:type="dxa"/>
            <w:vAlign w:val="bottom"/>
          </w:tcPr>
          <w:p>
            <w:pPr>
              <w:spacing w:after="0"/>
              <w:rPr>
                <w:sz w:val="1"/>
                <w:szCs w:val="1"/>
                <w:color w:val="auto"/>
              </w:rPr>
            </w:pPr>
          </w:p>
        </w:tc>
      </w:tr>
      <w:tr>
        <w:trPr>
          <w:trHeight w:val="278"/>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102,756</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276,212</w:t>
            </w:r>
          </w:p>
        </w:tc>
        <w:tc>
          <w:tcPr>
            <w:tcW w:w="2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211,864</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590,832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(15,068 )</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(72,479 )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(153,060 )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(240,607 )</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charge</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(3,083 )</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(14,266 )</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(17,349 )</w:t>
            </w:r>
          </w:p>
        </w:tc>
        <w:tc>
          <w:tcPr>
            <w:tcW w:w="0" w:type="dxa"/>
            <w:vAlign w:val="bottom"/>
          </w:tcPr>
          <w:p>
            <w:pPr>
              <w:spacing w:after="0"/>
              <w:rPr>
                <w:sz w:val="1"/>
                <w:szCs w:val="1"/>
                <w:color w:val="auto"/>
              </w:rPr>
            </w:pPr>
          </w:p>
        </w:tc>
      </w:tr>
      <w:tr>
        <w:trPr>
          <w:trHeight w:val="246"/>
        </w:trPr>
        <w:tc>
          <w:tcPr>
            <w:tcW w:w="58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4"/>
                <w:szCs w:val="24"/>
                <w:color w:val="auto"/>
                <w:vertAlign w:val="superscript"/>
              </w:rPr>
              <w:t>(2)</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(1,747 )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(1,747 )</w:t>
            </w:r>
          </w:p>
        </w:tc>
        <w:tc>
          <w:tcPr>
            <w:tcW w:w="0" w:type="dxa"/>
            <w:vAlign w:val="bottom"/>
          </w:tcPr>
          <w:p>
            <w:pPr>
              <w:spacing w:after="0"/>
              <w:rPr>
                <w:sz w:val="1"/>
                <w:szCs w:val="1"/>
                <w:color w:val="auto"/>
              </w:rPr>
            </w:pPr>
          </w:p>
        </w:tc>
      </w:tr>
      <w:tr>
        <w:trPr>
          <w:trHeight w:val="238"/>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(17,445 )</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(84,550 )</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(146,367 )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(248,362 )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1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89,681</w:t>
            </w: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206,370</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64,235</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360,286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85,311</w:t>
            </w:r>
          </w:p>
        </w:tc>
        <w:tc>
          <w:tcPr>
            <w:tcW w:w="2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191,662</w:t>
            </w: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65,497</w:t>
            </w:r>
          </w:p>
        </w:tc>
        <w:tc>
          <w:tcPr>
            <w:tcW w:w="20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342,470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-1691005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-1673860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-1691005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-1673860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-1691005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-1673860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-1691005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-1673860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-1348740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-1332230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-1348740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-1332230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-1348740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-1332230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-1348740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-1332230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-708660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-708660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-708660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-708660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-366395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-366395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-366395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-366395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-24765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-7620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sold assets due to the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facilities in Peterborough, UK.</w:t>
      </w:r>
    </w:p>
    <w:p>
      <w:pPr>
        <w:spacing w:after="0" w:line="3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recognized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Peterborough, UK.</w:t>
      </w:r>
    </w:p>
    <w:p>
      <w:pPr>
        <w:spacing w:after="0" w:line="216"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The additions in construction in progress during the six months ended June 30, 2024 are mainly related to investments in the Ma’anshan, China production facility.</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Depreciation expense for the three months ended June 30, 2024 was $8.7 million (2023: $8.2 million). Depreciation expense for the six months ended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was $17.3 million (2023: $16.1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27"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roll-forward of lease right-of-use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4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620" w:type="dxa"/>
            <w:vAlign w:val="bottom"/>
          </w:tcPr>
          <w:p>
            <w:pPr>
              <w:spacing w:after="0"/>
              <w:rPr>
                <w:sz w:val="16"/>
                <w:szCs w:val="16"/>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92,573</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31,782</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62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Decreases</w:t>
            </w:r>
            <w:r>
              <w:rPr>
                <w:rFonts w:ascii="Times New Roman" w:cs="Times New Roman" w:eastAsia="Times New Roman" w:hAnsi="Times New Roman"/>
                <w:sz w:val="24"/>
                <w:szCs w:val="24"/>
                <w:color w:val="auto"/>
                <w:vertAlign w:val="superscript"/>
              </w:rPr>
              <w:t>(1)</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(29,553 )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(2,304 )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(31,857 )</w:t>
            </w:r>
          </w:p>
        </w:tc>
        <w:tc>
          <w:tcPr>
            <w:tcW w:w="0" w:type="dxa"/>
            <w:vAlign w:val="bottom"/>
          </w:tcPr>
          <w:p>
            <w:pPr>
              <w:spacing w:after="0"/>
              <w:rPr>
                <w:sz w:val="1"/>
                <w:szCs w:val="1"/>
                <w:color w:val="auto"/>
              </w:rPr>
            </w:pPr>
          </w:p>
        </w:tc>
      </w:tr>
      <w:tr>
        <w:trPr>
          <w:trHeight w:val="23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(1,433 )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(1,002 )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(2,435 )</w:t>
            </w:r>
          </w:p>
        </w:tc>
        <w:tc>
          <w:tcPr>
            <w:tcW w:w="0" w:type="dxa"/>
            <w:vAlign w:val="bottom"/>
          </w:tcPr>
          <w:p>
            <w:pPr>
              <w:spacing w:after="0"/>
              <w:rPr>
                <w:sz w:val="1"/>
                <w:szCs w:val="1"/>
                <w:color w:val="auto"/>
              </w:rPr>
            </w:pPr>
          </w:p>
        </w:tc>
      </w:tr>
      <w:tr>
        <w:trPr>
          <w:trHeight w:val="238"/>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62,315</w:t>
            </w:r>
          </w:p>
        </w:tc>
        <w:tc>
          <w:tcPr>
            <w:tcW w:w="240" w:type="dxa"/>
            <w:vAlign w:val="bottom"/>
            <w:tcBorders>
              <w:top w:val="single" w:sz="8" w:color="CFF0FC"/>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29,103</w:t>
            </w:r>
          </w:p>
        </w:tc>
        <w:tc>
          <w:tcPr>
            <w:tcW w:w="220" w:type="dxa"/>
            <w:vAlign w:val="bottom"/>
            <w:tcBorders>
              <w:top w:val="single" w:sz="8" w:color="CFF0FC"/>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91,418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3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(23,139 )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(12,823 )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(35,962 )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(3,703 )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(2,218 )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(5,921 )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(21,632 )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(12,756 )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(34,388 )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net accumulated depreciation</w:t>
            </w:r>
          </w:p>
        </w:tc>
        <w:tc>
          <w:tcPr>
            <w:tcW w:w="13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69,434</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18,959</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40,683</w:t>
            </w:r>
          </w:p>
        </w:tc>
        <w:tc>
          <w:tcPr>
            <w:tcW w:w="24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16,347</w:t>
            </w:r>
          </w:p>
        </w:tc>
        <w:tc>
          <w:tcPr>
            <w:tcW w:w="2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57,030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5070475</wp:posOffset>
            </wp:positionH>
            <wp:positionV relativeFrom="paragraph">
              <wp:posOffset>-1699260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-1699260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-1699260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-1357630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-1357630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-1357630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-708660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-708660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-708660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-366395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-366395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-366395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-24765</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-7620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3" w:right="339" w:bottom="1075"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075" w:gutter="0" w:footer="0" w:header="0"/>
          <w:type w:val="continuous"/>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 Relates primarily to terminated lease contract due to the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Peterborough, UK.</w:t>
      </w:r>
    </w:p>
    <w:p>
      <w:pPr>
        <w:spacing w:after="0" w:line="2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Depreciation expense for the three months ended June 30, 2024 was $2.6 million (2023: $3.4 million). Depreciation expense for the six months ended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was $5.9 million (2023: $6.8 million).</w:t>
      </w:r>
    </w:p>
    <w:p>
      <w:pPr>
        <w:sectPr>
          <w:pgSz w:w="11900" w:h="16838" w:orient="portrait"/>
          <w:cols w:equalWidth="0" w:num="1">
            <w:col w:w="11240"/>
          </w:cols>
          <w:pgMar w:left="320" w:top="763" w:right="339" w:bottom="1440" w:gutter="0" w:footer="0" w:header="0"/>
        </w:sectPr>
      </w:pPr>
    </w:p>
    <w:p>
      <w:pPr>
        <w:spacing w:after="0" w:line="205" w:lineRule="exact"/>
        <w:rPr>
          <w:sz w:val="20"/>
          <w:szCs w:val="20"/>
          <w:color w:val="auto"/>
        </w:rPr>
      </w:pPr>
    </w:p>
    <w:p>
      <w:pPr>
        <w:jc w:val="right"/>
        <w:ind w:right="5060"/>
        <w:spacing w:after="0"/>
        <w:rPr>
          <w:sz w:val="20"/>
          <w:szCs w:val="20"/>
          <w:color w:val="auto"/>
        </w:rPr>
      </w:pPr>
      <w:r>
        <w:rPr>
          <w:rFonts w:ascii="Times New Roman" w:cs="Times New Roman" w:eastAsia="Times New Roman" w:hAnsi="Times New Roman"/>
          <w:sz w:val="18"/>
          <w:szCs w:val="18"/>
          <w:color w:val="auto"/>
        </w:rPr>
        <w:t>Below is the maturity analysis of lease liabilities:</w:t>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955" cy="1536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Maturity Analysis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than 3 months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3 months and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955" cy="1536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2 and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955" cy="1536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After 5 years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955" cy="1536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Impact of discounting remaining lease payments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955"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95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15875</wp:posOffset>
            </wp:positionV>
            <wp:extent cx="12217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25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3,540</w:t>
      </w:r>
    </w:p>
    <w:p>
      <w:pPr>
        <w:spacing w:after="0" w:line="35"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10,619</w:t>
      </w:r>
    </w:p>
    <w:p>
      <w:pPr>
        <w:spacing w:after="0" w:line="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12,250</w:t>
      </w:r>
    </w:p>
    <w:p>
      <w:pPr>
        <w:spacing w:after="0" w:line="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21,912</w:t>
      </w:r>
    </w:p>
    <w:p>
      <w:pPr>
        <w:spacing w:after="0" w:line="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17,216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25400</wp:posOffset>
            </wp:positionV>
            <wp:extent cx="12217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65,537</w:t>
      </w:r>
    </w:p>
    <w:p>
      <w:pPr>
        <w:spacing w:after="0" w:line="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(14,046 )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33020</wp:posOffset>
            </wp:positionV>
            <wp:extent cx="12217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51,491</w:t>
      </w:r>
    </w:p>
    <w:p>
      <w:pPr>
        <w:spacing w:after="0" w:line="31" w:lineRule="exact"/>
        <w:rPr>
          <w:sz w:val="20"/>
          <w:szCs w:val="20"/>
          <w:color w:val="auto"/>
        </w:rPr>
      </w:pPr>
    </w:p>
    <w:p>
      <w:pPr>
        <w:sectPr>
          <w:pgSz w:w="11900" w:h="16838" w:orient="portrait"/>
          <w:cols w:equalWidth="0" w:num="2">
            <w:col w:w="9040" w:space="720"/>
            <w:col w:w="1480"/>
          </w:cols>
          <w:pgMar w:left="320" w:top="763" w:right="3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included in the condensed consolidated</w:t>
            </w:r>
          </w:p>
        </w:tc>
        <w:tc>
          <w:tcPr>
            <w:tcW w:w="19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920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financial position at June 30, 2024</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51,491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has the following lease agreements, which had not commenced as of June 30, 2024, but to which the Group is committed:</w:t>
      </w:r>
    </w:p>
    <w:p>
      <w:pPr>
        <w:spacing w:after="0" w:line="116" w:lineRule="exact"/>
        <w:rPr>
          <w:sz w:val="20"/>
          <w:szCs w:val="20"/>
          <w:color w:val="auto"/>
        </w:rPr>
      </w:pPr>
    </w:p>
    <w:p>
      <w:pPr>
        <w:ind w:left="1020" w:right="100" w:hanging="504"/>
        <w:spacing w:after="0" w:line="28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lease agreement regarding production equipment in Ma’anshan, China, under which the Group’s obligations collectively amount to $3.6 million for a term of six years.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Other non-current receivables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23,454</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22,093</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20"/>
                <w:szCs w:val="20"/>
                <w:color w:val="auto"/>
              </w:rPr>
            </w:pPr>
          </w:p>
        </w:tc>
      </w:tr>
      <w:tr>
        <w:trPr>
          <w:trHeight w:val="242"/>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44,444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44,378</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-187325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The promissory note is part of the purchase price from selling the manufacturing facilities in Ogden, Utah and Dallas-Fort Worth, Texas (respectively, the “Ogden Facility” and the “Dallas-Fort Worth Facility”, and together, the “Facilities”), to YYF. The note has a maturity date of May 31, 2028. The nominal interest rate is 8% for the first year and then increases by 200 basis points each year. The interest is capitalized semi-annually, and the effective interest rate is 12.56%.</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prepaid expenses consist primarily of a credit toward future use of shared assets at the Facilities due to the YYF Transaction.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2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spacing w:after="0" w:line="171"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The fair value of financial instruments traded in active markets (such as publicly traded derivatives and equity securities) is based on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prices at the end of the reporting period. The quoted market price used for financial assets held by the Group is the current bid price. These instruments are included in Level 1.</w:t>
      </w:r>
    </w:p>
    <w:p>
      <w:pPr>
        <w:sectPr>
          <w:pgSz w:w="11900" w:h="16838" w:orient="portrait"/>
          <w:cols w:equalWidth="0" w:num="1">
            <w:col w:w="11240"/>
          </w:cols>
          <w:pgMar w:left="320" w:top="763" w:right="33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48"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The fair value of financial instruments that are not traded in an active market (for example, over-the-counter derivatives) is determined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valuation techniques, which maximize the use of observable market data and rely as little as possible on entity-specific estimates. If all significant inputs required to fair value an instrument are observable, the instrument is included in Level 2.</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valuation techniques used in Level 2 to value financial instruments include:</w:t>
      </w:r>
    </w:p>
    <w:p>
      <w:pPr>
        <w:spacing w:after="0" w:line="116"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foreign currency forwards, the present value of future cash flows based on the forward exchange rates at the balance sheet date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caps – option pricing models (e.g. Black-Scholes model)</w:t>
      </w:r>
    </w:p>
    <w:p>
      <w:pPr>
        <w:spacing w:after="0" w:line="219" w:lineRule="exact"/>
        <w:rPr>
          <w:sz w:val="20"/>
          <w:szCs w:val="20"/>
          <w:color w:val="auto"/>
        </w:rPr>
      </w:pPr>
    </w:p>
    <w:p>
      <w:pPr>
        <w:jc w:val="both"/>
        <w:ind w:firstLine="449"/>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If one or more of the significant inputs is not based on observable market data, the instrument is included in Level 3. This is the case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unlisted equity securities.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June 30, 2024</w:t>
            </w:r>
          </w:p>
        </w:tc>
        <w:tc>
          <w:tcPr>
            <w:tcW w:w="120" w:type="dxa"/>
            <w:vAlign w:val="bottom"/>
          </w:tcPr>
          <w:p>
            <w:pPr>
              <w:spacing w:after="0"/>
              <w:rPr>
                <w:sz w:val="16"/>
                <w:szCs w:val="16"/>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6"/>
        </w:trPr>
        <w:tc>
          <w:tcPr>
            <w:tcW w:w="6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20"/>
                <w:szCs w:val="20"/>
                <w:color w:val="auto"/>
              </w:rPr>
            </w:pPr>
          </w:p>
        </w:tc>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8"/>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shd w:val="clear" w:color="auto" w:fill="CFF0FC"/>
          </w:tcPr>
          <w:p>
            <w:pPr>
              <w:spacing w:after="0"/>
              <w:rPr>
                <w:sz w:val="24"/>
                <w:szCs w:val="24"/>
                <w:color w:val="auto"/>
              </w:rPr>
            </w:pPr>
          </w:p>
        </w:tc>
        <w:tc>
          <w:tcPr>
            <w:tcW w:w="136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1,059</w:t>
            </w:r>
          </w:p>
        </w:tc>
        <w:tc>
          <w:tcPr>
            <w:tcW w:w="220" w:type="dxa"/>
            <w:vAlign w:val="bottom"/>
            <w:shd w:val="clear" w:color="auto" w:fill="CFF0FC"/>
          </w:tcPr>
          <w:p>
            <w:pPr>
              <w:spacing w:after="0"/>
              <w:rPr>
                <w:sz w:val="24"/>
                <w:szCs w:val="2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65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Borders>
              <w:top w:val="single" w:sz="8" w:color="CFF0F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0"/>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Pr>
          <w:p>
            <w:pPr>
              <w:spacing w:after="0"/>
              <w:rPr>
                <w:sz w:val="20"/>
                <w:szCs w:val="20"/>
                <w:color w:val="auto"/>
              </w:rPr>
            </w:pPr>
          </w:p>
        </w:tc>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317,047</w:t>
            </w:r>
          </w:p>
        </w:tc>
        <w:tc>
          <w:tcPr>
            <w:tcW w:w="100" w:type="dxa"/>
            <w:vAlign w:val="bottom"/>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2023</w:t>
            </w:r>
          </w:p>
        </w:tc>
        <w:tc>
          <w:tcPr>
            <w:tcW w:w="120" w:type="dxa"/>
            <w:vAlign w:val="bottom"/>
          </w:tcPr>
          <w:p>
            <w:pPr>
              <w:spacing w:after="0"/>
              <w:rPr>
                <w:sz w:val="24"/>
                <w:szCs w:val="24"/>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24"/>
                <w:szCs w:val="24"/>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24"/>
                <w:szCs w:val="24"/>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6"/>
        </w:trPr>
        <w:tc>
          <w:tcPr>
            <w:tcW w:w="6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20"/>
                <w:szCs w:val="20"/>
                <w:color w:val="auto"/>
              </w:rPr>
            </w:pPr>
          </w:p>
        </w:tc>
        <w:tc>
          <w:tcPr>
            <w:tcW w:w="13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(part of other current receivables)</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tcPr>
          <w:p>
            <w:pPr>
              <w:spacing w:after="0"/>
              <w:rPr>
                <w:sz w:val="20"/>
                <w:szCs w:val="20"/>
                <w:color w:val="auto"/>
              </w:rPr>
            </w:pPr>
          </w:p>
        </w:tc>
        <w:tc>
          <w:tcPr>
            <w:tcW w:w="13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1,884</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20"/>
                <w:szCs w:val="20"/>
                <w:color w:val="auto"/>
              </w:rPr>
            </w:pPr>
          </w:p>
        </w:tc>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323,528</w:t>
            </w:r>
          </w:p>
        </w:tc>
        <w:tc>
          <w:tcPr>
            <w:tcW w:w="100" w:type="dxa"/>
            <w:vAlign w:val="bottom"/>
          </w:tcPr>
          <w:p>
            <w:pPr>
              <w:spacing w:after="0"/>
              <w:rPr>
                <w:sz w:val="20"/>
                <w:szCs w:val="20"/>
                <w:color w:val="auto"/>
              </w:rPr>
            </w:pPr>
          </w:p>
        </w:tc>
      </w:tr>
      <w:tr>
        <w:trPr>
          <w:trHeight w:val="278"/>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5070475</wp:posOffset>
            </wp:positionH>
            <wp:positionV relativeFrom="paragraph">
              <wp:posOffset>-1938655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-1921510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-1938655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-1921510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-1938655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-1921510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-1605280</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-1605280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-1605280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-682625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-682625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-682625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-24765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-7620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levels during the six months ended June 30, 2024 and the year ended December 31, 2023.</w:t>
      </w:r>
    </w:p>
    <w:p>
      <w:pPr>
        <w:spacing w:after="0" w:line="22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 xml:space="preserve">The carrying amount of the promissory note, is a reasonable approximation of fair value since the transaction was closed on March 1, 2023, and there have been no significant changes to credit risk or market rates during the period March 1, 2023 until June 30, 2024. See Note 12 </w:t>
      </w:r>
      <w:r>
        <w:rPr>
          <w:rFonts w:ascii="Times New Roman" w:cs="Times New Roman" w:eastAsia="Times New Roman" w:hAnsi="Times New Roman"/>
          <w:sz w:val="18"/>
          <w:szCs w:val="18"/>
          <w:i w:val="1"/>
          <w:iCs w:val="1"/>
          <w:color w:val="auto"/>
        </w:rPr>
        <w:t>Other non-current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receivables.</w:t>
      </w:r>
    </w:p>
    <w:p>
      <w:pPr>
        <w:spacing w:after="0" w:line="175"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 xml:space="preserve">The carrying amount of non-current liabilities to credit institutions in the Group is a reasonable approximation of fair value since the interest rate is variable and there have been no significant changes to credit risk since issued on April 18, 2023. See Note 19 </w:t>
      </w:r>
      <w:r>
        <w:rPr>
          <w:rFonts w:ascii="Times New Roman" w:cs="Times New Roman" w:eastAsia="Times New Roman" w:hAnsi="Times New Roman"/>
          <w:sz w:val="18"/>
          <w:szCs w:val="18"/>
          <w:i w:val="1"/>
          <w:iCs w:val="1"/>
          <w:color w:val="auto"/>
        </w:rPr>
        <w:t>Liabilities to credit institution.</w:t>
      </w:r>
    </w:p>
    <w:p>
      <w:pPr>
        <w:spacing w:after="0" w:line="163"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The carrying amount of current liabilities to credit institutions and other financial instruments in the Group is a reasonable approximation of fair value since they are short-term, and the discount effect is not significant.</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tcPr>
          <w:p>
            <w:pPr>
              <w:spacing w:after="0"/>
              <w:rPr>
                <w:sz w:val="16"/>
                <w:szCs w:val="16"/>
                <w:color w:val="auto"/>
              </w:rPr>
            </w:pPr>
          </w:p>
        </w:tc>
        <w:tc>
          <w:tcPr>
            <w:tcW w:w="2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Convertible Notes</w:t>
            </w:r>
          </w:p>
        </w:tc>
      </w:tr>
      <w:tr>
        <w:trPr>
          <w:trHeight w:val="23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100" w:type="dxa"/>
            <w:vAlign w:val="bottom"/>
            <w:shd w:val="clear" w:color="auto" w:fill="CFF0FC"/>
          </w:tcPr>
          <w:p>
            <w:pPr>
              <w:spacing w:after="0"/>
              <w:rPr>
                <w:sz w:val="20"/>
                <w:szCs w:val="20"/>
                <w:color w:val="auto"/>
              </w:rPr>
            </w:pPr>
          </w:p>
        </w:tc>
      </w:tr>
      <w:tr>
        <w:trPr>
          <w:trHeight w:val="23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(6,481 )</w:t>
            </w:r>
          </w:p>
        </w:tc>
      </w:tr>
      <w:tr>
        <w:trPr>
          <w:trHeight w:val="278"/>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317,047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9"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5847715</wp:posOffset>
            </wp:positionH>
            <wp:positionV relativeFrom="paragraph">
              <wp:posOffset>15875</wp:posOffset>
            </wp:positionV>
            <wp:extent cx="12217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955" cy="1536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 the Company is contractually obligated to pay to holders of the Convertible Notes at maturity</w:t>
      </w:r>
    </w:p>
    <w:p>
      <w:pPr>
        <w:spacing w:after="0" w:line="45" w:lineRule="exact"/>
        <w:rPr>
          <w:sz w:val="20"/>
          <w:szCs w:val="20"/>
          <w:color w:val="auto"/>
        </w:rPr>
      </w:pPr>
    </w:p>
    <w:p>
      <w:pPr>
        <w:ind w:left="20" w:right="1120"/>
        <w:spacing w:after="0" w:line="285" w:lineRule="auto"/>
        <w:rPr>
          <w:sz w:val="20"/>
          <w:szCs w:val="20"/>
          <w:color w:val="auto"/>
        </w:rPr>
      </w:pPr>
      <w:r>
        <w:rPr>
          <w:rFonts w:ascii="Times New Roman" w:cs="Times New Roman" w:eastAsia="Times New Roman" w:hAnsi="Times New Roman"/>
          <w:sz w:val="18"/>
          <w:szCs w:val="18"/>
          <w:b w:val="1"/>
          <w:bCs w:val="1"/>
          <w:color w:val="auto"/>
        </w:rPr>
        <w:t>Difference between carrying amount and the amount the Company is contractually obligated to pay to holders of Convertible Notes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955" cy="290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955" cy="290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317,047</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546,842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25400</wp:posOffset>
            </wp:positionV>
            <wp:extent cx="12217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(229,795 )</w:t>
      </w:r>
    </w:p>
    <w:p>
      <w:pPr>
        <w:spacing w:after="0" w:line="321" w:lineRule="exact"/>
        <w:rPr>
          <w:sz w:val="20"/>
          <w:szCs w:val="20"/>
          <w:color w:val="auto"/>
        </w:rPr>
      </w:pPr>
    </w:p>
    <w:p>
      <w:pPr>
        <w:sectPr>
          <w:pgSz w:w="11900" w:h="16838" w:orient="portrait"/>
          <w:cols w:equalWidth="0" w:num="2">
            <w:col w:w="9760" w:space="720"/>
            <w:col w:w="760"/>
          </w:cols>
          <w:pgMar w:left="320" w:top="763" w:right="339" w:bottom="1440" w:gutter="0" w:footer="0" w:header="0"/>
          <w:type w:val="continuous"/>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2"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spacing w:after="0" w:line="183"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The fair value of the instrument in its entirety has been determined by using a combination of a Monte Carlo simulation and a discounted cash flow analysis.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key inputs and assumptions used in the valuation model as of June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0" w:type="dxa"/>
            <w:vAlign w:val="bottom"/>
          </w:tcPr>
          <w:p>
            <w:pPr>
              <w:spacing w:after="0"/>
              <w:rPr>
                <w:sz w:val="15"/>
                <w:szCs w:val="15"/>
                <w:color w:val="auto"/>
              </w:rPr>
            </w:pPr>
          </w:p>
        </w:tc>
        <w:tc>
          <w:tcPr>
            <w:tcW w:w="20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6"/>
        </w:trPr>
        <w:tc>
          <w:tcPr>
            <w:tcW w:w="9200" w:type="dxa"/>
            <w:vAlign w:val="bottom"/>
            <w:shd w:val="clear" w:color="auto" w:fill="CFF0FC"/>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Conversion price ($) </w:t>
            </w:r>
            <w:r>
              <w:rPr>
                <w:rFonts w:ascii="Times New Roman" w:cs="Times New Roman" w:eastAsia="Times New Roman" w:hAnsi="Times New Roman"/>
                <w:sz w:val="24"/>
                <w:szCs w:val="24"/>
                <w:color w:val="auto"/>
                <w:vertAlign w:val="superscript"/>
              </w:rPr>
              <w:t>(1)</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1.36-1.89</w:t>
            </w:r>
          </w:p>
        </w:tc>
        <w:tc>
          <w:tcPr>
            <w:tcW w:w="100" w:type="dxa"/>
            <w:vAlign w:val="bottom"/>
            <w:shd w:val="clear" w:color="auto" w:fill="CFF0FC"/>
          </w:tcPr>
          <w:p>
            <w:pPr>
              <w:spacing w:after="0"/>
              <w:rPr>
                <w:sz w:val="20"/>
                <w:szCs w:val="20"/>
                <w:color w:val="auto"/>
              </w:rPr>
            </w:pPr>
          </w:p>
        </w:tc>
      </w:tr>
      <w:tr>
        <w:trPr>
          <w:trHeight w:val="23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price at valuation date ($)</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0"/>
                <w:szCs w:val="20"/>
                <w:color w:val="auto"/>
              </w:rPr>
            </w:pPr>
          </w:p>
        </w:tc>
      </w:tr>
      <w:tr>
        <w:trPr>
          <w:trHeight w:val="24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price volatility of the Company share (%)</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FF0FC"/>
          </w:tcPr>
          <w:p>
            <w:pPr>
              <w:spacing w:after="0"/>
              <w:rPr>
                <w:sz w:val="21"/>
                <w:szCs w:val="21"/>
                <w:color w:val="auto"/>
              </w:rPr>
            </w:pPr>
          </w:p>
        </w:tc>
      </w:tr>
      <w:tr>
        <w:trPr>
          <w:trHeight w:val="23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0"/>
                <w:szCs w:val="20"/>
                <w:color w:val="auto"/>
              </w:rPr>
            </w:pPr>
          </w:p>
        </w:tc>
      </w:tr>
      <w:tr>
        <w:trPr>
          <w:trHeight w:val="24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interest rate (%)</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FF0FC"/>
          </w:tcPr>
          <w:p>
            <w:pPr>
              <w:spacing w:after="0"/>
              <w:rPr>
                <w:sz w:val="21"/>
                <w:szCs w:val="21"/>
                <w:color w:val="auto"/>
              </w:rPr>
            </w:pPr>
          </w:p>
        </w:tc>
      </w:tr>
    </w:tbl>
    <w:p>
      <w:pPr>
        <w:jc w:val="both"/>
        <w:ind w:right="140" w:firstLine="8"/>
        <w:spacing w:after="0" w:line="271"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Convertible Notes are convertible at the option of each holder at a conversion price of $1.81-1.89 per ordinary share or per ADS, subject to customary anti-dilution adjustments and a conversion rate reset on March 23, 2025. For further details on the Convertible Notes and the conversion price reset mechanism, see Note 21 </w:t>
      </w:r>
      <w:r>
        <w:rPr>
          <w:rFonts w:ascii="Times New Roman" w:cs="Times New Roman" w:eastAsia="Times New Roman" w:hAnsi="Times New Roman"/>
          <w:sz w:val="16"/>
          <w:szCs w:val="16"/>
          <w:i w:val="1"/>
          <w:iCs w:val="1"/>
          <w:color w:val="auto"/>
        </w:rPr>
        <w:t>Convertible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Notes.</w:t>
      </w:r>
    </w:p>
    <w:p>
      <w:pPr>
        <w:spacing w:after="0" w:line="179"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The market interest rate has been assessed based on the observed range of yields on corporate bonds with comparable terms and comparable credit ratings to that of the Group.</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impact of the key inputs and assumptions on the fair value of the Convertible Notes: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price decrease 30%</w:t>
            </w:r>
          </w:p>
        </w:tc>
        <w:tc>
          <w:tcPr>
            <w:tcW w:w="15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8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288,277</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price increase 30%</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348,350</w:t>
            </w: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Volatility decrease 10 percentage points</w:t>
            </w: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309,899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increase 10 percentage points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324,536</w:t>
            </w: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 decrease 1 percentage point</w:t>
            </w: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316,552</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increase 1 percentage point</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317,502</w:t>
            </w: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interest rate decrease 1 percentage point</w:t>
            </w: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325,757</w:t>
            </w:r>
          </w:p>
        </w:tc>
        <w:tc>
          <w:tcPr>
            <w:tcW w:w="100" w:type="dxa"/>
            <w:vAlign w:val="bottom"/>
            <w:shd w:val="clear" w:color="auto" w:fill="CFF0FC"/>
          </w:tcPr>
          <w:p>
            <w:pPr>
              <w:spacing w:after="0"/>
              <w:rPr>
                <w:sz w:val="21"/>
                <w:szCs w:val="21"/>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interest rate increase 1 percentage point</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308,704</w:t>
            </w:r>
          </w:p>
        </w:tc>
        <w:tc>
          <w:tcPr>
            <w:tcW w:w="100" w:type="dxa"/>
            <w:vAlign w:val="bottom"/>
          </w:tcPr>
          <w:p>
            <w:pPr>
              <w:spacing w:after="0"/>
              <w:rPr>
                <w:sz w:val="20"/>
                <w:szCs w:val="20"/>
                <w:color w:val="auto"/>
              </w:rPr>
            </w:pPr>
          </w:p>
        </w:tc>
      </w:tr>
      <w:tr>
        <w:trPr>
          <w:trHeight w:val="439"/>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on the Convertible Notes, see Note 21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Inventories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770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14,571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65,245</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51,382</w:t>
            </w:r>
          </w:p>
        </w:tc>
        <w:tc>
          <w:tcPr>
            <w:tcW w:w="100" w:type="dxa"/>
            <w:vAlign w:val="bottom"/>
          </w:tcPr>
          <w:p>
            <w:pPr>
              <w:spacing w:after="0"/>
              <w:rPr>
                <w:sz w:val="20"/>
                <w:szCs w:val="20"/>
                <w:color w:val="auto"/>
              </w:rPr>
            </w:pPr>
          </w:p>
        </w:tc>
      </w:tr>
      <w:tr>
        <w:trPr>
          <w:trHeight w:val="27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79,816</w:t>
            </w:r>
          </w:p>
        </w:tc>
        <w:tc>
          <w:tcPr>
            <w:tcW w:w="2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67,882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Inventories recognized as an expense for the three months ended June 30, 2024 amounted to $135.2 million (2023: $149.4 million). Inventories recognized as an expense for the six months ended June 30, 2024 amounted to $273.0 million (2023: $302.3 million). The expenses were included in cost of goods sold.</w:t>
      </w:r>
    </w:p>
    <w:p>
      <w:pPr>
        <w:spacing w:after="0" w:line="175"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Write-downs of inventories to net realizable value for the three months ended June 30, 2024 amounted to $0.2 million (2023: $4.1 million). Write-downs of inventories to net realizable value for the six months ended June 30, 2024 amounted to $0.5 million (2023: $7.6 million). The write-downs were recognized as an expense for each period and included in cost of goods sold.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Trade receivables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104,969</w:t>
            </w:r>
          </w:p>
        </w:tc>
        <w:tc>
          <w:tcPr>
            <w:tcW w:w="22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114,171</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(1,291 )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(1,220 )</w:t>
            </w:r>
          </w:p>
        </w:tc>
      </w:tr>
      <w:tr>
        <w:trPr>
          <w:trHeight w:val="27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Trade receivables—net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103,678</w:t>
            </w:r>
          </w:p>
        </w:tc>
        <w:tc>
          <w:tcPr>
            <w:tcW w:w="2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112,951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3"/>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Carrying amounts, by currency, for the Group’s trade receivables are as follows: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700" w:type="dxa"/>
            <w:vAlign w:val="bottom"/>
          </w:tcPr>
          <w:p>
            <w:pPr>
              <w:spacing w:after="0"/>
              <w:rPr>
                <w:sz w:val="19"/>
                <w:szCs w:val="19"/>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29,355</w:t>
            </w:r>
          </w:p>
        </w:tc>
        <w:tc>
          <w:tcPr>
            <w:tcW w:w="22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31,523</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27,765</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tcPr>
          <w:p>
            <w:pPr>
              <w:spacing w:after="0"/>
              <w:rPr>
                <w:sz w:val="20"/>
                <w:szCs w:val="20"/>
                <w:color w:val="auto"/>
              </w:rPr>
            </w:pPr>
          </w:p>
        </w:tc>
      </w:tr>
      <w:tr>
        <w:trPr>
          <w:trHeight w:val="27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103,678</w:t>
            </w:r>
          </w:p>
        </w:tc>
        <w:tc>
          <w:tcPr>
            <w:tcW w:w="2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112,951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-1562735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-1545590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-1562735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-1545590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maximum exposure to credit risk on the date of the statement of financial position is the carrying amounts according to the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current receivables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to vendors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derivatives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100" w:type="dxa"/>
            <w:vAlign w:val="bottom"/>
          </w:tcPr>
          <w:p>
            <w:pPr>
              <w:spacing w:after="0"/>
              <w:rPr>
                <w:sz w:val="20"/>
                <w:szCs w:val="20"/>
                <w:color w:val="auto"/>
              </w:rPr>
            </w:pPr>
          </w:p>
        </w:tc>
      </w:tr>
      <w:tr>
        <w:trPr>
          <w:trHeight w:val="27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15,879</w:t>
            </w:r>
          </w:p>
        </w:tc>
        <w:tc>
          <w:tcPr>
            <w:tcW w:w="2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20" w:firstLine="449"/>
        <w:spacing w:after="0" w:line="311" w:lineRule="auto"/>
        <w:rPr>
          <w:sz w:val="20"/>
          <w:szCs w:val="20"/>
          <w:color w:val="auto"/>
        </w:rPr>
      </w:pPr>
      <w:r>
        <w:rPr>
          <w:rFonts w:ascii="Times New Roman" w:cs="Times New Roman" w:eastAsia="Times New Roman" w:hAnsi="Times New Roman"/>
          <w:sz w:val="17"/>
          <w:szCs w:val="17"/>
          <w:color w:val="auto"/>
        </w:rPr>
        <w:t>As of December 31, 2023, other included a receivable of $12.2 million related to production equipment returned to a supplier due to the decision to discontinue the construction of the new production facility in Peterborough, UK. The receivable was settled during the three months ended March 31,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Cash and cash equivalents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6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deposits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bank and on hand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87,728</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79,299</w:t>
            </w:r>
          </w:p>
        </w:tc>
        <w:tc>
          <w:tcPr>
            <w:tcW w:w="100" w:type="dxa"/>
            <w:vAlign w:val="bottom"/>
          </w:tcPr>
          <w:p>
            <w:pPr>
              <w:spacing w:after="0"/>
              <w:rPr>
                <w:sz w:val="20"/>
                <w:szCs w:val="20"/>
                <w:color w:val="auto"/>
              </w:rPr>
            </w:pPr>
          </w:p>
        </w:tc>
      </w:tr>
      <w:tr>
        <w:trPr>
          <w:trHeight w:val="27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142,728</w:t>
            </w:r>
          </w:p>
        </w:tc>
        <w:tc>
          <w:tcPr>
            <w:tcW w:w="2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249,299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Short-term deposits are time deposits and structured deposits, with maturities of one to three months. The expected change in value is assessed as insignificant since the amount received cannot be less than the amount deposited.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Equity</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Treasury shares</w:t>
      </w:r>
    </w:p>
    <w:p>
      <w:pPr>
        <w:spacing w:after="0" w:line="22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In May 2021, the shareholders resolved to issue 69,497 thousand warrants to secure the future delivery of shares under the 2021 Plan. During May 2024, the Company exercised 3,667 thousand warrants (May 2023: 2,882 thousand warrants, May 2022: 650 thousand warrants). As of June 30, 2024 and December 31, 2023, there were 62,298 and 65,965 thousand warrants outstanding, respectively.</w:t>
      </w:r>
    </w:p>
    <w:p>
      <w:pPr>
        <w:spacing w:after="0" w:line="175"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Upon exercise of the warrants in May 2024, 3,667 thousand ordinary shares were allotted and issued, and 2,897 thousand ordinary shares were converted to American Depositary Shares to be delivered to participants under the 2021 Incentive Award Plan related to the vesting of the May 2021, May 2022 and May 2023 grants. The remaining balance is held as treasury shares to enable the Company’s timely delivery of shares upon the exercise of outstanding share options and to meet future vesting of the RSUs.</w:t>
      </w:r>
    </w:p>
    <w:p>
      <w:pPr>
        <w:sectPr>
          <w:pgSz w:w="11900" w:h="16838" w:orient="portrait"/>
          <w:cols w:equalWidth="0" w:num="1">
            <w:col w:w="11240"/>
          </w:cols>
          <w:pgMar w:left="320" w:top="763"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2"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As of June 30, 2024 and December 31, 2023, 597,957 and 595,060 thousand ordinary shares, respectively were registered, and the par value per share was $0.00018 (SEK 0.0015). The Company had 1,019 thousand treasury shares as of June 30, 2024 and 249 thousand treasury shares as of December 31, 2023.</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contributed capital</w:t>
      </w:r>
    </w:p>
    <w:p>
      <w:pPr>
        <w:spacing w:after="0" w:line="227"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As of June 30, 2024 and December 31, 2023 other contributed capital of $1,628.0 million consists of share premium, shareholders contribution and proceeds from warrant issues.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reserves</w:t>
      </w:r>
    </w:p>
    <w:p>
      <w:pPr>
        <w:spacing w:after="0" w:line="22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As of June 30, 2024 other reserves of $(253.6) million consists of fair value reserve of $(72.7) million related to fair value gains and losses on the Convertible Notes attributable to changes in the Group’s credit risk, and foreign currency translation reserve of $(180.9) million primarily related to the exchange differences occurring from the translation of foreign operations in another currency than the reporting currency of the Group (USD).</w:t>
      </w:r>
    </w:p>
    <w:p>
      <w:pPr>
        <w:spacing w:after="0" w:line="175"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As of December 31, 2023 other reserves of $(233.2) million consists of fair value reserve of $(72.7) million related to fair value gains and losses on the Convertible Notes attributable to changes in the Group’s credit risk, and foreign currency translation reserve of $(160.5) million primarily related to the exchange differences occurring from the translation of foreign operations in another currency than the reporting currency of the Group (USD).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Accumulated deficit</w:t>
      </w:r>
    </w:p>
    <w:p>
      <w:pPr>
        <w:spacing w:after="0" w:line="227"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As of June 30, 2024 and December 31, 2023, accumulated deficit of $(1,130.3) million and $(1,061.0) million, respectively, consists of accumulated losses and share-based compensation.</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June 30, 2024, non-controlling interests amounted to $1.7 million.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Liabilities to credit institutions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6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 to credit institutions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115,486</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114,249</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to credit institutions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tcPr>
          <w:p>
            <w:pPr>
              <w:spacing w:after="0"/>
              <w:rPr>
                <w:sz w:val="20"/>
                <w:szCs w:val="20"/>
                <w:color w:val="auto"/>
              </w:rPr>
            </w:pPr>
          </w:p>
        </w:tc>
      </w:tr>
      <w:tr>
        <w:trPr>
          <w:trHeight w:val="27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121,436</w:t>
            </w:r>
          </w:p>
        </w:tc>
        <w:tc>
          <w:tcPr>
            <w:tcW w:w="2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120,305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As of June 30, 2024 and December 31, 2023, the Liabilities to credit institutions balance amounted to $121.4 million and $120.3 million, respectively, and was related to outstanding amounts under the TLB Credit Agreement (as defined below) and the EIF Facility (as defined below).</w:t>
      </w:r>
    </w:p>
    <w:p>
      <w:pPr>
        <w:spacing w:after="0" w:line="163"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The European Investment Fund guaranteed three-year term loan facility with Svensk Exportkredit (the “EIF Facility”) was entered into in October 2019. In October 2022, the EIF Facility was amended to extend the term for another three years, with a maturity date in October 2025. The loan facility and interest margin remain unchanged. As of June 30, 2024 and December 31, 2023, the Group had €1.9 million (equivalent of $2.0 million) and €2.5 million (equivalent of $2.8 million), respectively, outstanding on the EIF Facility, including accrued interest.</w:t>
      </w:r>
    </w:p>
    <w:p>
      <w:pPr>
        <w:spacing w:after="0" w:line="18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In April 2023, the Company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borrowed by Oatly AB. The term of the TLB Credit Agreement is five years from the funding date of the term loan facility, and the term loan facility is subject to 1% amortization per annum paid in quarterly installments. Borrowings carry an interest rate of Term SOFR (with floor of 2.50%) plus 7.5% or Base Rate (with floor of 3.50%) plus 6.5%. The TLB Credit</w:t>
      </w:r>
    </w:p>
    <w:p>
      <w:pPr>
        <w:sectPr>
          <w:pgSz w:w="11900" w:h="16838" w:orient="portrait"/>
          <w:cols w:equalWidth="0" w:num="1">
            <w:col w:w="11240"/>
          </w:cols>
          <w:pgMar w:left="320" w:top="763"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Agreement, contains ongoing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and the SRCF Agreement by way of the Intercreditor Agreement. As of June 30, 2024 and December 31, 2023, the Group had $119.4 million and $117.5 million, respectively, outstanding on the TLB Credit Agreement, including accrued interest and net after original issue discount and transaction costs.</w:t>
      </w:r>
    </w:p>
    <w:p>
      <w:pPr>
        <w:spacing w:after="0" w:line="187" w:lineRule="exact"/>
        <w:rPr>
          <w:sz w:val="20"/>
          <w:szCs w:val="20"/>
          <w:color w:val="auto"/>
        </w:rPr>
      </w:pPr>
    </w:p>
    <w:p>
      <w:pPr>
        <w:jc w:val="both"/>
        <w:ind w:firstLine="498"/>
        <w:spacing w:after="0" w:line="253" w:lineRule="auto"/>
        <w:rPr>
          <w:sz w:val="20"/>
          <w:szCs w:val="20"/>
          <w:color w:val="auto"/>
        </w:rPr>
      </w:pPr>
      <w:r>
        <w:rPr>
          <w:rFonts w:ascii="Times New Roman" w:cs="Times New Roman" w:eastAsia="Times New Roman" w:hAnsi="Times New Roman"/>
          <w:sz w:val="18"/>
          <w:szCs w:val="18"/>
          <w:color w:val="auto"/>
        </w:rPr>
        <w:t>In April 2023,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including in relation to incurrence of indebtedness, and (vi) the debt under the SRCF Agreement ranks pari passu with, and shares in the same security and guarantees from the Group as, the EIF Facility and the TLB Credit Agreement by way of the Intercreditor Agreement. As of June 30, 2024 and December 31, 2023, the Group had no utilized loan amounts under the amended SRCF Agreement.</w:t>
      </w:r>
    </w:p>
    <w:p>
      <w:pPr>
        <w:spacing w:after="0" w:line="189" w:lineRule="exact"/>
        <w:rPr>
          <w:sz w:val="20"/>
          <w:szCs w:val="20"/>
          <w:color w:val="auto"/>
        </w:rPr>
      </w:pPr>
    </w:p>
    <w:p>
      <w:pPr>
        <w:jc w:val="both"/>
        <w:ind w:firstLine="513"/>
        <w:spacing w:after="0" w:line="259" w:lineRule="auto"/>
        <w:rPr>
          <w:sz w:val="20"/>
          <w:szCs w:val="20"/>
          <w:color w:val="auto"/>
        </w:rPr>
      </w:pPr>
      <w:r>
        <w:rPr>
          <w:rFonts w:ascii="Times New Roman" w:cs="Times New Roman" w:eastAsia="Times New Roman" w:hAnsi="Times New Roman"/>
          <w:sz w:val="18"/>
          <w:szCs w:val="18"/>
          <w:color w:val="auto"/>
        </w:rPr>
        <w:t xml:space="preserve">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 See Note 21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xml:space="preserve"> for more information on the Company’s Convertible Notes.</w:t>
      </w:r>
    </w:p>
    <w:p>
      <w:pPr>
        <w:spacing w:after="0" w:line="18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February 14, 2024, the Sustainable Revolving Credit Facility Agreement and the Term Loan 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Sustainable Revolving Credit Facility Agreement, the tangible solvency ratio financial covenant,</w:t>
      </w:r>
    </w:p>
    <w:p>
      <w:pPr>
        <w:spacing w:after="0" w:line="3" w:lineRule="exact"/>
        <w:rPr>
          <w:sz w:val="20"/>
          <w:szCs w:val="20"/>
          <w:color w:val="auto"/>
        </w:rPr>
      </w:pPr>
    </w:p>
    <w:p>
      <w:pPr>
        <w:jc w:val="both"/>
        <w:ind w:firstLine="8"/>
        <w:spacing w:after="0" w:line="251"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certain financial definitions to permit additional adjustments for the purpose of the calculation of the financial covenants and (iii) provide certain flexibility for disposals of assets relating to the Group’s production facilities in Dallas Fort Worth, Texas, United States of America and Peterborough, United Kingdom. In addition, the existing draw-stop level for the Sustainable Revolving Credit Facility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Term Loan B Credit Agreement has been reset to apply for the 18 months following the amendment effective date (for the avoidance of doubt, the subsequent 12 months’ prepayment fee period still applies after the end of such 18-month period).</w:t>
      </w:r>
    </w:p>
    <w:p>
      <w:pPr>
        <w:spacing w:after="0" w:line="188"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Under the amended Sustainable Revolving Credit Facility Agreement and Term Loan 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Sustainable Revolving Credit Facility Agreement is 30%.</w:t>
      </w:r>
    </w:p>
    <w:p>
      <w:pPr>
        <w:spacing w:after="0" w:line="183"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On February 14, 2024, the EIF Facility was amended and restated to, where and to the extent applicable, implement equivalent amendments as those made to the Sustainable Revolving Credit Facility Agreement on February 14, 2024.</w:t>
      </w:r>
    </w:p>
    <w:p>
      <w:pPr>
        <w:spacing w:after="0" w:line="16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on the Group’s credit facilities, see Item 2.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Liquidity and Capital Resources”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(transaction risk)</w:t>
      </w:r>
    </w:p>
    <w:p>
      <w:pPr>
        <w:spacing w:after="0" w:line="22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The TLB Credit Agreement is denominated in USD and the borrower within the Group is Oatly AB with a functional currency of SEK. The Group is therefore exposed to currency risk SEK/USD and if the rate would increase/decrease by 10% the impact on loss before tax for the six months ended June 30, 2024, would be $11.6 million.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ectPr>
          <w:pgSz w:w="11900" w:h="16838" w:orient="portrait"/>
          <w:cols w:equalWidth="0" w:num="1">
            <w:col w:w="11240"/>
          </w:cols>
          <w:pgMar w:left="320" w:top="763"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Group is exposed to interest rate risk that arises from the term loan that carries an interest of Term SOFR with a floor of 2.5%. To manage the risk the Group has entered into interest rate caps for the full amount of the term loan of $130 million. The cap is 4.6% and has a maturity of 3 years (April 2026). As of June 30, 2024, the cap is in the money and the Group is not exposed to changes in the variable interest rate above 4.6%. If variable interest increased by 300 basis points the impact on loss before tax for the six months ended June 30, 2024, would be zero since the interest rate caps are in the money as of this date. If variable interest decreased by 300 basis points the impact on loss before tax for the six months ended June 30, 2024, would be $0.5 million, taking into account the floor of 2.5% in the term loan.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Provisions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1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Decommissioning</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Legal settlement</w:t>
            </w:r>
          </w:p>
        </w:tc>
      </w:tr>
      <w:tr>
        <w:trPr>
          <w:trHeight w:val="23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35,263</w:t>
            </w:r>
          </w:p>
        </w:tc>
        <w:tc>
          <w:tcPr>
            <w:tcW w:w="220" w:type="dxa"/>
            <w:vAlign w:val="bottom"/>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1,531</w:t>
            </w:r>
          </w:p>
        </w:tc>
        <w:tc>
          <w:tcPr>
            <w:tcW w:w="22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9,250</w:t>
            </w:r>
          </w:p>
        </w:tc>
        <w:tc>
          <w:tcPr>
            <w:tcW w:w="100" w:type="dxa"/>
            <w:vAlign w:val="bottom"/>
            <w:shd w:val="clear" w:color="auto" w:fill="CFF0FC"/>
          </w:tcPr>
          <w:p>
            <w:pPr>
              <w:spacing w:after="0"/>
              <w:rPr>
                <w:sz w:val="20"/>
                <w:szCs w:val="20"/>
                <w:color w:val="auto"/>
              </w:rPr>
            </w:pPr>
          </w:p>
        </w:tc>
      </w:tr>
      <w:tr>
        <w:trPr>
          <w:trHeight w:val="23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the consolidated statement of operations:</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Additional provisions recognized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Unwinding of discount effect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Reversal of non-utilized amounts</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(368 )</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used during the year</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(28,933 )</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(9,250 )</w:t>
            </w:r>
          </w:p>
        </w:tc>
      </w:tr>
      <w:tr>
        <w:trPr>
          <w:trHeight w:val="24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Charged to other comprehensive loss:</w:t>
            </w: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Exchange differences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6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8,897</w:t>
            </w:r>
          </w:p>
        </w:tc>
        <w:tc>
          <w:tcPr>
            <w:tcW w:w="22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1,514</w:t>
            </w:r>
          </w:p>
        </w:tc>
        <w:tc>
          <w:tcPr>
            <w:tcW w:w="22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20" w:type="dxa"/>
            <w:vAlign w:val="bottom"/>
          </w:tcPr>
          <w:p>
            <w:pPr>
              <w:spacing w:after="0"/>
              <w:rPr>
                <w:sz w:val="21"/>
                <w:szCs w:val="21"/>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220" w:type="dxa"/>
            <w:vAlign w:val="bottom"/>
            <w:shd w:val="clear" w:color="auto" w:fill="CFF0FC"/>
          </w:tcPr>
          <w:p>
            <w:pPr>
              <w:spacing w:after="0"/>
              <w:rPr>
                <w:sz w:val="23"/>
                <w:szCs w:val="23"/>
                <w:color w:val="auto"/>
              </w:rPr>
            </w:pP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-366395</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-349885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-366395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-349885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-366395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-349885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The restructuring provisions recorded in 2023 was principally related to decommissioning and other exit costs for the discontinued construction of the production facilities in Peterborough, UK and Dallas-Fort Worth, Texas. The Group also recorded provisions related to organizational restructuring. The organizational restructuring plan was drawn up and announced to the employees during 2023.</w:t>
      </w:r>
    </w:p>
    <w:p>
      <w:pPr>
        <w:spacing w:after="0" w:line="202"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During the six months ended June 30, 2024, as part of continuing the exit of the above-mentioned production facilities, the Group had $25.4 million in cash outflows primarily relating to the production facility in Peterborough, UK.</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Decommissioning</w:t>
      </w:r>
    </w:p>
    <w:p>
      <w:pPr>
        <w:spacing w:after="0" w:line="227"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The provision recognized for decommissioning costs relates to restoration costs for leased production facilities. The decommissioning is expected to be settled at the end of the respective lease term.</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w:t>
      </w:r>
    </w:p>
    <w:p>
      <w:pPr>
        <w:spacing w:after="0" w:line="227"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 xml:space="preserve">The legal settlement provision recognized in 2023 was paid during the second quarter of 2024. For information regarding the legal settlement, see Note 25 </w:t>
      </w:r>
      <w:r>
        <w:rPr>
          <w:rFonts w:ascii="Times New Roman" w:cs="Times New Roman" w:eastAsia="Times New Roman" w:hAnsi="Times New Roman"/>
          <w:sz w:val="18"/>
          <w:szCs w:val="18"/>
          <w:i w:val="1"/>
          <w:iCs w:val="1"/>
          <w:color w:val="auto"/>
        </w:rPr>
        <w:t>Commitments and Contingencies.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Convertible Notes</w:t>
      </w:r>
    </w:p>
    <w:p>
      <w:pPr>
        <w:spacing w:after="0" w:line="227"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18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75"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w:t>
      </w:r>
    </w:p>
    <w:p>
      <w:pPr>
        <w:sectPr>
          <w:pgSz w:w="11900" w:h="16838" w:orient="portrait"/>
          <w:cols w:equalWidth="0" w:num="1">
            <w:col w:w="11240"/>
          </w:cols>
          <w:pgMar w:left="320" w:top="763"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The conversion price may be reset again on March 23, 2025 if the average of the daily volume-weighted average prices of the ADSs for the 30 consecutive trading days immediately preceding March 23, 2025 is below a specified price. The conversion price of the Original Convertible Notes, before considering customary anti-dilution adjustments, cannot be reset to lower than $1.36 on March 23, 2025. The Company may require conversion of the Convertible Notes if the last reported sale price of the Company’s ADSs equals or exceeds 200% of the applicable conversion price on any 45 trading days during any 90 consecutive day period beginning on or after the third anniversary of the issuance of the U.S. Notes (with respect to the U.S. Notes and the HH Notes) and the Swedish Notes (with respect to the Swedish Notes).</w:t>
      </w:r>
    </w:p>
    <w:p>
      <w:pPr>
        <w:spacing w:after="0" w:line="185"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the Intercreditor Agreement which includes customary ranking, enforcement and turnover provisions intended to govern the relationship between the creditor groups and which affect e.g. the Convertible Notes.</w:t>
      </w:r>
    </w:p>
    <w:p>
      <w:pPr>
        <w:spacing w:after="0" w:line="16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w:t>
      </w:r>
    </w:p>
    <w:p>
      <w:pPr>
        <w:spacing w:after="0" w:line="2" w:lineRule="exact"/>
        <w:rPr>
          <w:sz w:val="20"/>
          <w:szCs w:val="20"/>
          <w:color w:val="auto"/>
        </w:rPr>
      </w:pPr>
    </w:p>
    <w:p>
      <w:pPr>
        <w:jc w:val="both"/>
        <w:ind w:firstLine="8"/>
        <w:spacing w:after="0" w:line="250"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were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On March 23, 2024, the conversion price of the HH Notes was reset to $1.89 in accordance with the terms thereof. The conversion price may be reset again on March 23, 2025 if the average of the daily volume-weighted average prices of the ADSs for the 30 consecutive trading days immediately preceding March 23, 2025 is below a specified price. The conversion price of the HH Notes, before considering customary anti-dilution adjustments, cannot be reset to lower than $1.41 on March 23, 2025. 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Intercreditor Agreement.</w:t>
      </w:r>
    </w:p>
    <w:p>
      <w:pPr>
        <w:spacing w:after="0" w:line="19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the Company’s ability to incur additional debt other than certain debt permitted under the TLB Credit Agreement, issue preferred stock, and incur convertible debt or subordinated debt, in each case without the consent of the holders of a majority of the Convertible Notes (as determined pursuant to the terms of the applicable Convertible Notes).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details on the fair value on Convertible Notes, see Note 13 </w:t>
      </w:r>
      <w:r>
        <w:rPr>
          <w:rFonts w:ascii="Times New Roman" w:cs="Times New Roman" w:eastAsia="Times New Roman" w:hAnsi="Times New Roman"/>
          <w:sz w:val="18"/>
          <w:szCs w:val="18"/>
          <w:i w:val="1"/>
          <w:iCs w:val="1"/>
          <w:color w:val="auto"/>
        </w:rPr>
        <w:t>Fair value of financial instruments.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Accrued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production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26,140</w:t>
            </w: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marketing and sales expenses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19,728</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logistic expenses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25,631</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25,535</w:t>
            </w:r>
          </w:p>
        </w:tc>
        <w:tc>
          <w:tcPr>
            <w:tcW w:w="100" w:type="dxa"/>
            <w:vAlign w:val="bottom"/>
          </w:tcPr>
          <w:p>
            <w:pPr>
              <w:spacing w:after="0"/>
              <w:rPr>
                <w:sz w:val="20"/>
                <w:szCs w:val="20"/>
                <w:color w:val="auto"/>
              </w:rPr>
            </w:pPr>
          </w:p>
        </w:tc>
      </w:tr>
      <w:tr>
        <w:trPr>
          <w:trHeight w:val="27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125,205</w:t>
            </w:r>
          </w:p>
        </w:tc>
        <w:tc>
          <w:tcPr>
            <w:tcW w:w="2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121,338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Related party disclosures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to related parties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Information about share-based compensation to related parties is found in Note 6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22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expensed $0.7 million and $0.9 million (2023: $0.1 million and $0.5 million), respectively, pursuant to a Distribution Agreement with the distribution company Chef Sam, of which Bernard Hours, a member of the Board of Directors, is a 33% owner.</w:t>
      </w:r>
    </w:p>
    <w:p>
      <w:pPr>
        <w:sectPr>
          <w:pgSz w:w="11900" w:h="16838" w:orient="portrait"/>
          <w:cols w:equalWidth="0" w:num="1">
            <w:col w:w="11240"/>
          </w:cols>
          <w:pgMar w:left="320" w:top="763"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2"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 xml:space="preserve">On April 18, 2023 the Company issued Convertible Notes to related parties, Nativus Company Limited and Verlinvest S.A, with a fair value of $174.0 million. As of June 30, 2024, the fair value of the outstanding Convertible Notes to related parties amounted to $155.3 million. The Convertible Notes were issued with the terms and conditions described in Note 21 </w:t>
      </w:r>
      <w:r>
        <w:rPr>
          <w:rFonts w:ascii="Times New Roman" w:cs="Times New Roman" w:eastAsia="Times New Roman" w:hAnsi="Times New Roman"/>
          <w:sz w:val="18"/>
          <w:szCs w:val="18"/>
          <w:i w:val="1"/>
          <w:iCs w:val="1"/>
          <w:color w:val="auto"/>
        </w:rPr>
        <w:t>Convertible Notes.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Loss per share</w:t>
      </w:r>
    </w:p>
    <w:p>
      <w:pPr>
        <w:spacing w:after="0" w:line="227"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The Company calculates loss per share by dividing loss for the period attributable to the shareholders of the parent by the weighted average number of shares outstanding during the period (net of treasury shares).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8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4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2"/>
        </w:trPr>
        <w:tc>
          <w:tcPr>
            <w:tcW w:w="58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for the year, attributable to the shareholders of the parent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(30,384 )</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(86,719 )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(76,183 )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(162,296 )</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(thousands)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596,243</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593,190</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595,655</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592,757</w:t>
            </w:r>
          </w:p>
        </w:tc>
        <w:tc>
          <w:tcPr>
            <w:tcW w:w="100" w:type="dxa"/>
            <w:vAlign w:val="bottom"/>
          </w:tcPr>
          <w:p>
            <w:pPr>
              <w:spacing w:after="0"/>
              <w:rPr>
                <w:sz w:val="20"/>
                <w:szCs w:val="20"/>
                <w:color w:val="auto"/>
              </w:rPr>
            </w:pP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 U.S. $</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(0.15 )</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(0.13 )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(0.27 )</w:t>
            </w: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Potential dilutive securities that were not included in the diluted loss per share calculations because they would be anti-dilutive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58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6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8"/>
        </w:trPr>
        <w:tc>
          <w:tcPr>
            <w:tcW w:w="58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17,680,096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10,266,805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17,680,096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10,266,805</w:t>
            </w:r>
          </w:p>
        </w:tc>
        <w:tc>
          <w:tcPr>
            <w:tcW w:w="10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15,285,292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21,205,659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15,285,292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21,205,659</w:t>
            </w:r>
          </w:p>
        </w:tc>
        <w:tc>
          <w:tcPr>
            <w:tcW w:w="100" w:type="dxa"/>
            <w:vAlign w:val="bottom"/>
          </w:tcPr>
          <w:p>
            <w:pPr>
              <w:spacing w:after="0"/>
              <w:rPr>
                <w:sz w:val="20"/>
                <w:szCs w:val="20"/>
                <w:color w:val="auto"/>
              </w:rPr>
            </w:pPr>
          </w:p>
        </w:tc>
      </w:tr>
      <w:tr>
        <w:trPr>
          <w:trHeight w:val="246"/>
        </w:trPr>
        <w:tc>
          <w:tcPr>
            <w:tcW w:w="58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00" w:type="dxa"/>
            <w:vAlign w:val="bottom"/>
            <w:shd w:val="clear" w:color="auto" w:fill="CFF0FC"/>
          </w:tcPr>
          <w:p>
            <w:pPr>
              <w:spacing w:after="0"/>
              <w:rPr>
                <w:sz w:val="21"/>
                <w:szCs w:val="21"/>
                <w:color w:val="auto"/>
              </w:rPr>
            </w:pPr>
          </w:p>
        </w:tc>
      </w:tr>
    </w:tbl>
    <w:p>
      <w:pPr>
        <w:spacing w:after="0" w:line="188" w:lineRule="exact"/>
        <w:rPr>
          <w:sz w:val="20"/>
          <w:szCs w:val="20"/>
          <w:color w:val="auto"/>
        </w:rPr>
      </w:pPr>
    </w:p>
    <w:p>
      <w:pPr>
        <w:ind w:right="120" w:firstLine="8"/>
        <w:spacing w:after="0" w:line="280"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number of potential dilutive shares or ADSs from the Convertible Notes are calculated assuming the most advantageous conversion price from the standpoint of the holder and assuming all capitalized interest at maturity will be settled with shares or ADSs. For further details on the Convertible Notes and the conversion price reset mechanism, see Note 21 </w:t>
      </w:r>
      <w:r>
        <w:rPr>
          <w:rFonts w:ascii="Times New Roman" w:cs="Times New Roman" w:eastAsia="Times New Roman" w:hAnsi="Times New Roman"/>
          <w:sz w:val="16"/>
          <w:szCs w:val="16"/>
          <w:i w:val="1"/>
          <w:iCs w:val="1"/>
          <w:color w:val="auto"/>
        </w:rPr>
        <w:t>Convertible Notes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Commitments and Contingencies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3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Minimum purchase commitments</w:t>
      </w:r>
    </w:p>
    <w:p>
      <w:pPr>
        <w:spacing w:after="0" w:line="225"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six months ended June 30, 2024, volume adjustments related to co-packer arrangements in Europe &amp; International and North America resulted in volume shortfall expenses of $4.3 million. The shortfall expenses are presented in cost of goods sold in the consolidated statement of operations.</w:t>
      </w:r>
    </w:p>
    <w:p>
      <w:pPr>
        <w:spacing w:after="0" w:line="2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future cash outflows relating to leases that have not yet commenced are disclosed in Note 11 </w:t>
      </w:r>
      <w:r>
        <w:rPr>
          <w:rFonts w:ascii="Times New Roman" w:cs="Times New Roman" w:eastAsia="Times New Roman" w:hAnsi="Times New Roman"/>
          <w:sz w:val="18"/>
          <w:szCs w:val="18"/>
          <w:i w:val="1"/>
          <w:iCs w:val="1"/>
          <w:color w:val="auto"/>
        </w:rPr>
        <w:t>Leases.</w:t>
      </w:r>
    </w:p>
    <w:p>
      <w:pPr>
        <w:spacing w:after="0" w:line="2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the Company may be involved in various claims and legal proceedings related to claims arising out of the operations. In July and September 2021, three securities class action complaints were filed under the captions </w:t>
      </w:r>
      <w:r>
        <w:rPr>
          <w:rFonts w:ascii="Times New Roman" w:cs="Times New Roman" w:eastAsia="Times New Roman" w:hAnsi="Times New Roman"/>
          <w:sz w:val="18"/>
          <w:szCs w:val="18"/>
          <w:i w:val="1"/>
          <w:iCs w:val="1"/>
          <w:color w:val="auto"/>
        </w:rPr>
        <w:t>Jochims v. Oatly Group AB et al</w:t>
      </w:r>
      <w:r>
        <w:rPr>
          <w:rFonts w:ascii="Times New Roman" w:cs="Times New Roman" w:eastAsia="Times New Roman" w:hAnsi="Times New Roman"/>
          <w:sz w:val="18"/>
          <w:szCs w:val="18"/>
          <w:color w:val="auto"/>
        </w:rPr>
        <w:t xml:space="preserve">., Case No. 1:21-cv-06360-AKH, </w:t>
      </w:r>
      <w:r>
        <w:rPr>
          <w:rFonts w:ascii="Times New Roman" w:cs="Times New Roman" w:eastAsia="Times New Roman" w:hAnsi="Times New Roman"/>
          <w:sz w:val="18"/>
          <w:szCs w:val="18"/>
          <w:i w:val="1"/>
          <w:iCs w:val="1"/>
          <w:color w:val="auto"/>
        </w:rPr>
        <w:t>Bentley v. Oatly Group AB et al</w:t>
      </w:r>
      <w:r>
        <w:rPr>
          <w:rFonts w:ascii="Times New Roman" w:cs="Times New Roman" w:eastAsia="Times New Roman" w:hAnsi="Times New Roman"/>
          <w:sz w:val="18"/>
          <w:szCs w:val="18"/>
          <w:color w:val="auto"/>
        </w:rPr>
        <w:t>., Case No. 1:21-cv-06485-AKH, and</w:t>
      </w:r>
      <w:r>
        <w:rPr>
          <w:rFonts w:ascii="Times New Roman" w:cs="Times New Roman" w:eastAsia="Times New Roman" w:hAnsi="Times New Roman"/>
          <w:sz w:val="18"/>
          <w:szCs w:val="18"/>
          <w:i w:val="1"/>
          <w:iCs w:val="1"/>
          <w:color w:val="auto"/>
        </w:rPr>
        <w:t xml:space="preserve"> Kostendt v. Oatly Group AB et al</w:t>
      </w:r>
      <w:r>
        <w:rPr>
          <w:rFonts w:ascii="Times New Roman" w:cs="Times New Roman" w:eastAsia="Times New Roman" w:hAnsi="Times New Roman"/>
          <w:sz w:val="18"/>
          <w:szCs w:val="18"/>
          <w:color w:val="auto"/>
        </w:rPr>
        <w:t>., Case No. 1:21-cv-07904-AKH,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District Court for the Southern District of New York against the Company and certain of its officers and directors, alleging violations of the Securities Exchange Act of 1934 and SEC Rule 10b-5. These actions have been consolidated under the caption </w:t>
      </w:r>
      <w:r>
        <w:rPr>
          <w:rFonts w:ascii="Times New Roman" w:cs="Times New Roman" w:eastAsia="Times New Roman" w:hAnsi="Times New Roman"/>
          <w:sz w:val="18"/>
          <w:szCs w:val="18"/>
          <w:i w:val="1"/>
          <w:iCs w:val="1"/>
          <w:color w:val="auto"/>
        </w:rPr>
        <w:t>In re Oatly Group AB Securities Litigation</w:t>
      </w:r>
      <w:r>
        <w:rPr>
          <w:rFonts w:ascii="Times New Roman" w:cs="Times New Roman" w:eastAsia="Times New Roman" w:hAnsi="Times New Roman"/>
          <w:sz w:val="18"/>
          <w:szCs w:val="18"/>
          <w:color w:val="auto"/>
        </w:rPr>
        <w:t xml:space="preserve">, Consolidated Civil Action No. 1:21-cv-06360-AKH. The operative consolidated complaint alleges violations of the Securities Exchange Act of 1934, SEC Rule 10b-5, and the Securities Act of 1933. In February 2022, a securities class action complaint was filed under the caption </w:t>
      </w:r>
      <w:r>
        <w:rPr>
          <w:rFonts w:ascii="Times New Roman" w:cs="Times New Roman" w:eastAsia="Times New Roman" w:hAnsi="Times New Roman"/>
          <w:sz w:val="18"/>
          <w:szCs w:val="18"/>
          <w:i w:val="1"/>
          <w:iCs w:val="1"/>
          <w:color w:val="auto"/>
        </w:rPr>
        <w:t>Hipple v. Oatly Group AB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Index No. 151432/2022 in the New York County Supreme Court against the Company and certain of its officers and directors, alleging violations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of 1933. In May 2022, the New York County</w:t>
      </w:r>
    </w:p>
    <w:p>
      <w:pPr>
        <w:sectPr>
          <w:pgSz w:w="11900" w:h="16838" w:orient="portrait"/>
          <w:cols w:equalWidth="0" w:num="1">
            <w:col w:w="11240"/>
          </w:cols>
          <w:pgMar w:left="320" w:top="763"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Supreme Court granted a stay of </w:t>
      </w:r>
      <w:r>
        <w:rPr>
          <w:rFonts w:ascii="Times New Roman" w:cs="Times New Roman" w:eastAsia="Times New Roman" w:hAnsi="Times New Roman"/>
          <w:sz w:val="18"/>
          <w:szCs w:val="18"/>
          <w:i w:val="1"/>
          <w:iCs w:val="1"/>
          <w:color w:val="auto"/>
        </w:rPr>
        <w:t>Hipple v. Oatly Group AB et al</w:t>
      </w:r>
      <w:r>
        <w:rPr>
          <w:rFonts w:ascii="Times New Roman" w:cs="Times New Roman" w:eastAsia="Times New Roman" w:hAnsi="Times New Roman"/>
          <w:sz w:val="18"/>
          <w:szCs w:val="18"/>
          <w:color w:val="auto"/>
        </w:rPr>
        <w:t xml:space="preserve">. pending final adjudication of </w:t>
      </w:r>
      <w:r>
        <w:rPr>
          <w:rFonts w:ascii="Times New Roman" w:cs="Times New Roman" w:eastAsia="Times New Roman" w:hAnsi="Times New Roman"/>
          <w:sz w:val="18"/>
          <w:szCs w:val="18"/>
          <w:i w:val="1"/>
          <w:iCs w:val="1"/>
          <w:color w:val="auto"/>
        </w:rPr>
        <w:t>In re Oatly Group AB Securities Litigation</w:t>
      </w:r>
      <w:r>
        <w:rPr>
          <w:rFonts w:ascii="Times New Roman" w:cs="Times New Roman" w:eastAsia="Times New Roman" w:hAnsi="Times New Roman"/>
          <w:sz w:val="18"/>
          <w:szCs w:val="18"/>
          <w:color w:val="auto"/>
        </w:rPr>
        <w:t xml:space="preserve"> in the United States District Court for the Southern District of New York. In December 2022, the parties in </w:t>
      </w:r>
      <w:r>
        <w:rPr>
          <w:rFonts w:ascii="Times New Roman" w:cs="Times New Roman" w:eastAsia="Times New Roman" w:hAnsi="Times New Roman"/>
          <w:sz w:val="18"/>
          <w:szCs w:val="18"/>
          <w:i w:val="1"/>
          <w:iCs w:val="1"/>
          <w:color w:val="auto"/>
        </w:rPr>
        <w:t>In re Oatly Group AB Securities Litigation</w:t>
      </w:r>
      <w:r>
        <w:rPr>
          <w:rFonts w:ascii="Times New Roman" w:cs="Times New Roman" w:eastAsia="Times New Roman" w:hAnsi="Times New Roman"/>
          <w:sz w:val="18"/>
          <w:szCs w:val="18"/>
          <w:color w:val="auto"/>
        </w:rPr>
        <w:t xml:space="preserve"> completed briefing of the defendants’ motion to dismiss the operative consolidated complaint; there was oral argument on the motion on May 31, 2023, and the Court granted the motion without prejudice, except for the claim brought under Section 12 of the Securities Act of 1933, which the Court dismissed with prejudice. Plaintiffs filed their amended complaint on August 11, 2023. In October 2023, the parties reached a settlement in principle of both matters requiring the Company to pay $9.25 million, which is contingent upon court approval, among other things. The parties filed a motion seeking preliminary approval of the settlement on February 16, 2024. On March 28, 2024, the Court granted that motion, stating that it would likely find that the settlement is fair, reasonable, and adequate to the settlement class, subject to further consideration at a settlement hearing on July 17, 2024, at which any objections and opt outs by settlement class members will be considered. On April 9, 2024, the Company paid the settlement amount into an escrow account pursuant to the terms of the settlement agreement. If the settlement does not become effective, the cases will be returned to litigation and the settlement amount will be returned to the Company. On June 3, 2024, Plaintiffs filed a motion for final approval of the settlement by the Court in </w:t>
      </w:r>
      <w:r>
        <w:rPr>
          <w:rFonts w:ascii="Times New Roman" w:cs="Times New Roman" w:eastAsia="Times New Roman" w:hAnsi="Times New Roman"/>
          <w:sz w:val="18"/>
          <w:szCs w:val="18"/>
          <w:i w:val="1"/>
          <w:iCs w:val="1"/>
          <w:color w:val="auto"/>
        </w:rPr>
        <w:t>In re Oatly Group AB Securities Litigation</w:t>
      </w:r>
      <w:r>
        <w:rPr>
          <w:rFonts w:ascii="Times New Roman" w:cs="Times New Roman" w:eastAsia="Times New Roman" w:hAnsi="Times New Roman"/>
          <w:sz w:val="18"/>
          <w:szCs w:val="18"/>
          <w:color w:val="auto"/>
        </w:rPr>
        <w:t>. The Court granted that motion on July 17, 2024.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This Report on Form 6-K (the “Report”) contains forward-looking statements within the meaning of the Private Securities Litigation Reform Act of 1995 that relate to our current expectations and views of future events. These forward-looking statements are contained principally in this Item 2.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These statements relate to events that involve known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unknown risks, uncertainties and other factors, including those listed under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20-F for the year ended December 31, 2023 (the “2023 Annual Report”), those listed under Part II, Item 1A of this Report and other filings with the SEC, which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All statements contained in this Report that do not relate to matters of historical fact should be considered forward-looking statements, including, without limitation, statements regarding our future results of operations and financial position, industry and business trends, business strategy, market growth, and anticipated cost savings. In some cases, these forward-looking statements can be identified by words or phrases such as “may,” “will,” “expect,” “anticipate,” “aim,” “estimate,” “intend,” “plan,” “believe,” “potential,” “continue,” “is/are likely to” or other similar expressions.</w:t>
      </w:r>
    </w:p>
    <w:p>
      <w:pPr>
        <w:spacing w:after="0" w:line="183"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our 2023 Annual Report, the risk factors set forth in this Report on Form 6-K and the following:</w:t>
      </w:r>
    </w:p>
    <w:p>
      <w:pPr>
        <w:spacing w:after="0" w:line="75" w:lineRule="exact"/>
        <w:rPr>
          <w:sz w:val="20"/>
          <w:szCs w:val="20"/>
          <w:color w:val="auto"/>
        </w:rPr>
      </w:pPr>
    </w:p>
    <w:p>
      <w:pPr>
        <w:ind w:left="1020" w:hanging="504"/>
        <w:spacing w:after="0" w:line="28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be unable to achieve or sustain profitability, including due to elevated inflation and increased costs for transportation, energy, and materials;</w:t>
      </w:r>
    </w:p>
    <w:p>
      <w:pPr>
        <w:spacing w:after="0" w:line="5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results of operations and financial condition may be adversely affected by reduced or limited availability of oats and other raw materials and ingredients that our limited number of suppliers are able to sell to us that meet our quality standards;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partnership with Ya YA Foods may not be successful, which could adversely affect our operations and manufacturing strategy;</w:t>
      </w:r>
    </w:p>
    <w:p>
      <w:pPr>
        <w:spacing w:after="0" w:line="11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obtain necessary capital when needed on acceptable terms, or at all, may force us to delay, limit, reduce or terminate our product manufacturing and development and other operations;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our cash and cash equivalents at financial institutions, often in balances that exceed federally insured limits;</w:t>
      </w:r>
    </w:p>
    <w:p>
      <w:pPr>
        <w:spacing w:after="0" w:line="11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components of all our products are manufactured in our six production facilities, and damage or disruption at these facilities has in the past harmed, and may in the future harm, our business;</w:t>
      </w:r>
    </w:p>
    <w:p>
      <w:pPr>
        <w:spacing w:after="0" w:line="5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and reputation may be harmed due to real or perceived quality, food safety or sustainability issues with our products, which could have an adverse effect on our business, reputation, financial condition and results of operations;</w:t>
      </w:r>
    </w:p>
    <w:p>
      <w:pPr>
        <w:spacing w:after="0" w:line="55"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food-borne illness incidents or other safety, concerns have led to product recalls, and may materially adversely affect our business by exposing us to lawsuits or regulatory enforcement actions in the future, increasing our operating costs and reducing demand for our product offerings;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w:t>
      </w:r>
    </w:p>
    <w:p>
      <w:pPr>
        <w:spacing w:after="0" w:line="11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oatmilk varieties contribute a significant portion of our revenue. A reduction in sales of our oatmilk varieties would have an adverse effect on our financial condition;</w:t>
      </w:r>
    </w:p>
    <w:p>
      <w:pPr>
        <w:spacing w:after="0" w:line="55"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expand our processing, manufacturing and production capacity, through existing facilities or acceptable co-packing partners, as we continue to grow and scale our business to a steady operating level, our business, results of operations and our brand reputation could be harmed;</w:t>
      </w:r>
    </w:p>
    <w:p>
      <w:pPr>
        <w:spacing w:after="0" w:line="67"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ramp up operations at any of our new facilities, or these facilities may not operate in accordance with our expectations;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 the People’s Republic of China could expose us to substantial business, regulatory, political, financial and economic risks;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reset in Asia may not be successful;</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27" w:name="page28"/>
    <w:bookmarkEnd w:id="27"/>
    <w:p>
      <w:pPr>
        <w:ind w:left="504" w:hanging="504"/>
        <w:spacing w:after="0"/>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introduce new products or successfully improve existing products may adversely affect our ability to continue to grow;</w:t>
      </w:r>
    </w:p>
    <w:p>
      <w:pPr>
        <w:spacing w:after="0" w:line="115" w:lineRule="exact"/>
        <w:rPr>
          <w:rFonts w:ascii="Times New Roman" w:cs="Times New Roman" w:eastAsia="Times New Roman" w:hAnsi="Times New Roman"/>
          <w:sz w:val="18"/>
          <w:szCs w:val="18"/>
          <w:color w:val="auto"/>
        </w:rPr>
      </w:pPr>
    </w:p>
    <w:p>
      <w:pPr>
        <w:ind w:left="504" w:right="20"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for our products are difficult to predict and may change, and, if we are unable to respond quickly to new trends, our business may be adversely affected;</w:t>
      </w:r>
    </w:p>
    <w:p>
      <w:pPr>
        <w:spacing w:after="0" w:line="55" w:lineRule="exact"/>
        <w:rPr>
          <w:rFonts w:ascii="Times New Roman" w:cs="Times New Roman" w:eastAsia="Times New Roman" w:hAnsi="Times New Roman"/>
          <w:sz w:val="18"/>
          <w:szCs w:val="18"/>
          <w:color w:val="auto"/>
        </w:rPr>
      </w:pPr>
    </w:p>
    <w:p>
      <w:pPr>
        <w:jc w:val="both"/>
        <w:ind w:left="504" w:hanging="504"/>
        <w:spacing w:after="0" w:line="259"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p>
    <w:p>
      <w:pPr>
        <w:spacing w:after="0" w:line="75"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other technology disruptions could negatively impact our business and our relationships with customers;</w:t>
      </w:r>
    </w:p>
    <w:p>
      <w:pPr>
        <w:spacing w:after="0" w:line="115"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customers or the loss of a significant customer could negatively impact our sales and profitability;</w:t>
      </w:r>
    </w:p>
    <w:p>
      <w:pPr>
        <w:spacing w:after="0" w:line="115"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legal proceedings could expose us to significant liabilities and have a negative impact on our reputation or business;</w:t>
      </w:r>
    </w:p>
    <w:p>
      <w:pPr>
        <w:spacing w:after="0" w:line="115" w:lineRule="exact"/>
        <w:rPr>
          <w:rFonts w:ascii="Times New Roman" w:cs="Times New Roman" w:eastAsia="Times New Roman" w:hAnsi="Times New Roman"/>
          <w:sz w:val="18"/>
          <w:szCs w:val="18"/>
          <w:color w:val="auto"/>
        </w:rPr>
      </w:pPr>
    </w:p>
    <w:p>
      <w:pPr>
        <w:ind w:left="504" w:right="20"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or to attract, train and retain employees may adversely affect our operations or our ability to grow successfully;</w:t>
      </w:r>
    </w:p>
    <w:p>
      <w:pPr>
        <w:spacing w:after="0" w:line="55"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worldwide economy may adversely affect our business, financial condition and results of operations;</w:t>
      </w:r>
    </w:p>
    <w:p>
      <w:pPr>
        <w:spacing w:after="0" w:line="115" w:lineRule="exact"/>
        <w:rPr>
          <w:rFonts w:ascii="Times New Roman" w:cs="Times New Roman" w:eastAsia="Times New Roman" w:hAnsi="Times New Roman"/>
          <w:sz w:val="18"/>
          <w:szCs w:val="18"/>
          <w:color w:val="auto"/>
        </w:rPr>
      </w:pPr>
    </w:p>
    <w:p>
      <w:pPr>
        <w:ind w:left="504"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U.S., European Union (“EU”), and the People’s Republic of China laws and regulations, and there is no assurance that we will be in compliance with all regulations;</w:t>
      </w:r>
    </w:p>
    <w:p>
      <w:pPr>
        <w:spacing w:after="0" w:line="55" w:lineRule="exact"/>
        <w:rPr>
          <w:rFonts w:ascii="Times New Roman" w:cs="Times New Roman" w:eastAsia="Times New Roman" w:hAnsi="Times New Roman"/>
          <w:sz w:val="18"/>
          <w:szCs w:val="18"/>
          <w:color w:val="auto"/>
        </w:rPr>
      </w:pPr>
    </w:p>
    <w:p>
      <w:pPr>
        <w:ind w:left="504"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or regulations, or the adoption of new laws or regulations may increase our costs and otherwise adversely affect our business, financial condition and results of operations;</w:t>
      </w:r>
    </w:p>
    <w:p>
      <w:pPr>
        <w:spacing w:after="0" w:line="55" w:lineRule="exact"/>
        <w:rPr>
          <w:rFonts w:ascii="Times New Roman" w:cs="Times New Roman" w:eastAsia="Times New Roman" w:hAnsi="Times New Roman"/>
          <w:sz w:val="18"/>
          <w:szCs w:val="18"/>
          <w:color w:val="auto"/>
        </w:rPr>
      </w:pPr>
    </w:p>
    <w:p>
      <w:pPr>
        <w:ind w:left="504" w:right="20"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of raw materials or co-producers to comply with food safety, environmental or other laws and regulations, or with the specifications and requirements of our products, may disrupt our supply of products and adversely affect our business;</w:t>
      </w:r>
    </w:p>
    <w:p>
      <w:pPr>
        <w:spacing w:after="0" w:line="55"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environmental regulation and potentially subject to environmental litigation, proceedings and investigations;</w:t>
      </w:r>
    </w:p>
    <w:p>
      <w:pPr>
        <w:spacing w:after="0" w:line="115" w:lineRule="exact"/>
        <w:rPr>
          <w:rFonts w:ascii="Times New Roman" w:cs="Times New Roman" w:eastAsia="Times New Roman" w:hAnsi="Times New Roman"/>
          <w:sz w:val="18"/>
          <w:szCs w:val="18"/>
          <w:color w:val="auto"/>
        </w:rPr>
      </w:pPr>
    </w:p>
    <w:p>
      <w:pPr>
        <w:ind w:left="504"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international trade policies, treaties and tariffs, including as a result of the United Kingdom’s withdrawal from the EU, or the emergence of a trade war could adversely impact our business, financial condition and results of operations;</w:t>
      </w:r>
    </w:p>
    <w:p>
      <w:pPr>
        <w:spacing w:after="0" w:line="55" w:lineRule="exact"/>
        <w:rPr>
          <w:rFonts w:ascii="Times New Roman" w:cs="Times New Roman" w:eastAsia="Times New Roman" w:hAnsi="Times New Roman"/>
          <w:sz w:val="18"/>
          <w:szCs w:val="18"/>
          <w:color w:val="auto"/>
        </w:rPr>
      </w:pPr>
    </w:p>
    <w:p>
      <w:pPr>
        <w:ind w:left="504"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enforce or defend our intellectual property and other proprietary rights adequately, which may impact our commercial success;</w:t>
      </w:r>
    </w:p>
    <w:p>
      <w:pPr>
        <w:spacing w:after="0" w:line="55" w:lineRule="exact"/>
        <w:rPr>
          <w:rFonts w:ascii="Times New Roman" w:cs="Times New Roman" w:eastAsia="Times New Roman" w:hAnsi="Times New Roman"/>
          <w:sz w:val="18"/>
          <w:szCs w:val="18"/>
          <w:color w:val="auto"/>
        </w:rPr>
      </w:pPr>
    </w:p>
    <w:p>
      <w:pPr>
        <w:jc w:val="both"/>
        <w:ind w:left="504" w:hanging="504"/>
        <w:spacing w:after="0" w:line="265"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identified material weaknesses in our internal control environment. If we are unable to remediate any material weaknesses, or if other control deficiencies are identified, we may not be able to report our financial results accurately, prevent fraud or file our periodic reports as a public company in a timely manner;</w:t>
      </w:r>
    </w:p>
    <w:p>
      <w:pPr>
        <w:spacing w:after="0" w:line="67" w:lineRule="exact"/>
        <w:rPr>
          <w:rFonts w:ascii="Times New Roman" w:cs="Times New Roman" w:eastAsia="Times New Roman" w:hAnsi="Times New Roman"/>
          <w:sz w:val="18"/>
          <w:szCs w:val="18"/>
          <w:color w:val="auto"/>
        </w:rPr>
      </w:pPr>
    </w:p>
    <w:p>
      <w:pPr>
        <w:ind w:left="504" w:right="20"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 has significant influence over us, including significant influence over decisions that require the approval of shareholders;</w:t>
      </w:r>
    </w:p>
    <w:p>
      <w:pPr>
        <w:spacing w:after="0" w:line="55"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the market price of our ADSs have been, and may be, volatile, and you may lose all or part of your investment;</w:t>
      </w:r>
    </w:p>
    <w:p>
      <w:pPr>
        <w:spacing w:after="0" w:line="115" w:lineRule="exact"/>
        <w:rPr>
          <w:rFonts w:ascii="Times New Roman" w:cs="Times New Roman" w:eastAsia="Times New Roman" w:hAnsi="Times New Roman"/>
          <w:sz w:val="18"/>
          <w:szCs w:val="18"/>
          <w:color w:val="auto"/>
        </w:rPr>
      </w:pPr>
    </w:p>
    <w:p>
      <w:pPr>
        <w:ind w:left="504" w:right="20"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as a foreign private issuer we are exempt from certain corporate governance standards applicable to U.S. issuers, if we cannot satisfy, or continue to satisfy, the continued listing requirements of Nasdaq it could result in a delisting of our securities;</w:t>
      </w:r>
    </w:p>
    <w:p>
      <w:pPr>
        <w:spacing w:after="0" w:line="55" w:lineRule="exact"/>
        <w:rPr>
          <w:rFonts w:ascii="Times New Roman" w:cs="Times New Roman" w:eastAsia="Times New Roman" w:hAnsi="Times New Roman"/>
          <w:sz w:val="18"/>
          <w:szCs w:val="18"/>
          <w:color w:val="auto"/>
        </w:rPr>
      </w:pPr>
    </w:p>
    <w:p>
      <w:pPr>
        <w:jc w:val="both"/>
        <w:ind w:left="504" w:hanging="504"/>
        <w:spacing w:after="0" w:line="265"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recently recognized impairment charges for long-lived assets in connection with certain of our production facilities that were not yet in operation, and we may need to recognize further impairments in the future, which could adversely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4"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securities class action litigation and could be subject to additional litigation in the United States or elsewhere that could negatively impact our business, including resulting in substantial costs and liabilities;</w:t>
      </w:r>
    </w:p>
    <w:p>
      <w:pPr>
        <w:spacing w:after="0" w:line="55" w:lineRule="exact"/>
        <w:rPr>
          <w:rFonts w:ascii="Times New Roman" w:cs="Times New Roman" w:eastAsia="Times New Roman" w:hAnsi="Times New Roman"/>
          <w:sz w:val="18"/>
          <w:szCs w:val="18"/>
          <w:color w:val="auto"/>
        </w:rPr>
      </w:pPr>
    </w:p>
    <w:p>
      <w:pPr>
        <w:ind w:left="504"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55"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exercise your right to vote the ordinary shares underlying your ADSs;</w:t>
      </w:r>
    </w:p>
    <w:p>
      <w:pPr>
        <w:spacing w:after="0" w:line="115" w:lineRule="exact"/>
        <w:rPr>
          <w:rFonts w:ascii="Times New Roman" w:cs="Times New Roman" w:eastAsia="Times New Roman" w:hAnsi="Times New Roman"/>
          <w:sz w:val="18"/>
          <w:szCs w:val="18"/>
          <w:color w:val="auto"/>
        </w:rPr>
      </w:pPr>
    </w:p>
    <w:p>
      <w:pPr>
        <w:ind w:left="504" w:hanging="504"/>
        <w:spacing w:after="0" w:line="280"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dividends on our ADSs in the future and, consequently, your ability to achieve a return on your investment will depend on the appreciation in the price of our ADSs;</w:t>
      </w:r>
    </w:p>
    <w:p>
      <w:pPr>
        <w:spacing w:after="0" w:line="158"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479425</wp:posOffset>
            </wp:positionV>
            <wp:extent cx="71583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4"/>
          </w:cols>
          <w:pgMar w:left="836" w:top="1103" w:right="339" w:bottom="1440" w:gutter="0" w:footer="0" w:header="0"/>
        </w:sectPr>
      </w:pPr>
    </w:p>
    <w:bookmarkStart w:id="28" w:name="page29"/>
    <w:bookmarkEnd w:id="28"/>
    <w:p>
      <w:pPr>
        <w:ind w:left="1020" w:hanging="504"/>
        <w:spacing w:after="0" w:line="28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tax liabilities or assessments could affect our profitability, and audits by tax authorities could result in additional tax payments;</w:t>
      </w:r>
    </w:p>
    <w:p>
      <w:pPr>
        <w:spacing w:after="0" w:line="5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indebtedness that may decrease our business flexibility, access to capital, and/or increase our future borrowing costs;</w:t>
      </w:r>
    </w:p>
    <w:p>
      <w:pPr>
        <w:spacing w:after="0" w:line="55" w:lineRule="exact"/>
        <w:rPr>
          <w:rFonts w:ascii="Times New Roman" w:cs="Times New Roman" w:eastAsia="Times New Roman" w:hAnsi="Times New Roman"/>
          <w:sz w:val="18"/>
          <w:szCs w:val="18"/>
          <w:color w:val="auto"/>
        </w:rPr>
      </w:pPr>
    </w:p>
    <w:p>
      <w:pPr>
        <w:ind w:left="1020" w:right="20" w:hanging="504"/>
        <w:spacing w:after="0" w:line="28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our Convertible Notes may dilute the ownership interests of holders of our ADSs or ordinary shares and may adversely impact the value of such securities;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may restrict our operating activities and adversely affect our financial condition.</w:t>
      </w:r>
    </w:p>
    <w:p>
      <w:pPr>
        <w:spacing w:after="0" w:line="22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on which the statements are made in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and the documents that we reference in this Report and have filed as exhibits to this Report completely and with the understanding that our actual future results or performance may be materially different from what we expect.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are the world’s original and largest oatmilk company. For over 25 years, we have exclusively focused on developing expertise around oats: a global power crop with inherent properties suited for sustainability and human health. Our commitment to oats has resulted in core technical advancements that enabled us to unlock the breadth of the dairy portfolio, including milks, ice creams, yogurts, cooking creams, spreads and on-the-go drinks. Since our founding, we have had a bold vision for a food system that is better for people and the planet. We believe that transforming the food industry is necessary to face humanity’s greatest challenges across climate, environment, health and lifestyle and have not only positioned our brand to capitalize on the growing consumer interest in sustainable, plant- based foods and dairy alternatives, but we have become a driving force behind increased consumer awareness and transition from traditional dairy consumers to Oatly.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Trends and Other Factors Affecting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actions</w:t>
      </w:r>
    </w:p>
    <w:p>
      <w:pPr>
        <w:spacing w:after="0" w:line="225"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We continue to execute on our strategic priorities focused on achieving profitable growth. These actions are aimed at setting clear priorities for our teams, reducing complexity to increase organizational agility, and executing a more asset-light supply chain strategy.</w:t>
      </w:r>
    </w:p>
    <w:p>
      <w:pPr>
        <w:spacing w:after="0" w:line="16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In executing these actions, we simplified our organizational structure. During 2022 and 2023 we reviewed the organizational structure to adjust the fixed cost base globally, including employee-related costs, professional services, and other related costs. We will continue to review our organizational structure and fixed cost base on an ongoing basis.</w:t>
      </w:r>
    </w:p>
    <w:p>
      <w:pPr>
        <w:spacing w:after="0" w:line="17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During the fourth quarter of 2023, we decided to discontinue the construction of our new production facilities in Peterborough, UK and Dallas-Fort Worth, Texas. We recorded $172.6 million in non-cash impairments and $29.0 million in restructuring and other exit costs relating to these production facilities. During the six months ended June 30, 2024, we have increased the estimated non-cash impairment charge with $1.7 million to a total of $174.3 million. We estimate these restructuring and other exit costs to result in no more than $20 million of net cash outflows through 2025, after taking into consideration proceeds from selling certain equipment. For a further discussion on risks related to this see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2023 Annual Report.</w:t>
      </w:r>
    </w:p>
    <w:p>
      <w:pPr>
        <w:spacing w:after="0" w:line="187" w:lineRule="exact"/>
        <w:rPr>
          <w:sz w:val="20"/>
          <w:szCs w:val="20"/>
          <w:color w:val="auto"/>
        </w:rPr>
      </w:pPr>
    </w:p>
    <w:p>
      <w:pPr>
        <w:jc w:val="both"/>
        <w:ind w:firstLine="449"/>
        <w:spacing w:after="0" w:line="287" w:lineRule="auto"/>
        <w:rPr>
          <w:sz w:val="20"/>
          <w:szCs w:val="20"/>
          <w:color w:val="auto"/>
        </w:rPr>
      </w:pPr>
      <w:r>
        <w:rPr>
          <w:rFonts w:ascii="Times New Roman" w:cs="Times New Roman" w:eastAsia="Times New Roman" w:hAnsi="Times New Roman"/>
          <w:sz w:val="17"/>
          <w:szCs w:val="17"/>
          <w:color w:val="auto"/>
        </w:rPr>
        <w:t>Effective as of January 1, 2024, we made changes to how we make strategic decisions and allocate resources among our operating segments. As part of this change, the Greater China business is managed separately from the rest of the Asia business, forming its own operating segment. The rest of the Asia business, including the Singapore manufacturing facility, is managed together with the EMEA business, which is now identified as Europe &amp; International.</w:t>
      </w:r>
    </w:p>
    <w:p>
      <w:pPr>
        <w:spacing w:after="0" w:line="15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Further details, see Note 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to our interim condensed consolidated financial statements, which are included elsewhere in this Report.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Impact of the Current Macroeconomic Environment on our Results</w:t>
      </w:r>
    </w:p>
    <w:p>
      <w:pPr>
        <w:spacing w:after="0" w:line="225"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Our business continues to be exposed to the effects of the current global macroeconomic environment, including consumer spending, inflationary pressures, geopolitical tensions, and foreign exchange impacts. We will continue to actively monitor and respond accordingly to the macroeconomic environment.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refer to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2023 Annual Report.</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We generate revenue primarily from sales of our oatmilk and other oat-based products across our three segments: Europe &amp; International, North America and Greater China. Our customers include retailers, e-commerce channels, coffee shops and other specialty providers within the foodservice industry.</w:t>
      </w:r>
    </w:p>
    <w:p>
      <w:pPr>
        <w:spacing w:after="0" w:line="175"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Europe &amp; International is our largest revenue-producing segment, followed by the North America and Greater China segments. Currently, our primary markets in Europe &amp; International are the United Kingdom, Germany and Sweden. In North America, substantially all of our revenue to date can be attributed to the United States, and in Greater China, the majority of our revenue is generated in China. The channel and product mix vary by country, where our more mature markets, such as Sweden and Finland, have a broader product portfolio available to customers and consumers. For the six months ended June 30, 2024, on a consolidated level, oatmilk accounted for approximately 89% of our revenue (2023: 87%).</w:t>
      </w:r>
    </w:p>
    <w:p>
      <w:pPr>
        <w:spacing w:after="0" w:line="183"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We routinely offer sales discounts and promotions through various programs to customers. These programs include rebates, temporary on-shelf price reductions, retailer advertisements, product coupons and other trade activities. The expense associated with these discounts and promotions is estimated and recorded as a reduction in total gross revenue in order to arrive at reported net revenue. These promotional activities impact our net revenue and changes in such activities could impact period-over-period results.</w:t>
      </w:r>
    </w:p>
    <w:p>
      <w:pPr>
        <w:spacing w:after="0" w:line="183"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The following factors and trends in our business have driven net revenue growth over prior periods and are expected to be key drivers of our net revenue growth going forward:</w:t>
      </w:r>
    </w:p>
    <w:p>
      <w:pPr>
        <w:spacing w:after="0" w:line="55" w:lineRule="exact"/>
        <w:rPr>
          <w:sz w:val="20"/>
          <w:szCs w:val="20"/>
          <w:color w:val="auto"/>
        </w:rPr>
      </w:pPr>
    </w:p>
    <w:p>
      <w:pPr>
        <w:ind w:left="1020" w:hanging="504"/>
        <w:spacing w:after="0" w:line="28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household penetration to reach new consumers and increase the repeat purchase rates of existing consumers by continuing to invest in advertising and marketing to increase awareness of our brand and products.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across channels:</w:t>
      </w:r>
    </w:p>
    <w:p>
      <w:pPr>
        <w:spacing w:after="0" w:line="115" w:lineRule="exact"/>
        <w:rPr>
          <w:rFonts w:ascii="Times New Roman" w:cs="Times New Roman" w:eastAsia="Times New Roman" w:hAnsi="Times New Roman"/>
          <w:sz w:val="18"/>
          <w:szCs w:val="18"/>
          <w:color w:val="auto"/>
        </w:rPr>
      </w:pPr>
    </w:p>
    <w:p>
      <w:pPr>
        <w:ind w:left="1540" w:hanging="51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oGrow within food retail channels by increasing our distribution points with existing and new customers, capturing greater shelf space and continuing to drive velocity increases.</w:t>
      </w:r>
    </w:p>
    <w:p>
      <w:pPr>
        <w:spacing w:after="0" w:line="55" w:lineRule="exact"/>
        <w:rPr>
          <w:rFonts w:ascii="Times New Roman" w:cs="Times New Roman" w:eastAsia="Times New Roman" w:hAnsi="Times New Roman"/>
          <w:sz w:val="18"/>
          <w:szCs w:val="18"/>
          <w:color w:val="auto"/>
        </w:rPr>
      </w:pPr>
    </w:p>
    <w:p>
      <w:pPr>
        <w:ind w:left="1540" w:hanging="51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oExpand footprint across the foodservice channel, including independent coffee shops, branded foodservice restaurant chains, and other foodservice customers such as universities and offices.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e-commerce capabilities by strategically partnering with leading third-party platforms.</w:t>
      </w:r>
    </w:p>
    <w:p>
      <w:pPr>
        <w:spacing w:after="0" w:line="11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product offering through new product development within existing and new product categories to capture the market-specific consumer needs in each of the regions in which we operate.</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international markets through our proven foodservice-led strategy.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global production capacity to meet consumer demand.</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7"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 We expect our cost of goods sold to increase in absolute dollars to support our growth. However, we expect that, over time, cost of goods sold will decrease as a percentage of net revenue, as a result of the scaling of our business and optimizing our production footprint.</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Gross profit consists of our net revenue less costs of goods sold. We have scaled our production capacity significantly over the past couple of years. Our gross profit margin has benefited and we expect it will continue to benefit from the localization of production capacity closer to our customers and consumers as well as increased focus on our asset-light supply chain strategy. Over time, we expect to improve our manufacturing operational performance and leverage the cost of our fixed production and staff costs, including a higher focus on procurement efficiencies through scale of purchasing and diversification of suppliers.</w:t>
      </w:r>
    </w:p>
    <w:p>
      <w:pPr>
        <w:spacing w:after="0" w:line="18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Our cost of goods sold significantly increased in 2022, resulting in us taking pricing actions in 2022 and 2023 to partially offset these headwinds. Further pricing actions might be enacted if deemed necessary to offset cost of goods sold inflation, but there is no assurance we will be able to offset all inflationary pressure impacting our business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consist primarily of personnel-related expenses for our research and development staff,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w:t>
      </w:r>
    </w:p>
    <w:p>
      <w:pPr>
        <w:spacing w:after="0" w:line="173" w:lineRule="exact"/>
        <w:rPr>
          <w:sz w:val="20"/>
          <w:szCs w:val="20"/>
          <w:color w:val="auto"/>
        </w:rPr>
      </w:pPr>
    </w:p>
    <w:p>
      <w:pPr>
        <w:jc w:val="both"/>
        <w:ind w:right="10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include primarily personnel-related expenses for our sales, general and administrative staff,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 also include auditor fees and other third-party consultancy fees, expenses related to management, finance and accounting, information technology, human resources and other office functions.</w:t>
      </w:r>
    </w:p>
    <w:p>
      <w:pPr>
        <w:spacing w:after="0" w:line="182" w:lineRule="exact"/>
        <w:rPr>
          <w:sz w:val="20"/>
          <w:szCs w:val="20"/>
          <w:color w:val="auto"/>
        </w:rPr>
      </w:pPr>
    </w:p>
    <w:p>
      <w:pPr>
        <w:jc w:val="both"/>
        <w:ind w:right="120" w:firstLine="44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and (expenses), net, </w:t>
      </w:r>
      <w:r>
        <w:rPr>
          <w:rFonts w:ascii="Times New Roman" w:cs="Times New Roman" w:eastAsia="Times New Roman" w:hAnsi="Times New Roman"/>
          <w:sz w:val="18"/>
          <w:szCs w:val="18"/>
          <w:color w:val="auto"/>
        </w:rPr>
        <w:t>consists primarily of impacts related to discontinued construction of certain production facilities, and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gains (losses) on operating related activities.</w:t>
      </w: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5"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Finance income and (expenses), net, </w:t>
      </w:r>
      <w:r>
        <w:rPr>
          <w:rFonts w:ascii="Times New Roman" w:cs="Times New Roman" w:eastAsia="Times New Roman" w:hAnsi="Times New Roman"/>
          <w:sz w:val="18"/>
          <w:szCs w:val="18"/>
          <w:color w:val="auto"/>
        </w:rPr>
        <w:t>primarily consists of fair value changes on Convertible Notes, transaction costs relating to amendments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arrangements, interest expense related to Convertible Notes and loans from credit institutions, interest expense on lease liabilities, interest income and foreign exchange gains and losses attributable to our external and internal financing arrangements.</w:t>
      </w:r>
    </w:p>
    <w:p>
      <w:pPr>
        <w:spacing w:after="0" w:line="173" w:lineRule="exact"/>
        <w:rPr>
          <w:sz w:val="20"/>
          <w:szCs w:val="20"/>
          <w:color w:val="auto"/>
        </w:rPr>
      </w:pPr>
    </w:p>
    <w:p>
      <w:pPr>
        <w:jc w:val="both"/>
        <w:ind w:right="100" w:firstLine="44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Income tax (expense)/benefit </w:t>
      </w:r>
      <w:r>
        <w:rPr>
          <w:rFonts w:ascii="Times New Roman" w:cs="Times New Roman" w:eastAsia="Times New Roman" w:hAnsi="Times New Roman"/>
          <w:sz w:val="18"/>
          <w:szCs w:val="18"/>
          <w:color w:val="auto"/>
        </w:rPr>
        <w:t>represents both current and deferred income tax expenses. Current tax expenses primarily represent income taxes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income in multiple foreign jurisdictions.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7" w:lineRule="exact"/>
        <w:rPr>
          <w:sz w:val="20"/>
          <w:szCs w:val="20"/>
          <w:color w:val="auto"/>
        </w:rPr>
      </w:pPr>
    </w:p>
    <w:p>
      <w:pPr>
        <w:jc w:val="both"/>
        <w:ind w:right="100" w:firstLine="449"/>
        <w:spacing w:after="0" w:line="280" w:lineRule="auto"/>
        <w:rPr>
          <w:sz w:val="20"/>
          <w:szCs w:val="20"/>
          <w:color w:val="auto"/>
        </w:rPr>
      </w:pPr>
      <w:r>
        <w:rPr>
          <w:rFonts w:ascii="Times New Roman" w:cs="Times New Roman" w:eastAsia="Times New Roman" w:hAnsi="Times New Roman"/>
          <w:sz w:val="18"/>
          <w:szCs w:val="18"/>
          <w:color w:val="auto"/>
        </w:rPr>
        <w:t>The following table sets forth the interim condensed consolidated statements of operations in U.S. dollars and as a percentage of revenue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000" w:type="dxa"/>
            <w:vAlign w:val="bottom"/>
          </w:tcPr>
          <w:p>
            <w:pPr>
              <w:spacing w:after="0"/>
              <w:rPr>
                <w:sz w:val="21"/>
                <w:szCs w:val="21"/>
                <w:color w:val="auto"/>
              </w:rPr>
            </w:pPr>
          </w:p>
        </w:tc>
        <w:tc>
          <w:tcPr>
            <w:tcW w:w="132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ind w:right="54"/>
              <w:spacing w:after="0" w:line="121"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ind w:right="94"/>
              <w:spacing w:after="0" w:line="121"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spacing w:after="0"/>
              <w:rPr>
                <w:sz w:val="14"/>
                <w:szCs w:val="14"/>
                <w:color w:val="auto"/>
              </w:rPr>
            </w:pP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6"/>
              </w:rPr>
              <w:t>(in thousands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280" w:type="dxa"/>
            <w:vAlign w:val="bottom"/>
            <w:gridSpan w:val="2"/>
          </w:tcPr>
          <w:p>
            <w:pPr>
              <w:spacing w:after="0"/>
              <w:rPr>
                <w:sz w:val="14"/>
                <w:szCs w:val="14"/>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8"/>
              </w:rPr>
              <w:t>(in thousands $)</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2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195,987</w:t>
            </w:r>
          </w:p>
        </w:tc>
        <w:tc>
          <w:tcPr>
            <w:tcW w:w="2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80" w:type="dxa"/>
            <w:vAlign w:val="bottom"/>
          </w:tcPr>
          <w:p>
            <w:pPr>
              <w:spacing w:after="0"/>
              <w:rPr>
                <w:sz w:val="21"/>
                <w:szCs w:val="21"/>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391,632</w:t>
            </w:r>
          </w:p>
        </w:tc>
        <w:tc>
          <w:tcPr>
            <w:tcW w:w="2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6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(143,239 )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(70.8 )%</w:t>
            </w:r>
          </w:p>
        </w:tc>
        <w:tc>
          <w:tcPr>
            <w:tcW w:w="8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(158,331 )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(288,496 )</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(71.9 )%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(319,888 )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58,956</w:t>
            </w:r>
          </w:p>
        </w:tc>
        <w:tc>
          <w:tcPr>
            <w:tcW w:w="2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29.2 %</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37,656</w:t>
            </w:r>
          </w:p>
        </w:tc>
        <w:tc>
          <w:tcPr>
            <w:tcW w:w="2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112,854</w:t>
            </w:r>
          </w:p>
        </w:tc>
        <w:tc>
          <w:tcPr>
            <w:tcW w:w="80" w:type="dxa"/>
            <w:vAlign w:val="bottom"/>
          </w:tcPr>
          <w:p>
            <w:pPr>
              <w:spacing w:after="0"/>
              <w:rPr>
                <w:sz w:val="21"/>
                <w:szCs w:val="21"/>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28.1 %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71,744</w:t>
            </w:r>
          </w:p>
        </w:tc>
        <w:tc>
          <w:tcPr>
            <w:tcW w:w="2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18.3 %</w:t>
            </w:r>
          </w:p>
        </w:tc>
        <w:tc>
          <w:tcPr>
            <w:tcW w:w="0" w:type="dxa"/>
            <w:vAlign w:val="bottom"/>
          </w:tcPr>
          <w:p>
            <w:pPr>
              <w:spacing w:after="0"/>
              <w:rPr>
                <w:sz w:val="1"/>
                <w:szCs w:val="1"/>
                <w:color w:val="auto"/>
              </w:rPr>
            </w:pPr>
          </w:p>
        </w:tc>
      </w:tr>
      <w:tr>
        <w:trPr>
          <w:trHeight w:val="26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(10,898 )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(5,321 )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(15,540 )</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(11,035 )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(84,261 )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(41.7 )%</w:t>
            </w:r>
          </w:p>
        </w:tc>
        <w:tc>
          <w:tcPr>
            <w:tcW w:w="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(106,695 )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(163,003 )</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(40.6 )%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(205,550 )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0" w:type="dxa"/>
            <w:vAlign w:val="bottom"/>
          </w:tcPr>
          <w:p>
            <w:pPr>
              <w:spacing w:after="0"/>
              <w:rPr>
                <w:sz w:val="1"/>
                <w:szCs w:val="1"/>
                <w:color w:val="auto"/>
              </w:rPr>
            </w:pPr>
          </w:p>
        </w:tc>
      </w:tr>
      <w:tr>
        <w:trPr>
          <w:trHeight w:val="22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and</w:t>
            </w:r>
          </w:p>
        </w:tc>
        <w:tc>
          <w:tcPr>
            <w:tcW w:w="13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8"/>
                <w:szCs w:val="18"/>
                <w:color w:val="auto"/>
              </w:rPr>
              <w:t>(2,876 )</w:t>
            </w: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(1,120 )</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(0.6 )%</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(1,803 )</w:t>
            </w:r>
          </w:p>
        </w:tc>
        <w:tc>
          <w:tcPr>
            <w:tcW w:w="9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(2,208 )</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net</w:t>
            </w:r>
          </w:p>
        </w:tc>
        <w:tc>
          <w:tcPr>
            <w:tcW w:w="132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960" w:type="dxa"/>
            <w:vAlign w:val="bottom"/>
            <w:gridSpan w:val="4"/>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(39,079 )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(19.3 )%</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(75,480 )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(67,492 )</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(16.8 )%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(147,049 )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(37.5 )%</w:t>
            </w:r>
          </w:p>
        </w:tc>
        <w:tc>
          <w:tcPr>
            <w:tcW w:w="0" w:type="dxa"/>
            <w:vAlign w:val="bottom"/>
          </w:tcPr>
          <w:p>
            <w:pPr>
              <w:spacing w:after="0"/>
              <w:rPr>
                <w:sz w:val="1"/>
                <w:szCs w:val="1"/>
                <w:color w:val="auto"/>
              </w:rPr>
            </w:pPr>
          </w:p>
        </w:tc>
      </w:tr>
      <w:tr>
        <w:trPr>
          <w:trHeight w:val="26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4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(11,512 )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(6,988 )</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(13,508 )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(28,690 )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(14.2 )%</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(86,992 )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(74,480 )</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(18.6 )%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(160,557 )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(41.0 )%</w:t>
            </w:r>
          </w:p>
        </w:tc>
        <w:tc>
          <w:tcPr>
            <w:tcW w:w="0" w:type="dxa"/>
            <w:vAlign w:val="bottom"/>
          </w:tcPr>
          <w:p>
            <w:pPr>
              <w:spacing w:after="0"/>
              <w:rPr>
                <w:sz w:val="1"/>
                <w:szCs w:val="1"/>
                <w:color w:val="auto"/>
              </w:rPr>
            </w:pPr>
          </w:p>
        </w:tc>
      </w:tr>
      <w:tr>
        <w:trPr>
          <w:trHeight w:val="26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(1,751 )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(1,805 )</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(1,739 )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(30,441 )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(15.1 )%</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(86,719 )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(44.2 )%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(76,285 )</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(19.0 )%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(162,296 )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(41.4 )%</w:t>
            </w:r>
          </w:p>
        </w:tc>
        <w:tc>
          <w:tcPr>
            <w:tcW w:w="0" w:type="dxa"/>
            <w:vAlign w:val="bottom"/>
          </w:tcPr>
          <w:p>
            <w:pPr>
              <w:spacing w:after="0"/>
              <w:rPr>
                <w:sz w:val="1"/>
                <w:szCs w:val="1"/>
                <w:color w:val="auto"/>
              </w:rPr>
            </w:pPr>
          </w:p>
        </w:tc>
      </w:tr>
      <w:tr>
        <w:trPr>
          <w:trHeight w:val="26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w:t>
            </w: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(30,384 )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(86,719 )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(76,183 )</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(19.0 )%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(162,296 )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0" w:type="dxa"/>
            <w:vAlign w:val="bottom"/>
          </w:tcPr>
          <w:p>
            <w:pPr>
              <w:spacing w:after="0"/>
              <w:rPr>
                <w:sz w:val="1"/>
                <w:szCs w:val="1"/>
                <w:color w:val="auto"/>
              </w:rPr>
            </w:pPr>
          </w:p>
        </w:tc>
      </w:tr>
      <w:tr>
        <w:trPr>
          <w:trHeight w:val="26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(57 )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-2621915</wp:posOffset>
            </wp:positionV>
            <wp:extent cx="7132955" cy="1708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-2280285</wp:posOffset>
            </wp:positionV>
            <wp:extent cx="7132955" cy="1708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-1938655</wp:posOffset>
            </wp:positionV>
            <wp:extent cx="7132955" cy="2901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955" cy="290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-1357630</wp:posOffset>
            </wp:positionV>
            <wp:extent cx="7132955" cy="1708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955" cy="1708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955" cy="1708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-332740</wp:posOffset>
            </wp:positionV>
            <wp:extent cx="7132955" cy="1708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six months ended June 30,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74" w:right="239" w:bottom="1440" w:gutter="0" w:footer="0" w:header="0"/>
        </w:sectPr>
      </w:pPr>
    </w:p>
    <w:bookmarkStart w:id="31" w:name="page32"/>
    <w:bookmarkEnd w:id="31"/>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Revenue increased $6.2 million, or 3.2%, to $202.2 million for the three months ended June 30, 2024, net of sales discounts, rebates and trade promotions, compared to $196.0 million for the three months ended June 30, 2023. Excluding a foreign currency exchange headwind of $1.5 million, revenue for the second quarter was $203.7 million, or an increase of 3.9% compared to the prior year period (refer to Non-IFRS Financial Measures section below for tables reconciling revenue as reported to revenue on a constant currency basis by segment). The revenue growth was primarily driven by volume growth across all segments and price/mix improvements in the Europe &amp; International segment, offset by price/mix declines in the Greater China segment driven by the strategic reset implemented in the third quarter 2023. Sold volume for the three months ended June 30, 2024 amounted to 137 million liters compared to 125 million liters for the three months ended June 30, 2023. Produced finished goods volume for the second quarter of 2024 amounted to 142 million liters compared to 130 million liters for the same period last year.</w:t>
      </w:r>
    </w:p>
    <w:p>
      <w:pPr>
        <w:spacing w:after="0" w:line="185"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We continued to experience revenue growth in the retail channel of 3.7% for the three months ended June 30, 2024 compared to the prior year period. In the three months ended June 30, 2024 and 2023, the retail channel accounted for 60.5% and 60.2% of our revenue, respectively, the foodservice channel accounted for 35.6% and 34.2% of our revenue, respectively, and the other channel, comprised primarily of e-commerce sales, accounted for 3.9% and 5.6% of our revenue, respectively.</w:t>
      </w:r>
    </w:p>
    <w:p>
      <w:pPr>
        <w:spacing w:after="0" w:line="183" w:lineRule="exact"/>
        <w:rPr>
          <w:sz w:val="20"/>
          <w:szCs w:val="20"/>
          <w:color w:val="auto"/>
        </w:rPr>
      </w:pPr>
    </w:p>
    <w:p>
      <w:pPr>
        <w:jc w:val="both"/>
        <w:ind w:firstLine="507"/>
        <w:spacing w:after="0" w:line="280"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52.2%, 33.5% and 14.3% of our total revenue in the three months ended June 30, 2024, respectively, as compared to 50.4%, 31.5% and 18.1% of our total revenue in the three months ended June 30, 2023, respectively.</w:t>
      </w:r>
    </w:p>
    <w:p>
      <w:pPr>
        <w:spacing w:after="0" w:line="16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Revenue increased $9.7 million, or 2.5%, to $401.4 million for the six months ended June 30, 2024, net of sales discounts, rebates and trade promotions, compared to $391.6 million for the six months ended June 30, 2023. Excluding a foreign currency exchange headwind of $0.4 million, revenue for the second quarter was $401.7 million, or an increase of 2.6% compared to the prior year period (refer to Non-IFRS Financial Measures section below for tables reconciling revenue as reported to revenue on a constant currency basis by segment). The revenue growth was primarily driven by volume growth across all segments and price/mix improvement in the Europe &amp; International segment, offset by price/mix declines in the North America and Greater China segments. Sold volume for the six months ended June 30, 2024 amounted to 269 million liters compared to 253 million liters for the six months ended June 30, 2023. Produced finished goods volume for the six months ended June 30, 2024 amounted to 283 million liters compared to 252 million liters for the same period last year.</w:t>
      </w:r>
    </w:p>
    <w:p>
      <w:pPr>
        <w:spacing w:after="0" w:line="185"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We continued to experience revenue growth in the retail channel of 4.7% for the six months ended June 30, 2024 compared to the prior year period. In the six months ended June 30, 2024 and 2023, the retail channel accounted for 62.7% and 61.4% of our revenue, respectively, the foodservice channel accounted for 33.8% and 33.9% of our revenue, respectively, and the other channel, comprised primarily of e-commerce sales, accounted for 3.5% and 4.7% of our revenue, respectively.</w:t>
      </w:r>
    </w:p>
    <w:p>
      <w:pPr>
        <w:spacing w:after="0" w:line="183" w:lineRule="exact"/>
        <w:rPr>
          <w:sz w:val="20"/>
          <w:szCs w:val="20"/>
          <w:color w:val="auto"/>
        </w:rPr>
      </w:pPr>
    </w:p>
    <w:p>
      <w:pPr>
        <w:jc w:val="both"/>
        <w:ind w:firstLine="497"/>
        <w:spacing w:after="0" w:line="280"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53.8%, 33.6% and 12.6% of our total revenue in the six months ended June 30, 2024, respectively, as compared to 50.9%, 32.1% and 17.0% of our total revenue in the six months ended June 30, 2023, respectively.</w:t>
      </w:r>
    </w:p>
    <w:p>
      <w:pPr>
        <w:spacing w:after="0" w:line="163"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The increase in sold volume growth in Europe &amp; International was driven by continued expansion in core markets, as well as incremental contribution from new markets, while revenue growth was primarily driven by the full impact of price increases introduced during the first part of 2023. Our sold volume and revenue increased in the North America was primarily due to higher volumes in the retail channel. Finally, Greater China revenue decline was primarily driven by the strategy reset in China, resulting in the exit of unprofitable channels, customers and products.</w:t>
      </w:r>
    </w:p>
    <w:p>
      <w:pPr>
        <w:spacing w:after="0" w:line="18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Our employee headcount has decreased by 261 employees compared to prior year, from 1,726 employees as of June 30, 2023 to 1,465 employees as of June 30, 2024 as a result of the strategic actions we have undertaken to simplify our organizational structure. The number of consultants increased by 60 consultants compared to prior year, from 394 consultants as of June 30, 2023 to 454 consultants as of June 30, 2024.</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5"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Cost of goods sold decreased by $15.1 million, or 9.5%, to $143.2 million for the three months ended June 30, 2024, from $158.3 million for the three months ended June 30, 2023.</w:t>
      </w:r>
    </w:p>
    <w:p>
      <w:pPr>
        <w:spacing w:after="0" w:line="163"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Cost of goods sold decreased by $31.4 million, or 9.8%, to $288.5 million for the six months ended June 30, 2024, from $319.9 million for the six months ended June 30, 2023.</w:t>
      </w:r>
    </w:p>
    <w:p>
      <w:pPr>
        <w:spacing w:after="0" w:line="163"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The decrease for the three and six months ended June 30, 2024 was primarily driven by supply chain improvements across all segments, including cost saving initiatives, improving utilization of our North America network and the strategic reset of our Greater China segment.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i w:val="1"/>
          <w:iCs w:val="1"/>
          <w:color w:val="auto"/>
        </w:rPr>
        <w:t>Gross profit and margin</w:t>
      </w:r>
    </w:p>
    <w:p>
      <w:pPr>
        <w:spacing w:after="0" w:line="225"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Gross profit increased by $21.3 million, or 56.6%, to $59.0 million for the three months ended June 30, 2024, from $37.7 million for the three months ended June 30, 2023. Gross profit margin increased by 10.0 percentage points, to 29.2% for the three months ended June 30, 2024, from 19.2% for the three months ended June 30, 2023.</w:t>
      </w:r>
    </w:p>
    <w:p>
      <w:pPr>
        <w:spacing w:after="0" w:line="175"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Gross profit increased by $41.1 million, or 57.3%, to $112.9 million for the six months ended June 30, 2024, from $71.7 million for the six months ended June 30, 2023. Gross profit margin increased by 9.8 percentage points, to 28.1% for the six months ended June 30, 2024, from 18.3% for the six months ended June 30, 2023.</w:t>
      </w:r>
    </w:p>
    <w:p>
      <w:pPr>
        <w:spacing w:after="0" w:line="175"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The increase for the three and six months ended June 30, 2024 in gross profit margin was primarily driven by improvements in supply chain efficiency and absorption across all segments, with the North America segment driving the largest impact, as well as production mix benefits in our Greater China segment.</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5"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Research and development expenses increased by $5.6 million, or 104.8%, to $10.9 million for the three months ended June 30, 2024, from $5.3 million for the three months ended June 30, 2023 and increased as a share of revenues 5.4% and 2.7%, respectively.</w:t>
      </w:r>
    </w:p>
    <w:p>
      <w:pPr>
        <w:spacing w:after="0" w:line="163"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Research and development expenses increased by $4.5 million, or 40.8%, to $15.5 million for the six months ended June 30, 2024, from $11.0 million for the six months ended June 30, 2023 and increased as a share of revenues 3.9% and 2.8%, respectively.</w:t>
      </w:r>
    </w:p>
    <w:p>
      <w:pPr>
        <w:spacing w:after="0" w:line="163"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The increase for the three and six months ended June 30, 2024 was mainly driven by expenses related to a new product launch in the North America segment after we determined the product was not up to our standards.</w:t>
      </w:r>
    </w:p>
    <w:p>
      <w:pPr>
        <w:spacing w:after="0" w:line="16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decreased by $22.4 million, or 21.0%, to $84.3 million for the three months ended June 30, 2024 compared to $106.7 million for the three months ended June 30, 2023 and decreased as a share of revenue to 41.7% from 54.4%, respectively. The decrease was primarily due to the various cost restructuring activities implemented since early 2023, including $6.6 million reduction in employee related expenses, $4.7 million reduction in branding, advertising and marketing expenses, $4.3 million reduction in external consultant, legal contractor and other professional fees, $1.7 million reduction in corporate insurance expenses, and a $1.3 million reduction in customer distribution costs. Customer distribution expense decreased as a share of revenue to 6.0% from 6.8%.</w:t>
      </w:r>
    </w:p>
    <w:p>
      <w:pPr>
        <w:spacing w:after="0" w:line="18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decreased by $42.5 million, or 20.7%, to $163.0 million for the six months ended June 30, 2024 compared to $205.6 million for the six months ended June 30, 2023 and decreased as a share of revenue to 40.6% from 52.5%, respectively. The decrease was primarily due to the various cost restructuring activities implemented since early 2023, including $19.3 million reduction in employee related expenses, $9.6 million reduction in external consultant, legal contractor and other professional fees, $5.7 million reduction in branding, advertising and marketing expenses, $2.9 million reduction in corporate insurance expenses, and a $1.0 million reduction in customer distribution costs. Customer distribution expense decreased as a share of revenue to 6.2% from 6.6%.</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operating income and (expenses), net</w:t>
      </w:r>
    </w:p>
    <w:p>
      <w:pPr>
        <w:spacing w:after="0" w:line="225"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8"/>
          <w:szCs w:val="18"/>
          <w:color w:val="auto"/>
        </w:rPr>
        <w:t>Other operating income and (expenses), net, for the three months ended June 30, 2024 and 2023, amounted to an expense of $2.9 million and an expense of $1.1 million, respectively. Other operating income and (expenses), net, for the six months ended June 30, 2024 and 2023, amounted to an expense of $1.8 million and $2.2 million, respectively. The increase comprised primarily of $2.9 million in non-cash impairment charges related to the Group’s discontinued construction of its production facility in Peterborough, UK.</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Finance income and (expenses), net</w:t>
      </w:r>
    </w:p>
    <w:p>
      <w:pPr>
        <w:spacing w:after="0" w:line="225"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Finance income and (expenses), net, was an income of $10.4 million for the three months ended June 30, 2024, compared to an expense of $11.5 million for the three months ended June 30, 2023. The improvement was mainly driven by $20.1 million in increased fair value gains on Convertible Notes.</w:t>
      </w:r>
    </w:p>
    <w:p>
      <w:pPr>
        <w:spacing w:after="0" w:line="16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Finance income and (expenses), net, was a expense of $7.0 million for the six months ended June 30, 2024, compared to an expense of $13.5 million for the six months ended June 30, 2023. The lower expense was mainly driven by a $19.2 million in increased fair value gains on Convertible Notes and a $12.8 million reduction in other financial expenses, primarily consisting of transaction costs relating to amendments in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bookmarkStart w:id="33" w:name="page34"/>
    <w:bookmarkEnd w:id="33"/>
    <w:p>
      <w:pPr>
        <w:jc w:val="both"/>
        <w:spacing w:after="0" w:line="280" w:lineRule="auto"/>
        <w:rPr>
          <w:sz w:val="20"/>
          <w:szCs w:val="20"/>
          <w:color w:val="auto"/>
        </w:rPr>
      </w:pPr>
      <w:r>
        <w:rPr>
          <w:rFonts w:ascii="Times New Roman" w:cs="Times New Roman" w:eastAsia="Times New Roman" w:hAnsi="Times New Roman"/>
          <w:sz w:val="18"/>
          <w:szCs w:val="18"/>
          <w:color w:val="auto"/>
        </w:rPr>
        <w:t>the Group’s financing arrangements, offset by a $14.5 million decrease in net foreign exchange gains and $10.1 million in increased interest expenses on Convertible Notes.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 (expense)/benefit</w:t>
      </w:r>
    </w:p>
    <w:p>
      <w:pPr>
        <w:spacing w:after="0" w:line="225"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Income tax expense was an expense of $1.8 million for the three months ended June 30, 2024 compared to a benefit of $0.3 million for the three months ended June 30, 2023. The effective tax rates for the three months ended June 30, 2024 and 2023 were 6.1% and (0.3%), respectively. The main driver of our effective tax rate is unrecognized tax losses in Sweden and certain other jurisdictions.</w:t>
      </w:r>
    </w:p>
    <w:p>
      <w:pPr>
        <w:spacing w:after="0" w:line="175"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Income tax expense was an expense of $1.8 million for the six months ended June 30, 2024 compared to an expense of $1.7 million for the six months ended June 30, 2023. The effective tax rates for the six months ended June 30, 2024 and 2023 were 2.4% and 1.1%, respectively. The main driver of our effective tax rate is unrecognized tax losses in Sweden and certain other jurisdictions.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by the issuance of equity and Convertible Notes, and from borrowings under our credit facilities. Our primary requirements for liquidity and capital are to finance working capital, make capital expenditures, invest in our organizational capabilities to support profitable growth and for general corporate purposes. We are using this combination of financing to fund our business. We expect our capital expenditures for 2024 to be below $70 million, related primarily to investments in our production facilities. The amount and allocation of our future capital expenditures depend on several factors, and our strategic investment priorities may change. We believe that our sources of liquidity and capital will be sufficient to meet our existing business needs for at least the next 12 months.</w:t>
      </w:r>
    </w:p>
    <w:p>
      <w:pPr>
        <w:spacing w:after="0" w:line="18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on hand and availability under our credit facilities. As of June 30, 2024, we had cash and cash equivalents of $142.7 million. Our cash and cash equivalents consist of cash in bank accounts and short-term deposits. Short-term deposits are time deposits and structured deposits.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above, we had access to $192.4 million in undrawn bank facilities as of June 30, 2024, excluding bank overdraft facilities.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Sustainable Revolving Credit Facility and Term Loan B Facility</w:t>
      </w:r>
    </w:p>
    <w:p>
      <w:pPr>
        <w:spacing w:after="0" w:line="227" w:lineRule="exact"/>
        <w:rPr>
          <w:sz w:val="20"/>
          <w:szCs w:val="20"/>
          <w:color w:val="auto"/>
        </w:rPr>
      </w:pPr>
    </w:p>
    <w:p>
      <w:pPr>
        <w:jc w:val="both"/>
        <w:ind w:firstLine="508"/>
        <w:spacing w:after="0" w:line="260" w:lineRule="auto"/>
        <w:rPr>
          <w:sz w:val="20"/>
          <w:szCs w:val="20"/>
          <w:color w:val="auto"/>
        </w:rPr>
      </w:pPr>
      <w:r>
        <w:rPr>
          <w:rFonts w:ascii="Times New Roman" w:cs="Times New Roman" w:eastAsia="Times New Roman" w:hAnsi="Times New Roman"/>
          <w:sz w:val="18"/>
          <w:szCs w:val="18"/>
          <w:color w:val="auto"/>
        </w:rPr>
        <w:t>On April 18, 2023, our existing Sustainable Revolving Credit Facility Agreement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w:t>
      </w:r>
    </w:p>
    <w:p>
      <w:pPr>
        <w:jc w:val="both"/>
        <w:ind w:firstLine="8"/>
        <w:spacing w:after="0" w:line="252" w:lineRule="auto"/>
        <w:tabs>
          <w:tab w:leader="none" w:pos="3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tangible solvency ratio, minimum EBITDA, minimum liquidity and total net leverage ratio financial covenants were reset, (v) the existing negative covenants were amended to further align with those included in the TLB Credit Agreement (as defined below), including in relation to incurrence of indebtedness, and (vi) the debt under the SRCF Agreement ranks pari passu with, and shares in the same security and guarantees from the Group as, the EIF Facility (as defined below) and the TLB Credit Agreement by way of the Intercreditor Agreement (as defined below).</w:t>
      </w:r>
    </w:p>
    <w:p>
      <w:pPr>
        <w:spacing w:after="0" w:line="188" w:lineRule="exact"/>
        <w:rPr>
          <w:sz w:val="20"/>
          <w:szCs w:val="20"/>
          <w:color w:val="auto"/>
        </w:rPr>
      </w:pPr>
    </w:p>
    <w:p>
      <w:pPr>
        <w:jc w:val="both"/>
        <w:ind w:firstLine="495"/>
        <w:spacing w:after="0" w:line="274" w:lineRule="auto"/>
        <w:rPr>
          <w:sz w:val="20"/>
          <w:szCs w:val="20"/>
          <w:color w:val="auto"/>
        </w:rPr>
      </w:pPr>
      <w:r>
        <w:rPr>
          <w:rFonts w:ascii="Times New Roman" w:cs="Times New Roman" w:eastAsia="Times New Roman" w:hAnsi="Times New Roman"/>
          <w:sz w:val="17"/>
          <w:szCs w:val="17"/>
          <w:color w:val="auto"/>
        </w:rPr>
        <w:t>On April 18, 2023, we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The term of the TLB Credit Agreement is five years from the funding date of the term loan facility, and the term loan facility is subject to 1% amortization per annum paid in quarterly installments. Borrowings carry an interest rate of Term SOFR (with floor of 2.50%) plus 7.5% or Base Rate (with floor of 3.50%) plus 6.5%. The TLB Credit Agreement contains maintenance financial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 in the same security and guarantees from the Group as the EIF Facility and the SRCF Agreement by way of the Intercreditor Agreement. As of June 30, 2024, we had $132.1 million, including accrued interest, outstanding under the TLB Credit Agreement.</w:t>
      </w:r>
    </w:p>
    <w:p>
      <w:pPr>
        <w:spacing w:after="0" w:line="171" w:lineRule="exact"/>
        <w:rPr>
          <w:sz w:val="20"/>
          <w:szCs w:val="20"/>
          <w:color w:val="auto"/>
        </w:rPr>
      </w:pPr>
    </w:p>
    <w:p>
      <w:pPr>
        <w:jc w:val="both"/>
        <w:ind w:firstLine="508"/>
        <w:spacing w:after="0" w:line="265"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an Intercreditor Agreement (the “Intercreditor Agreement”) with, amongst others J.P. Morgan SE, as Senior Secured Term Facilities Agent, Wilmington Trust (London) Limited as Senior Secured Revolving Facilities Agent, Wilmington Trust (London) Limited as Common Security Agent and U.S. Bank Trust Company, National Association as trustee in respect of certain of the Convertible Notes (as defined below). The Intercreditor Agreement includes customary ranking, enforcement and turnover provisions intended to govern the relationship between the creditor groups.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4" w:name="page35"/>
    <w:bookmarkEnd w:id="34"/>
    <w:p>
      <w:pPr>
        <w:jc w:val="both"/>
        <w:ind w:firstLine="513"/>
        <w:spacing w:after="0" w:line="265" w:lineRule="auto"/>
        <w:rPr>
          <w:sz w:val="20"/>
          <w:szCs w:val="20"/>
          <w:color w:val="auto"/>
        </w:rPr>
      </w:pPr>
      <w:r>
        <w:rPr>
          <w:rFonts w:ascii="Times New Roman" w:cs="Times New Roman" w:eastAsia="Times New Roman" w:hAnsi="Times New Roman"/>
          <w:sz w:val="18"/>
          <w:szCs w:val="18"/>
          <w:color w:val="auto"/>
        </w:rPr>
        <w:t>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w:t>
      </w:r>
    </w:p>
    <w:p>
      <w:pPr>
        <w:spacing w:after="0" w:line="17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February 14, 2024, the Sustainable Revolving Credit Facility Agreement and the Term Loan 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Sustainable Revolving Credit Facility Agreement, the tangible solvency ratio financial covenant,</w:t>
      </w:r>
    </w:p>
    <w:p>
      <w:pPr>
        <w:spacing w:after="0" w:line="3" w:lineRule="exact"/>
        <w:rPr>
          <w:sz w:val="20"/>
          <w:szCs w:val="20"/>
          <w:color w:val="auto"/>
        </w:rPr>
      </w:pPr>
    </w:p>
    <w:p>
      <w:pPr>
        <w:jc w:val="both"/>
        <w:ind w:firstLine="8"/>
        <w:spacing w:after="0" w:line="251"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certain financial definitions to permit additional adjustments for the purpose of the calculation of the financial covenants and (iii) provide certain flexibility for disposals of assets relating to the Group’s production facilities in Dallas Fort Worth, Texas, United States of America and Peterborough, United Kingdom. In addition, the existing draw-stop level for the Sustainable Revolving Credit Facility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Term Loan B Credit Agreement has been reset to apply for the 18 months following the amendment effective date (for the avoidance of doubt, the subsequent 12 months’ prepayment fee period still applies after the end of such 18-month period).</w:t>
      </w:r>
    </w:p>
    <w:p>
      <w:pPr>
        <w:spacing w:after="0" w:line="188"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Under the amended Sustainable Revolving Credit Facility Agreement and Term Loan 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Sustainable Revolving Credit Facility Agreement is 30%.</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7" w:lineRule="exact"/>
        <w:rPr>
          <w:sz w:val="20"/>
          <w:szCs w:val="20"/>
          <w:color w:val="auto"/>
        </w:rPr>
      </w:pPr>
    </w:p>
    <w:p>
      <w:pPr>
        <w:jc w:val="both"/>
        <w:ind w:firstLine="495"/>
        <w:spacing w:after="0" w:line="270" w:lineRule="auto"/>
        <w:rPr>
          <w:sz w:val="20"/>
          <w:szCs w:val="20"/>
          <w:color w:val="auto"/>
        </w:rPr>
      </w:pPr>
      <w:r>
        <w:rPr>
          <w:rFonts w:ascii="Times New Roman" w:cs="Times New Roman" w:eastAsia="Times New Roman" w:hAnsi="Times New Roman"/>
          <w:sz w:val="18"/>
          <w:szCs w:val="18"/>
          <w:color w:val="auto"/>
        </w:rPr>
        <w:t>On March 23, 2023 and April 18, 2023, we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172"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Certain of our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75"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our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The conversion price may be reset again on March 23, 2025 if the average of the daily volume-weighted average prices of the ADSs for the 30 consecutive trading days immediately preceding March 23, 2025 is below a specified price. The conversion price of the Original Convertible Notes, before considering customary anti-dilution adjustments, cannot be reset to lower than $1.36 on March 23, 2025. We may require conversion of the Convertible Notes if the last reported sale price of our ADSs equals or exceeds 200% of the applicable conversion price on any 45 trading days during any 90 consecutive day period beginning on or after the third anniversary of the issuance of the U.S. Notes (with respect to the U.S. Notes and the HH Notes and the Swedish Notes (with respect to the Swedish Notes).</w:t>
      </w:r>
    </w:p>
    <w:p>
      <w:pPr>
        <w:spacing w:after="0" w:line="192"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On April 18, 2023, we, Oatly AB, Oatly Inc. and other parties entered into the Intercreditor Agreement which includes customary ranking, enforcement and turnover provisions intended to govern the relationship between the creditor groups and which affect e.g. the Convertible Notes.</w:t>
      </w:r>
    </w:p>
    <w:p>
      <w:pPr>
        <w:spacing w:after="0" w:line="163"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May 9, 2023 we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our ADSs on the Nasdaq Global Market on May 8, 2023, and (ii) with respect to the specified prices in connection with the conversion rate resets of the</w:t>
      </w:r>
    </w:p>
    <w:p>
      <w:pPr>
        <w:spacing w:after="0" w:line="4" w:lineRule="exact"/>
        <w:rPr>
          <w:sz w:val="20"/>
          <w:szCs w:val="20"/>
          <w:color w:val="auto"/>
        </w:rPr>
      </w:pPr>
    </w:p>
    <w:p>
      <w:pPr>
        <w:jc w:val="both"/>
        <w:ind w:firstLine="8"/>
        <w:spacing w:after="0" w:line="251" w:lineRule="auto"/>
        <w:tabs>
          <w:tab w:leader="none" w:pos="3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March 23, 2024, the conversion price of the HH Notes was reset to $1.89 in accordance with the terms thereof. The conversion price may be reset again on March 23, 2025 if the average of the daily volume-weighted average prices of the ADSs for the 30 consecutive trading days immediately preceding March 23, 2025 is below a specified price. The conversion price of the HH Notes, before considering customary anti-dilution adjustments, cannot be reset to lower than $1.41 on March 23, 2025.In addition, on May 9, 2023, one of the existing holders of Swedish Notes and an affiliate of one of our shareholders, Verlinvest, agreed to sell and Hillhouse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5" w:name="page36"/>
    <w:bookmarkEnd w:id="35"/>
    <w:p>
      <w:pPr>
        <w:jc w:val="both"/>
        <w:spacing w:after="0" w:line="280" w:lineRule="auto"/>
        <w:rPr>
          <w:sz w:val="20"/>
          <w:szCs w:val="20"/>
          <w:color w:val="auto"/>
        </w:rPr>
      </w:pPr>
      <w:r>
        <w:rPr>
          <w:rFonts w:ascii="Times New Roman" w:cs="Times New Roman" w:eastAsia="Times New Roman" w:hAnsi="Times New Roman"/>
          <w:sz w:val="18"/>
          <w:szCs w:val="18"/>
          <w:color w:val="auto"/>
        </w:rPr>
        <w:t>agreed to purchase from Verlinvest $15 million aggregate principal amount of Swedish Notes (the “Resale Notes”). The purchase and sale of the HH Notes and the Resale Notes closed on May 31, 2023. The HH Notes are also subject to the Intercreditor Agreement.</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Credit Facilities</w:t>
      </w:r>
    </w:p>
    <w:p>
      <w:pPr>
        <w:spacing w:after="0" w:line="227" w:lineRule="exact"/>
        <w:rPr>
          <w:sz w:val="20"/>
          <w:szCs w:val="20"/>
          <w:color w:val="auto"/>
        </w:rPr>
      </w:pPr>
    </w:p>
    <w:p>
      <w:pPr>
        <w:jc w:val="both"/>
        <w:ind w:firstLine="495"/>
        <w:spacing w:after="0" w:line="270" w:lineRule="auto"/>
        <w:rPr>
          <w:sz w:val="20"/>
          <w:szCs w:val="20"/>
          <w:color w:val="auto"/>
        </w:rPr>
      </w:pPr>
      <w:r>
        <w:rPr>
          <w:rFonts w:ascii="Times New Roman" w:cs="Times New Roman" w:eastAsia="Times New Roman" w:hAnsi="Times New Roman"/>
          <w:sz w:val="18"/>
          <w:szCs w:val="18"/>
          <w:color w:val="auto"/>
        </w:rPr>
        <w:t>In October 2019, we entered into a European Investment Fund guaranteed three-year term loan facility of €7.5 million (equivalent of $8.0 million) with Svensk Exportkredit (the “EIF Facility”). The EIF Facility bears interest at EURIBOR + 2.75%. On October 6, 2022, the termination date of the EIF Facility was extended to October 11, 2025 and the amortization schedule thereunder revised, with amortizations in an amount of €0.3 million to be made on a quarterly basis effective January 11, 2023. The loan facility and interest margin remain unchanged.</w:t>
      </w:r>
    </w:p>
    <w:p>
      <w:pPr>
        <w:spacing w:after="0" w:line="172"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8"/>
          <w:szCs w:val="18"/>
          <w:color w:val="auto"/>
        </w:rPr>
        <w:t>On February 14, 2024, the EIF Facility was amended and restated to, where and to the extent applicable, implement equivalent amendments as those made to the Sustainable Revolving Credit Facility Agreement on February 14, 2024.</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2024, we had €1.9 million (equivalent of $2.0 million) outstanding under the EIF Facility, including accrued interest.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20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4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(86,013 )</w:t>
            </w:r>
          </w:p>
        </w:tc>
        <w:tc>
          <w:tcPr>
            <w:tcW w:w="8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(113,090 )</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20"/>
                <w:szCs w:val="20"/>
                <w:color w:val="auto"/>
              </w:rPr>
            </w:pPr>
          </w:p>
        </w:tc>
      </w:tr>
      <w:tr>
        <w:trPr>
          <w:trHeight w:val="24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in)/from financing activities</w:t>
            </w:r>
          </w:p>
        </w:tc>
        <w:tc>
          <w:tcPr>
            <w:tcW w:w="2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(20,213 )</w:t>
            </w:r>
          </w:p>
        </w:tc>
        <w:tc>
          <w:tcPr>
            <w:tcW w:w="8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367,309</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7"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Net cash flows used in operating activities decreased by $27.1 million, to $86.0 million for the six months ended June 30, 2024 from $113.1 million for the six months ended June 30, 2023, which was primarily driven by improved operating results, partly offset by cash outflow of $25.4 million related to discontinued construction of the our production facilities in Peterborough, UK and Dallas-Fort Worth, Texas, and a cash outflow of $9.3 million related to the settlement of US securities class action litigation.</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from investing activities</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Net cash flows from investing activities decreased by $0.5 million, to an inflow of $0.9 million for the six months ended June 30, 2024 compared to an inflow of $1.3 million for the six months ended June 30, 2023. During the second quarter of 2024 our investments in property, plant and equipment amounted to $19.6 million, offset by proceeds from sale of property, plant and equipment of $20.4 million related to sold assets due to the discontinued construction of our new production facilities in Peterborough, UK and Dallas-Fort Worth, Texas. For the comparable period in 2023 our investments in property, plant and equipment amounted to $39.5 million which was offset by net proceeds from assets held for sale amounting to $44.0 million related to the YYF Transaction.</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in)/from financing activities</w:t>
      </w:r>
    </w:p>
    <w:p>
      <w:pPr>
        <w:spacing w:after="0" w:line="227"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Net cash flows (used in)/from financing activities decreased by $387.5 million, to an outflow of $20.2 million for the six months ended June 30, 2024 from an inflow of $367.3 million for the six months ended June 30, 2023, which is mainly explained by the Company’s financing transactions in the second quarter of 2023, as well as $8.9 million in repayment of lease liabilities in the second quarter of 2024 related to a terminated lease contract due to the discontinued construction of the Group’s production facility in Peterborough, UK.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our contractual commitments and contingencies, see Note 25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interim condensed consolidated financial statements, which are included elsewhere in this Report.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Non-IFRS Financial Measures</w:t>
      </w:r>
    </w:p>
    <w:p>
      <w:pPr>
        <w:spacing w:after="0" w:line="227"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liquidity measure, and each in our financial communications:</w:t>
      </w:r>
    </w:p>
    <w:p>
      <w:pPr>
        <w:spacing w:after="0" w:line="163" w:lineRule="exact"/>
        <w:rPr>
          <w:sz w:val="20"/>
          <w:szCs w:val="20"/>
          <w:color w:val="auto"/>
        </w:rPr>
      </w:pPr>
    </w:p>
    <w:p>
      <w:pPr>
        <w:jc w:val="both"/>
        <w:ind w:firstLine="449"/>
        <w:spacing w:after="0" w:line="280"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impacts related to discontinued construction of production facilities, expenses related to a new product launch issue, costs related to the YYF Transaction, and non-controlling interests.</w:t>
      </w:r>
    </w:p>
    <w:p>
      <w:pPr>
        <w:spacing w:after="0" w:line="175"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283" w:lineRule="exact"/>
        <w:rPr>
          <w:sz w:val="20"/>
          <w:szCs w:val="20"/>
          <w:color w:val="auto"/>
        </w:rPr>
      </w:pPr>
    </w:p>
    <w:p>
      <w:pPr>
        <w:ind w:left="1020" w:right="22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5" w:lineRule="exact"/>
        <w:rPr>
          <w:rFonts w:ascii="Times New Roman" w:cs="Times New Roman" w:eastAsia="Times New Roman" w:hAnsi="Times New Roman"/>
          <w:sz w:val="18"/>
          <w:szCs w:val="18"/>
          <w:color w:val="auto"/>
        </w:rPr>
      </w:pPr>
    </w:p>
    <w:p>
      <w:pPr>
        <w:ind w:left="1020" w:right="42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5" w:lineRule="exact"/>
        <w:rPr>
          <w:rFonts w:ascii="Times New Roman" w:cs="Times New Roman" w:eastAsia="Times New Roman" w:hAnsi="Times New Roman"/>
          <w:sz w:val="18"/>
          <w:szCs w:val="18"/>
          <w:color w:val="auto"/>
        </w:rPr>
      </w:pPr>
    </w:p>
    <w:p>
      <w:pPr>
        <w:ind w:left="1020" w:right="32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discontinued construction of production facilities, although some of these may reduce cash available to us in future period;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expenses related to a new product launch issue that reduce cash available to us;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YYF Transaction that reduce cash available to us;</w:t>
      </w:r>
    </w:p>
    <w:p>
      <w:pPr>
        <w:spacing w:after="0" w:line="115" w:lineRule="exact"/>
        <w:rPr>
          <w:rFonts w:ascii="Times New Roman" w:cs="Times New Roman" w:eastAsia="Times New Roman" w:hAnsi="Times New Roman"/>
          <w:sz w:val="18"/>
          <w:szCs w:val="18"/>
          <w:color w:val="auto"/>
        </w:rPr>
      </w:pPr>
    </w:p>
    <w:p>
      <w:pPr>
        <w:ind w:left="1020" w:right="62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8"/>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for the period</w:t>
            </w:r>
          </w:p>
        </w:tc>
        <w:tc>
          <w:tcPr>
            <w:tcW w:w="9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6"/>
              </w:rPr>
              <w:t>(30,441 )</w:t>
            </w:r>
          </w:p>
        </w:tc>
        <w:tc>
          <w:tcPr>
            <w:tcW w:w="8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(86,719 )</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(76,285 )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(162,296 )</w:t>
            </w: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20"/>
                <w:szCs w:val="20"/>
                <w:color w:val="auto"/>
              </w:rPr>
            </w:pPr>
          </w:p>
        </w:tc>
      </w:tr>
      <w:tr>
        <w:trPr>
          <w:trHeight w:val="24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9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6"/>
              </w:rPr>
              <w:t>(10,389 )</w:t>
            </w:r>
          </w:p>
        </w:tc>
        <w:tc>
          <w:tcPr>
            <w:tcW w:w="8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00" w:type="dxa"/>
            <w:vAlign w:val="bottom"/>
            <w:shd w:val="clear" w:color="auto" w:fill="CFF0FC"/>
          </w:tcPr>
          <w:p>
            <w:pPr>
              <w:spacing w:after="0"/>
              <w:rPr>
                <w:sz w:val="21"/>
                <w:szCs w:val="2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100" w:type="dxa"/>
            <w:vAlign w:val="bottom"/>
          </w:tcPr>
          <w:p>
            <w:pPr>
              <w:spacing w:after="0"/>
              <w:rPr>
                <w:sz w:val="20"/>
                <w:szCs w:val="20"/>
                <w:color w:val="auto"/>
              </w:rPr>
            </w:pPr>
          </w:p>
        </w:tc>
      </w:tr>
      <w:tr>
        <w:trPr>
          <w:trHeight w:val="24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(26,771 )</w:t>
            </w:r>
          </w:p>
        </w:tc>
        <w:tc>
          <w:tcPr>
            <w:tcW w:w="8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(63,016 )</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(42,171 )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(122,352 )</w:t>
            </w: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00" w:type="dxa"/>
            <w:vAlign w:val="bottom"/>
          </w:tcPr>
          <w:p>
            <w:pPr>
              <w:spacing w:after="0"/>
              <w:rPr>
                <w:sz w:val="20"/>
                <w:szCs w:val="20"/>
                <w:color w:val="auto"/>
              </w:rPr>
            </w:pPr>
          </w:p>
        </w:tc>
      </w:tr>
      <w:tr>
        <w:trPr>
          <w:trHeight w:val="246"/>
        </w:trPr>
        <w:tc>
          <w:tcPr>
            <w:tcW w:w="46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shd w:val="clear" w:color="auto" w:fill="CFF0FC"/>
          </w:tcPr>
          <w:p>
            <w:pPr>
              <w:spacing w:after="0"/>
              <w:rPr>
                <w:sz w:val="21"/>
                <w:szCs w:val="21"/>
                <w:color w:val="auto"/>
              </w:rPr>
            </w:pPr>
          </w:p>
        </w:tc>
      </w:tr>
      <w:tr>
        <w:trPr>
          <w:trHeight w:val="242"/>
        </w:trPr>
        <w:tc>
          <w:tcPr>
            <w:tcW w:w="460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(2)</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0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60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(3)</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60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(4)</w:t>
            </w:r>
          </w:p>
        </w:tc>
        <w:tc>
          <w:tcPr>
            <w:tcW w:w="900" w:type="dxa"/>
            <w:vAlign w:val="bottom"/>
          </w:tcPr>
          <w:p>
            <w:pPr>
              <w:spacing w:after="0"/>
              <w:rPr>
                <w:sz w:val="21"/>
                <w:szCs w:val="21"/>
                <w:color w:val="auto"/>
              </w:rPr>
            </w:pPr>
          </w:p>
        </w:tc>
        <w:tc>
          <w:tcPr>
            <w:tcW w:w="1700" w:type="dxa"/>
            <w:vAlign w:val="bottom"/>
            <w:gridSpan w:val="3"/>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r>
      <w:tr>
        <w:trPr>
          <w:trHeight w:val="238"/>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(10,997 )</w:t>
            </w:r>
          </w:p>
        </w:tc>
        <w:tc>
          <w:tcPr>
            <w:tcW w:w="8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(52,468 )</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(24,201 )</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(102,341 )</w:t>
            </w:r>
          </w:p>
        </w:tc>
      </w:tr>
      <w:tr>
        <w:trPr>
          <w:trHeight w:val="20"/>
        </w:trPr>
        <w:tc>
          <w:tcPr>
            <w:tcW w:w="4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-187325</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-187325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-187325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severance payments as the Group continues to adjust its organizational structure to the macro environment.</w:t>
      </w:r>
    </w:p>
    <w:p>
      <w:pPr>
        <w:spacing w:after="0" w:line="219"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37" w:name="page38"/>
    <w:bookmarkEnd w:id="37"/>
    <w:p>
      <w:pPr>
        <w:ind w:left="520" w:right="80" w:hanging="512"/>
        <w:spacing w:after="0" w:line="26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new product launch issue.</w:t>
      </w:r>
    </w:p>
    <w:p>
      <w:pPr>
        <w:spacing w:after="0" w:line="2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YYF Transaction. See the Company’s Forms 6-K filed on January 3, 2023 and March 2, 2023 for further details.</w:t>
      </w:r>
    </w:p>
    <w:p>
      <w:pPr>
        <w:spacing w:after="0" w:line="218" w:lineRule="exact"/>
        <w:rPr>
          <w:sz w:val="20"/>
          <w:szCs w:val="20"/>
          <w:color w:val="auto"/>
        </w:rPr>
      </w:pPr>
    </w:p>
    <w:p>
      <w:pPr>
        <w:jc w:val="both"/>
        <w:ind w:right="80" w:firstLine="505"/>
        <w:spacing w:after="0" w:line="265"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5" w:lineRule="exact"/>
        <w:rPr>
          <w:sz w:val="20"/>
          <w:szCs w:val="20"/>
          <w:color w:val="auto"/>
        </w:rPr>
      </w:pPr>
    </w:p>
    <w:p>
      <w:pPr>
        <w:jc w:val="both"/>
        <w:ind w:right="80" w:firstLine="449"/>
        <w:spacing w:after="0" w:line="265"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believe this information is useful to investors to facilitate comparisons and better identify trends in our business.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tables below reconcile revenue as reported to revenue on a constant currency basis by segment for the three and six months ended June 30,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20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As</w:t>
            </w:r>
          </w:p>
        </w:tc>
        <w:tc>
          <w:tcPr>
            <w:tcW w:w="240" w:type="dxa"/>
            <w:vAlign w:val="bottom"/>
          </w:tcPr>
          <w:p>
            <w:pPr>
              <w:spacing w:after="0"/>
              <w:rPr>
                <w:sz w:val="11"/>
                <w:szCs w:val="11"/>
                <w:color w:val="auto"/>
              </w:rPr>
            </w:pPr>
          </w:p>
        </w:tc>
        <w:tc>
          <w:tcPr>
            <w:tcW w:w="9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660" w:type="dxa"/>
            <w:vAlign w:val="bottom"/>
          </w:tcPr>
          <w:p>
            <w:pPr>
              <w:spacing w:after="0"/>
              <w:rPr>
                <w:sz w:val="5"/>
                <w:szCs w:val="5"/>
                <w:color w:val="auto"/>
              </w:rPr>
            </w:pPr>
          </w:p>
        </w:tc>
        <w:tc>
          <w:tcPr>
            <w:tcW w:w="1020" w:type="dxa"/>
            <w:vAlign w:val="bottom"/>
            <w:vMerge w:val="restart"/>
          </w:tcPr>
          <w:p>
            <w:pPr>
              <w:jc w:val="right"/>
              <w:ind w:right="276"/>
              <w:spacing w:after="0" w:line="148"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vMerge w:val="restart"/>
          </w:tcPr>
          <w:p>
            <w:pPr>
              <w:jc w:val="right"/>
              <w:ind w:right="150"/>
              <w:spacing w:after="0" w:line="148"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2"/>
            <w:vMerge w:val="restart"/>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700" w:type="dxa"/>
            <w:vAlign w:val="bottom"/>
            <w:vMerge w:val="restart"/>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60" w:type="dxa"/>
            <w:vAlign w:val="bottom"/>
            <w:gridSpan w:val="2"/>
            <w:vMerge w:val="restart"/>
          </w:tcPr>
          <w:p>
            <w:pPr>
              <w:jc w:val="right"/>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80"/>
              <w:spacing w:after="0" w:line="14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vMerge w:val="restart"/>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1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6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Europe &amp; International</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105,54</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106,15</w:t>
            </w:r>
          </w:p>
        </w:tc>
        <w:tc>
          <w:tcPr>
            <w:tcW w:w="10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5.7 %</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126"/>
        </w:trPr>
        <w:tc>
          <w:tcPr>
            <w:tcW w:w="2660" w:type="dxa"/>
            <w:vAlign w:val="bottom"/>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98,768</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(615 )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(915 )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-18.5 %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206"/>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202,19</w:t>
            </w:r>
          </w:p>
        </w:tc>
        <w:tc>
          <w:tcPr>
            <w:tcW w:w="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203,72</w:t>
            </w:r>
          </w:p>
        </w:tc>
        <w:tc>
          <w:tcPr>
            <w:tcW w:w="10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3.2 %</w:t>
            </w: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3.9 %</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9.6 %</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-5.7 %</w:t>
            </w:r>
          </w:p>
        </w:tc>
        <w:tc>
          <w:tcPr>
            <w:tcW w:w="0" w:type="dxa"/>
            <w:vAlign w:val="bottom"/>
          </w:tcPr>
          <w:p>
            <w:pPr>
              <w:spacing w:after="0"/>
              <w:rPr>
                <w:sz w:val="1"/>
                <w:szCs w:val="1"/>
                <w:color w:val="auto"/>
              </w:rPr>
            </w:pPr>
          </w:p>
        </w:tc>
      </w:tr>
      <w:tr>
        <w:trPr>
          <w:trHeight w:val="144"/>
        </w:trPr>
        <w:tc>
          <w:tcPr>
            <w:tcW w:w="2660" w:type="dxa"/>
            <w:vAlign w:val="bottom"/>
            <w:vMerge w:val="continue"/>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240" w:type="dxa"/>
            <w:vAlign w:val="bottom"/>
            <w:vMerge w:val="restart"/>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195,987</w:t>
            </w:r>
          </w:p>
        </w:tc>
        <w:tc>
          <w:tcPr>
            <w:tcW w:w="26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vMerge w:val="restart"/>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(1,530 )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2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6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660" w:type="dxa"/>
            <w:vAlign w:val="bottom"/>
          </w:tcPr>
          <w:p>
            <w:pPr>
              <w:spacing w:after="0"/>
              <w:rPr>
                <w:sz w:val="24"/>
                <w:szCs w:val="24"/>
                <w:color w:val="auto"/>
              </w:rPr>
            </w:pPr>
          </w:p>
        </w:tc>
        <w:tc>
          <w:tcPr>
            <w:tcW w:w="20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As</w:t>
            </w:r>
          </w:p>
        </w:tc>
        <w:tc>
          <w:tcPr>
            <w:tcW w:w="240" w:type="dxa"/>
            <w:vAlign w:val="bottom"/>
          </w:tcPr>
          <w:p>
            <w:pPr>
              <w:spacing w:after="0"/>
              <w:rPr>
                <w:sz w:val="11"/>
                <w:szCs w:val="11"/>
                <w:color w:val="auto"/>
              </w:rPr>
            </w:pPr>
          </w:p>
        </w:tc>
        <w:tc>
          <w:tcPr>
            <w:tcW w:w="9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660" w:type="dxa"/>
            <w:vAlign w:val="bottom"/>
          </w:tcPr>
          <w:p>
            <w:pPr>
              <w:spacing w:after="0"/>
              <w:rPr>
                <w:sz w:val="5"/>
                <w:szCs w:val="5"/>
                <w:color w:val="auto"/>
              </w:rPr>
            </w:pPr>
          </w:p>
        </w:tc>
        <w:tc>
          <w:tcPr>
            <w:tcW w:w="1020" w:type="dxa"/>
            <w:vAlign w:val="bottom"/>
            <w:vMerge w:val="restart"/>
          </w:tcPr>
          <w:p>
            <w:pPr>
              <w:jc w:val="right"/>
              <w:ind w:right="276"/>
              <w:spacing w:after="0" w:line="148"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vMerge w:val="restart"/>
          </w:tcPr>
          <w:p>
            <w:pPr>
              <w:jc w:val="right"/>
              <w:ind w:right="150"/>
              <w:spacing w:after="0" w:line="148"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2"/>
            <w:vMerge w:val="restart"/>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700" w:type="dxa"/>
            <w:vAlign w:val="bottom"/>
            <w:vMerge w:val="restart"/>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60" w:type="dxa"/>
            <w:vAlign w:val="bottom"/>
            <w:gridSpan w:val="2"/>
            <w:vMerge w:val="restart"/>
          </w:tcPr>
          <w:p>
            <w:pPr>
              <w:jc w:val="right"/>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80"/>
              <w:spacing w:after="0" w:line="14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vMerge w:val="restart"/>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1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6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Europe &amp; International</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215,94</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214,38</w:t>
            </w:r>
          </w:p>
        </w:tc>
        <w:tc>
          <w:tcPr>
            <w:tcW w:w="10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8.4 %</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126"/>
        </w:trPr>
        <w:tc>
          <w:tcPr>
            <w:tcW w:w="2660" w:type="dxa"/>
            <w:vAlign w:val="bottom"/>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199,264</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10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9.9 %</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126"/>
        </w:trPr>
        <w:tc>
          <w:tcPr>
            <w:tcW w:w="2660" w:type="dxa"/>
            <w:vAlign w:val="bottom"/>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125,873</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66,495</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(1,951 )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-23.9 %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06"/>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401,35</w:t>
            </w:r>
          </w:p>
        </w:tc>
        <w:tc>
          <w:tcPr>
            <w:tcW w:w="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401,73</w:t>
            </w:r>
          </w:p>
        </w:tc>
        <w:tc>
          <w:tcPr>
            <w:tcW w:w="10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2.5 %</w:t>
            </w: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2.6 %</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6.3 %</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-3.7 %</w:t>
            </w:r>
          </w:p>
        </w:tc>
        <w:tc>
          <w:tcPr>
            <w:tcW w:w="0" w:type="dxa"/>
            <w:vAlign w:val="bottom"/>
          </w:tcPr>
          <w:p>
            <w:pPr>
              <w:spacing w:after="0"/>
              <w:rPr>
                <w:sz w:val="1"/>
                <w:szCs w:val="1"/>
                <w:color w:val="auto"/>
              </w:rPr>
            </w:pPr>
          </w:p>
        </w:tc>
      </w:tr>
      <w:tr>
        <w:trPr>
          <w:trHeight w:val="144"/>
        </w:trPr>
        <w:tc>
          <w:tcPr>
            <w:tcW w:w="2660" w:type="dxa"/>
            <w:vAlign w:val="bottom"/>
            <w:vMerge w:val="continue"/>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391,632</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1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(387 )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2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6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-2630170</wp:posOffset>
            </wp:positionV>
            <wp:extent cx="7132955" cy="2901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955" cy="290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-1058545</wp:posOffset>
            </wp:positionV>
            <wp:extent cx="7132955" cy="2901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955" cy="290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-2186305</wp:posOffset>
            </wp:positionV>
            <wp:extent cx="7132955" cy="162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95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955" cy="162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955" cy="162560"/>
                    </a:xfrm>
                    <a:prstGeom prst="rect">
                      <a:avLst/>
                    </a:prstGeom>
                    <a:noFill/>
                  </pic:spPr>
                </pic:pic>
              </a:graphicData>
            </a:graphic>
          </wp:anchor>
        </w:drawing>
      </w:r>
    </w:p>
    <w:p>
      <w:pPr>
        <w:spacing w:after="0" w:line="392" w:lineRule="exact"/>
        <w:rPr>
          <w:sz w:val="20"/>
          <w:szCs w:val="20"/>
          <w:color w:val="auto"/>
        </w:rPr>
      </w:pPr>
    </w:p>
    <w:p>
      <w:pPr>
        <w:jc w:val="both"/>
        <w:ind w:right="80" w:firstLine="449"/>
        <w:spacing w:after="0" w:line="265" w:lineRule="auto"/>
        <w:rPr>
          <w:sz w:val="20"/>
          <w:szCs w:val="20"/>
          <w:color w:val="auto"/>
        </w:rPr>
      </w:pPr>
      <w:r>
        <w:rPr>
          <w:rFonts w:ascii="Times New Roman" w:cs="Times New Roman" w:eastAsia="Times New Roman" w:hAnsi="Times New Roman"/>
          <w:sz w:val="18"/>
          <w:szCs w:val="18"/>
          <w:color w:val="auto"/>
        </w:rPr>
        <w:t>“Free Cash Flow” is defined as net cash flows from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from operating activities.</w:t>
      </w:r>
    </w:p>
    <w:p>
      <w:pPr>
        <w:spacing w:after="0" w:line="175" w:lineRule="exact"/>
        <w:rPr>
          <w:sz w:val="20"/>
          <w:szCs w:val="20"/>
          <w:color w:val="auto"/>
        </w:rPr>
      </w:pPr>
    </w:p>
    <w:p>
      <w:pPr>
        <w:jc w:val="both"/>
        <w:ind w:right="80" w:firstLine="449"/>
        <w:spacing w:after="0" w:line="257"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from operating activities for the periods presented.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8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0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(46,935 )</w:t>
            </w:r>
          </w:p>
        </w:tc>
        <w:tc>
          <w:tcPr>
            <w:tcW w:w="10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(41,878 )</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(86,013 )</w:t>
            </w:r>
          </w:p>
        </w:tc>
        <w:tc>
          <w:tcPr>
            <w:tcW w:w="9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3"/>
              </w:rPr>
              <w:t>(113,090 )</w:t>
            </w: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(14,226 )</w:t>
            </w:r>
          </w:p>
        </w:tc>
        <w:tc>
          <w:tcPr>
            <w:tcW w:w="10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(12,912 )</w:t>
            </w:r>
          </w:p>
        </w:tc>
        <w:tc>
          <w:tcPr>
            <w:tcW w:w="9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(20,420 )</w:t>
            </w:r>
          </w:p>
        </w:tc>
        <w:tc>
          <w:tcPr>
            <w:tcW w:w="9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(41,034 )</w:t>
            </w:r>
          </w:p>
        </w:tc>
      </w:tr>
      <w:tr>
        <w:trPr>
          <w:trHeight w:val="20"/>
        </w:trPr>
        <w:tc>
          <w:tcPr>
            <w:tcW w:w="3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(61,161 )</w:t>
            </w:r>
          </w:p>
        </w:tc>
        <w:tc>
          <w:tcPr>
            <w:tcW w:w="100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(54,790 )</w:t>
            </w:r>
          </w:p>
        </w:tc>
        <w:tc>
          <w:tcPr>
            <w:tcW w:w="96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(106,433 )</w:t>
            </w:r>
          </w:p>
        </w:tc>
        <w:tc>
          <w:tcPr>
            <w:tcW w:w="96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3"/>
              </w:rPr>
              <w:t>(154,124 )</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-24765</wp:posOffset>
            </wp:positionV>
            <wp:extent cx="768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-7620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-24765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80" w:firstLine="449"/>
        <w:spacing w:after="0" w:line="259" w:lineRule="auto"/>
        <w:rPr>
          <w:sz w:val="20"/>
          <w:szCs w:val="20"/>
          <w:color w:val="auto"/>
        </w:rPr>
      </w:pPr>
      <w:r>
        <w:rPr>
          <w:rFonts w:ascii="Times New Roman" w:cs="Times New Roman" w:eastAsia="Times New Roman" w:hAnsi="Times New Roman"/>
          <w:sz w:val="18"/>
          <w:szCs w:val="18"/>
          <w:color w:val="auto"/>
        </w:rPr>
        <w:t>Free cash flow was an outflow of $106.4 million for the six months ended June 30, 2024 compared to an outflow of $154.1 million during the prior year period. The improvement in free cash flow was driven both by decreased net cash flows used in operating activities and lower capital expenditures, partly offset by the above-mentioned cash outflows relating to discontinued construction of the Group’s production facilities in Peterborough, UK and Dallas-Fort Worth, Texas and settlement of US securities class action litigation.</w:t>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20"/>
          </w:cols>
          <w:pgMar w:left="320" w:top="1009"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7"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color w:val="auto"/>
        </w:rPr>
        <w:t>Effective as of January 1, 2024, the Company made changes to how it makes strategic decisions and allocates resources among its operating segments. As part of this change, the Greater China business is managed separately from the rest of the Asia business, forming its own operating segment. The rest of the Asia business, including the Singapore manufacturing facility, is managed together with the EMEA business, which is now identified as Europe &amp; International. Following these changes, the new operating segments are:</w:t>
      </w:r>
    </w:p>
    <w:p>
      <w:pPr>
        <w:spacing w:after="0" w:line="75" w:lineRule="exact"/>
        <w:rPr>
          <w:sz w:val="20"/>
          <w:szCs w:val="20"/>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&amp; International, which is inclusive of Europe, Middle East and Africa, Asia Pacific and Latin America;</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which is inclusive of the United States and Canada;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which is inclusive of Mainland China, Hong Kong and Taiwan.</w:t>
      </w:r>
    </w:p>
    <w:p>
      <w:pPr>
        <w:spacing w:after="0" w:line="223" w:lineRule="exact"/>
        <w:rPr>
          <w:sz w:val="20"/>
          <w:szCs w:val="20"/>
          <w:color w:val="auto"/>
        </w:rPr>
      </w:pPr>
    </w:p>
    <w:p>
      <w:pPr>
        <w:ind w:firstLine="449"/>
        <w:spacing w:after="0" w:line="280" w:lineRule="auto"/>
        <w:rPr>
          <w:sz w:val="20"/>
          <w:szCs w:val="20"/>
          <w:color w:val="auto"/>
        </w:rPr>
      </w:pPr>
      <w:r>
        <w:rPr>
          <w:rFonts w:ascii="Times New Roman" w:cs="Times New Roman" w:eastAsia="Times New Roman" w:hAnsi="Times New Roman"/>
          <w:sz w:val="18"/>
          <w:szCs w:val="18"/>
          <w:color w:val="auto"/>
        </w:rPr>
        <w:t>In addition to the above-described changes, a majority of the research and development expenses, previously part of corporate overhead, are now allocated to the operating segments to align with how resources are being allocated and monitored as of January 1, 2024.</w:t>
      </w:r>
    </w:p>
    <w:p>
      <w:pPr>
        <w:spacing w:after="0" w:line="163" w:lineRule="exact"/>
        <w:rPr>
          <w:sz w:val="20"/>
          <w:szCs w:val="20"/>
          <w:color w:val="auto"/>
        </w:rPr>
      </w:pPr>
    </w:p>
    <w:p>
      <w:pPr>
        <w:ind w:firstLine="449"/>
        <w:spacing w:after="0" w:line="280" w:lineRule="auto"/>
        <w:rPr>
          <w:sz w:val="20"/>
          <w:szCs w:val="20"/>
          <w:color w:val="auto"/>
        </w:rPr>
      </w:pPr>
      <w:r>
        <w:rPr>
          <w:rFonts w:ascii="Times New Roman" w:cs="Times New Roman" w:eastAsia="Times New Roman" w:hAnsi="Times New Roman"/>
          <w:sz w:val="18"/>
          <w:szCs w:val="18"/>
          <w:color w:val="auto"/>
        </w:rPr>
        <w:t>Segment information for the three and six months ended June 30, 2024 and 2023 presented below has been updated to reflect the above-described changes.</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(1,814 )</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107,355</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67,819</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28,835</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(1,814 )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12,638</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(428 )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(24,373 )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(10,997 )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(501 )</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(2,967 )</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(4,179 )</w:t>
            </w: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(855 )</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(769 )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(3,214 )</w:t>
            </w:r>
          </w:p>
        </w:tc>
        <w:tc>
          <w:tcPr>
            <w:tcW w:w="0" w:type="dxa"/>
            <w:vAlign w:val="bottom"/>
          </w:tcPr>
          <w:p>
            <w:pPr>
              <w:spacing w:after="0"/>
              <w:rPr>
                <w:sz w:val="1"/>
                <w:szCs w:val="1"/>
                <w:color w:val="auto"/>
              </w:rPr>
            </w:pPr>
          </w:p>
        </w:tc>
      </w:tr>
      <w:tr>
        <w:trPr>
          <w:trHeight w:val="242"/>
        </w:trPr>
        <w:tc>
          <w:tcPr>
            <w:tcW w:w="390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(2)</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(2,923 )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(2,646 )</w:t>
            </w:r>
          </w:p>
        </w:tc>
        <w:tc>
          <w:tcPr>
            <w:tcW w:w="0" w:type="dxa"/>
            <w:vAlign w:val="bottom"/>
          </w:tcPr>
          <w:p>
            <w:pPr>
              <w:spacing w:after="0"/>
              <w:rPr>
                <w:sz w:val="1"/>
                <w:szCs w:val="1"/>
                <w:color w:val="auto"/>
              </w:rPr>
            </w:pPr>
          </w:p>
        </w:tc>
      </w:tr>
      <w:tr>
        <w:trPr>
          <w:trHeight w:val="242"/>
        </w:trPr>
        <w:tc>
          <w:tcPr>
            <w:tcW w:w="390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(5,677 )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(58 )</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8,359</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(5,235 )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(2,435 )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(27,460 )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(26,771 )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(12,308 )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(28,690 )</w:t>
            </w:r>
          </w:p>
        </w:tc>
        <w:tc>
          <w:tcPr>
            <w:tcW w:w="0" w:type="dxa"/>
            <w:vAlign w:val="bottom"/>
          </w:tcPr>
          <w:p>
            <w:pPr>
              <w:spacing w:after="0"/>
              <w:rPr>
                <w:sz w:val="1"/>
                <w:szCs w:val="1"/>
                <w:color w:val="auto"/>
              </w:rPr>
            </w:pPr>
          </w:p>
        </w:tc>
      </w:tr>
      <w:tr>
        <w:trPr>
          <w:trHeight w:val="3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98,768</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61,832</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(9,189 )</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107,835</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61,832</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35,509</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(9,189 )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(10,880 )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(18,577 )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(24,305 )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(52,468 )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(74 )</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(808 )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(1,391 )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(149 )</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(2,422 )</w:t>
            </w: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(26 )</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(2,407 )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(5,429 )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(7,972 )</w:t>
            </w:r>
          </w:p>
        </w:tc>
        <w:tc>
          <w:tcPr>
            <w:tcW w:w="0" w:type="dxa"/>
            <w:vAlign w:val="bottom"/>
          </w:tcPr>
          <w:p>
            <w:pPr>
              <w:spacing w:after="0"/>
              <w:rPr>
                <w:sz w:val="1"/>
                <w:szCs w:val="1"/>
                <w:color w:val="auto"/>
              </w:rPr>
            </w:pPr>
          </w:p>
        </w:tc>
      </w:tr>
      <w:tr>
        <w:trPr>
          <w:trHeight w:val="242"/>
        </w:trPr>
        <w:tc>
          <w:tcPr>
            <w:tcW w:w="390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(154 )</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42"/>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1,194</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(14,249 )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(20,078 )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(29,883 )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(63,016 )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(11,512 )</w:t>
            </w: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(12,464 )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(86,992 )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(3,778 )</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219,726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134,786</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50,616</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(3,778 )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27,134</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(3,856 )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(48,257 )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(24,201 )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(879 )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(1,179 )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(5,763 )</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(6,794 )</w:t>
            </w: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(855 )</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(769 )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(1,940 )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(3,635 )</w:t>
            </w:r>
          </w:p>
        </w:tc>
        <w:tc>
          <w:tcPr>
            <w:tcW w:w="0" w:type="dxa"/>
            <w:vAlign w:val="bottom"/>
          </w:tcPr>
          <w:p>
            <w:pPr>
              <w:spacing w:after="0"/>
              <w:rPr>
                <w:sz w:val="1"/>
                <w:szCs w:val="1"/>
                <w:color w:val="auto"/>
              </w:rPr>
            </w:pPr>
          </w:p>
        </w:tc>
      </w:tr>
      <w:tr>
        <w:trPr>
          <w:trHeight w:val="242"/>
        </w:trPr>
        <w:tc>
          <w:tcPr>
            <w:tcW w:w="390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(2)</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(2,923 )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(1,762 )</w:t>
            </w:r>
          </w:p>
        </w:tc>
        <w:tc>
          <w:tcPr>
            <w:tcW w:w="0" w:type="dxa"/>
            <w:vAlign w:val="bottom"/>
          </w:tcPr>
          <w:p>
            <w:pPr>
              <w:spacing w:after="0"/>
              <w:rPr>
                <w:sz w:val="1"/>
                <w:szCs w:val="1"/>
                <w:color w:val="auto"/>
              </w:rPr>
            </w:pPr>
          </w:p>
        </w:tc>
      </w:tr>
      <w:tr>
        <w:trPr>
          <w:trHeight w:val="242"/>
        </w:trPr>
        <w:tc>
          <w:tcPr>
            <w:tcW w:w="390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(5,677 )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(102 )</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22,477</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(3,480 )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(7,077 )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(54,091 )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(42,171 )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(6,988 )</w:t>
            </w: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(25,321 )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(74,480 )</w:t>
            </w:r>
          </w:p>
        </w:tc>
        <w:tc>
          <w:tcPr>
            <w:tcW w:w="0" w:type="dxa"/>
            <w:vAlign w:val="bottom"/>
          </w:tcPr>
          <w:p>
            <w:pPr>
              <w:spacing w:after="0"/>
              <w:rPr>
                <w:sz w:val="1"/>
                <w:szCs w:val="1"/>
                <w:color w:val="auto"/>
              </w:rPr>
            </w:pPr>
          </w:p>
        </w:tc>
      </w:tr>
      <w:tr>
        <w:trPr>
          <w:trHeight w:val="38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2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199,264</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125,873</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66,495</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(19,673 )</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218,815</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125,873</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66,617</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(19,673 )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8,491</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(21,186 )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(35,906 )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(53,740 )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(102,341 )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(1,119 )</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(1,852 )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(2,779 )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(4,719 )</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(10,469 )</w:t>
            </w: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(1,034 )</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(2,594 )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(5,429 )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(9,167 )</w:t>
            </w:r>
          </w:p>
        </w:tc>
        <w:tc>
          <w:tcPr>
            <w:tcW w:w="0" w:type="dxa"/>
            <w:vAlign w:val="bottom"/>
          </w:tcPr>
          <w:p>
            <w:pPr>
              <w:spacing w:after="0"/>
              <w:rPr>
                <w:sz w:val="1"/>
                <w:szCs w:val="1"/>
                <w:color w:val="auto"/>
              </w:rPr>
            </w:pPr>
          </w:p>
        </w:tc>
      </w:tr>
      <w:tr>
        <w:trPr>
          <w:trHeight w:val="242"/>
        </w:trPr>
        <w:tc>
          <w:tcPr>
            <w:tcW w:w="390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(375 )</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(375 )</w:t>
            </w:r>
          </w:p>
        </w:tc>
        <w:tc>
          <w:tcPr>
            <w:tcW w:w="0" w:type="dxa"/>
            <w:vAlign w:val="bottom"/>
          </w:tcPr>
          <w:p>
            <w:pPr>
              <w:spacing w:after="0"/>
              <w:rPr>
                <w:sz w:val="1"/>
                <w:szCs w:val="1"/>
                <w:color w:val="auto"/>
              </w:rPr>
            </w:pPr>
          </w:p>
        </w:tc>
      </w:tr>
      <w:tr>
        <w:trPr>
          <w:trHeight w:val="242"/>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6,338</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(26,007 )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(38,795 )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(63,888 )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(122,352 )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(13,508 )</w:t>
            </w:r>
          </w:p>
        </w:tc>
        <w:tc>
          <w:tcPr>
            <w:tcW w:w="0" w:type="dxa"/>
            <w:vAlign w:val="bottom"/>
          </w:tcPr>
          <w:p>
            <w:pPr>
              <w:spacing w:after="0"/>
              <w:rPr>
                <w:sz w:val="1"/>
                <w:szCs w:val="1"/>
                <w:color w:val="auto"/>
              </w:rPr>
            </w:pPr>
          </w:p>
        </w:tc>
      </w:tr>
      <w:tr>
        <w:trPr>
          <w:trHeight w:val="24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(24,697 )</w:t>
            </w:r>
          </w:p>
        </w:tc>
        <w:tc>
          <w:tcPr>
            <w:tcW w:w="0" w:type="dxa"/>
            <w:vAlign w:val="bottom"/>
          </w:tcPr>
          <w:p>
            <w:pPr>
              <w:spacing w:after="0"/>
              <w:rPr>
                <w:sz w:val="1"/>
                <w:szCs w:val="1"/>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(160,557 )</w:t>
            </w: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consists of general overhead costs not allocated to the segments.</w:t>
      </w:r>
    </w:p>
    <w:p>
      <w:pPr>
        <w:spacing w:after="0" w:line="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Eliminations in 2024 and 2023 primarily refer to intersegment revenue for sales of products from Europe &amp; International to Greater China.</w:t>
      </w:r>
    </w:p>
    <w:p>
      <w:pPr>
        <w:spacing w:after="0" w:line="27"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severance payments as the Group continues to adjust its organizational structure to the macro environment.</w:t>
      </w:r>
    </w:p>
    <w:p>
      <w:pPr>
        <w:spacing w:after="0" w:line="21" w:lineRule="exact"/>
        <w:rPr>
          <w:rFonts w:ascii="Times New Roman" w:cs="Times New Roman" w:eastAsia="Times New Roman" w:hAnsi="Times New Roman"/>
          <w:sz w:val="18"/>
          <w:szCs w:val="18"/>
          <w:color w:val="auto"/>
        </w:rPr>
      </w:pPr>
    </w:p>
    <w:p>
      <w:pPr>
        <w:ind w:left="520" w:hanging="512"/>
        <w:spacing w:after="0" w:line="26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new product launch issue.</w:t>
      </w:r>
    </w:p>
    <w:p>
      <w:pPr>
        <w:spacing w:after="0" w:line="2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YYF Transaction. See the Company’s Forms 6-K filed on January 3, 2023 and March 2, 2023 for further details.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7" w:lineRule="exact"/>
        <w:rPr>
          <w:sz w:val="20"/>
          <w:szCs w:val="20"/>
          <w:color w:val="auto"/>
        </w:rPr>
      </w:pPr>
    </w:p>
    <w:p>
      <w:pPr>
        <w:jc w:val="both"/>
        <w:ind w:firstLine="449"/>
        <w:spacing w:after="0" w:line="231" w:lineRule="exact"/>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or other contractually narrow or limited purposes.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We prepare our interim condensed consolidated financial statements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Preparing these financial statements requires us to make estimates and assumptions that affect the reported amounts of assets, liabilities, equity, revenue, expenses, and related disclosures. We evaluate our estimates and assumptions on an ongoing basis. Our estimates are based on historical experience and various other assumptions that we believe to be reasonable under the circumstances. Our actual results may differ from these estimates. Other companies in similar businesses may use different estimation policies and methodologies, which may impact the comparability of our financial condition, results of operations and cash flows to those of other companies.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0" w:name="page41"/>
    <w:bookmarkEnd w:id="40"/>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“Critical Accounting Estimates” in our 2023 Annual Report and the notes to the audited financial statements in our 2023 Annual Report. Our critical accounting policies and estimates are the same as those discussed in our 2023 Annual Report.</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accounting policies</w:t>
      </w:r>
      <w:r>
        <w:rPr>
          <w:rFonts w:ascii="Times New Roman" w:cs="Times New Roman" w:eastAsia="Times New Roman" w:hAnsi="Times New Roman"/>
          <w:sz w:val="18"/>
          <w:szCs w:val="18"/>
          <w:color w:val="auto"/>
        </w:rPr>
        <w:t xml:space="preserve"> to our interim condensed consolidated financial statements appearing elsewhere in this Report.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Qualitative and Quantitative Disclosures about Market Risk</w:t>
      </w:r>
    </w:p>
    <w:p>
      <w:pPr>
        <w:spacing w:after="0" w:line="22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 xml:space="preserve">We are exposed to certain market risks in the ordinary course of our business. These risks primarily consist of foreign exchange risk, interest rate risk, credit risk and liquidity risk. For further discussion and sensitivity analysis of these risks, see Note 3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xml:space="preserve"> to our audited consolidated financial statements for the year ended December 31, 2023 included in our 2023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22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8"/>
          <w:szCs w:val="18"/>
          <w:color w:val="auto"/>
        </w:rPr>
        <w:t xml:space="preserve">From time to time, we may be involved in various claims and legal proceedings related to claims arising out of our operations. Other than as described in Note 25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we are not currently a party to any material legal proceedings, including any such proceedings that are pending or threatened, of which we are aware.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There have been no material changes to our risk factors since those reported in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2023 Annual Report.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information contained in Item 2 in Part II of the Company’s Report on Form 6-K filed on November 15, 2021 is incorporated by reference herein.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7"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520" w:type="dxa"/>
            <w:vAlign w:val="bottom"/>
          </w:tcPr>
          <w:p>
            <w:pPr>
              <w:spacing w:after="0"/>
              <w:rPr>
                <w:sz w:val="22"/>
                <w:szCs w:val="22"/>
                <w:color w:val="auto"/>
              </w:rPr>
            </w:pP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20"/>
                <w:szCs w:val="20"/>
                <w:b w:val="1"/>
                <w:bCs w:val="1"/>
                <w:color w:val="auto"/>
              </w:rPr>
              <w:t>Oatly Group AB</w:t>
            </w:r>
          </w:p>
        </w:tc>
        <w:tc>
          <w:tcPr>
            <w:tcW w:w="0" w:type="dxa"/>
            <w:vAlign w:val="bottom"/>
          </w:tcPr>
          <w:p>
            <w:pPr>
              <w:spacing w:after="0"/>
              <w:rPr>
                <w:sz w:val="1"/>
                <w:szCs w:val="1"/>
                <w:color w:val="auto"/>
              </w:rPr>
            </w:pPr>
          </w:p>
        </w:tc>
      </w:tr>
      <w:tr>
        <w:trPr>
          <w:trHeight w:val="74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2024</w:t>
            </w:r>
          </w:p>
        </w:tc>
        <w:tc>
          <w:tcPr>
            <w:tcW w:w="28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 Marie-José David</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880" w:type="dxa"/>
            <w:vAlign w:val="bottom"/>
            <w:vMerge w:val="restart"/>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520" w:type="dxa"/>
            <w:vAlign w:val="bottom"/>
          </w:tcPr>
          <w:p>
            <w:pPr>
              <w:spacing w:after="0"/>
              <w:rPr>
                <w:sz w:val="19"/>
                <w:szCs w:val="19"/>
                <w:color w:val="auto"/>
              </w:rPr>
            </w:pPr>
          </w:p>
        </w:tc>
        <w:tc>
          <w:tcPr>
            <w:tcW w:w="288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Marie-José David</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8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83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Roman"/>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lowerRoman"/>
      <w:start w:val="2"/>
    </w:lvl>
  </w:abstractNum>
  <w:abstractNum w:abstractNumId="8">
    <w:nsid w:val="6B68079A"/>
    <w:multiLevelType w:val="hybridMultilevel"/>
    <w:lvl w:ilvl="0">
      <w:lvlJc w:val="left"/>
      <w:lvlText w:val="%1"/>
      <w:numFmt w:val="upperLetter"/>
      <w:start w:val="34"/>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Roman"/>
      <w:start w:val="4"/>
    </w:lvl>
  </w:abstractNum>
  <w:abstractNum w:abstractNumId="15">
    <w:nsid w:val="257130A3"/>
    <w:multiLevelType w:val="hybridMultilevel"/>
    <w:lvl w:ilvl="0">
      <w:lvlJc w:val="left"/>
      <w:lvlText w:val="(%1)"/>
      <w:numFmt w:val="lowerRoman"/>
      <w:start w:val="2"/>
    </w:lvl>
  </w:abstractNum>
  <w:abstractNum w:abstractNumId="16">
    <w:nsid w:val="62BBD95A"/>
    <w:multiLevelType w:val="hybridMultilevel"/>
    <w:lvl w:ilvl="0">
      <w:lvlJc w:val="left"/>
      <w:lvlText w:val="%1"/>
      <w:numFmt w:val="upperLetter"/>
      <w:start w:val="34"/>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2"/>
    </w:lvl>
  </w:abstractNum>
  <w:abstractNum w:abstractNumId="20">
    <w:nsid w:val="721DA317"/>
    <w:multiLevelType w:val="hybridMultilevel"/>
    <w:lvl w:ilvl="0">
      <w:lvlJc w:val="left"/>
      <w:lvlText w:val="(%1)"/>
      <w:numFmt w:val="lowerRoman"/>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2024-07-24T15:28:15Z</dcterms:created>
  <dcterms:modified xsi:type="dcterms:W3CDTF">2024-07-24T15:28:15Z</dcterms:modified>
</cp:coreProperties>
</file>