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Oatly Group AB</w:t>
      </w:r>
    </w:p>
    <w:p>
      <w:pPr>
        <w:spacing w:after="0" w:line="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tbl>
      <w:tblPr>
        <w:tblLayout w:type="fixed"/>
        <w:tblInd w:w="2080" w:type="dxa"/>
        <w:tblCellMar>
          <w:top w:w="0" w:type="dxa"/>
          <w:left w:w="0" w:type="dxa"/>
          <w:bottom w:w="0" w:type="dxa"/>
          <w:right w:w="0" w:type="dxa"/>
        </w:tblCellMar>
      </w:tblPr>
      <w:tr>
        <w:trPr>
          <w:trHeight w:val="198"/>
        </w:trPr>
        <w:tc>
          <w:tcPr>
            <w:tcW w:w="18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Sweden</w:t>
            </w:r>
          </w:p>
        </w:tc>
        <w:tc>
          <w:tcPr>
            <w:tcW w:w="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300" w:type="dxa"/>
            <w:vAlign w:val="bottom"/>
          </w:tcPr>
          <w:p>
            <w:pPr>
              <w:jc w:val="center"/>
              <w:ind w:left="991"/>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35"/>
        </w:trPr>
        <w:tc>
          <w:tcPr>
            <w:tcW w:w="180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5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80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r>
        <w:trPr>
          <w:trHeight w:val="230"/>
        </w:trPr>
        <w:tc>
          <w:tcPr>
            <w:tcW w:w="1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rPr>
              <w:t>Oatly Group AB</w:t>
            </w:r>
          </w:p>
        </w:tc>
      </w:tr>
      <w:tr>
        <w:trPr>
          <w:trHeight w:val="203"/>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rPr>
              <w:t>Ångfärjekajen 8</w:t>
            </w:r>
          </w:p>
        </w:tc>
      </w:tr>
      <w:tr>
        <w:trPr>
          <w:trHeight w:val="203"/>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11"/>
              <w:spacing w:after="0"/>
              <w:rPr>
                <w:sz w:val="20"/>
                <w:szCs w:val="20"/>
                <w:color w:val="auto"/>
              </w:rPr>
            </w:pPr>
            <w:r>
              <w:rPr>
                <w:rFonts w:ascii="Times New Roman" w:cs="Times New Roman" w:eastAsia="Times New Roman" w:hAnsi="Times New Roman"/>
                <w:sz w:val="16"/>
                <w:szCs w:val="16"/>
                <w:b w:val="1"/>
                <w:bCs w:val="1"/>
                <w:color w:val="auto"/>
              </w:rPr>
              <w:t>211 19 Malmö</w:t>
            </w:r>
          </w:p>
        </w:tc>
      </w:tr>
      <w:tr>
        <w:trPr>
          <w:trHeight w:val="198"/>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w w:val="99"/>
              </w:rPr>
              <w:t>Sweden</w:t>
            </w:r>
          </w:p>
        </w:tc>
      </w:tr>
      <w:tr>
        <w:trPr>
          <w:trHeight w:val="166"/>
        </w:trPr>
        <w:tc>
          <w:tcPr>
            <w:tcW w:w="1800" w:type="dxa"/>
            <w:vAlign w:val="bottom"/>
          </w:tcPr>
          <w:p>
            <w:pPr>
              <w:spacing w:after="0"/>
              <w:rPr>
                <w:sz w:val="14"/>
                <w:szCs w:val="14"/>
                <w:color w:val="auto"/>
              </w:rPr>
            </w:pPr>
          </w:p>
        </w:tc>
        <w:tc>
          <w:tcPr>
            <w:tcW w:w="5200" w:type="dxa"/>
            <w:vAlign w:val="bottom"/>
            <w:gridSpan w:val="3"/>
          </w:tcPr>
          <w:p>
            <w:pPr>
              <w:jc w:val="center"/>
              <w:ind w:right="1651"/>
              <w:spacing w:after="0"/>
              <w:rPr>
                <w:sz w:val="20"/>
                <w:szCs w:val="20"/>
                <w:color w:val="auto"/>
              </w:rPr>
            </w:pPr>
            <w:r>
              <w:rPr>
                <w:rFonts w:ascii="Times New Roman" w:cs="Times New Roman" w:eastAsia="Times New Roman" w:hAnsi="Times New Roman"/>
                <w:sz w:val="13"/>
                <w:szCs w:val="13"/>
                <w:b w:val="1"/>
                <w:bCs w:val="1"/>
                <w:color w:val="auto"/>
                <w:w w:val="96"/>
              </w:rPr>
              <w:t>(Address of registrant’s principal executive offices)</w:t>
            </w:r>
          </w:p>
        </w:tc>
      </w:tr>
      <w:tr>
        <w:trPr>
          <w:trHeight w:val="138"/>
        </w:trPr>
        <w:tc>
          <w:tcPr>
            <w:tcW w:w="1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r>
      <w:tr>
        <w:trPr>
          <w:trHeight w:val="221"/>
        </w:trPr>
        <w:tc>
          <w:tcPr>
            <w:tcW w:w="1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gridSpan w:val="2"/>
          </w:tcPr>
          <w:p>
            <w:pPr>
              <w:jc w:val="center"/>
              <w:ind w:right="2211"/>
              <w:spacing w:after="0"/>
              <w:rPr>
                <w:sz w:val="20"/>
                <w:szCs w:val="20"/>
                <w:color w:val="auto"/>
              </w:rPr>
            </w:pPr>
            <w:r>
              <w:rPr>
                <w:rFonts w:ascii="Times New Roman" w:cs="Times New Roman" w:eastAsia="Times New Roman" w:hAnsi="Times New Roman"/>
                <w:sz w:val="16"/>
                <w:szCs w:val="16"/>
                <w:b w:val="1"/>
                <w:bCs w:val="1"/>
                <w:color w:val="auto"/>
              </w:rPr>
              <w:t>Oatly Inc.</w:t>
            </w:r>
          </w:p>
        </w:tc>
      </w:tr>
      <w:tr>
        <w:trPr>
          <w:trHeight w:val="203"/>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rPr>
              <w:t>2275 Bridge Street</w:t>
            </w:r>
          </w:p>
        </w:tc>
      </w:tr>
      <w:tr>
        <w:trPr>
          <w:trHeight w:val="203"/>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rPr>
              <w:t>Building 209, Suite 200</w:t>
            </w:r>
          </w:p>
        </w:tc>
      </w:tr>
      <w:tr>
        <w:trPr>
          <w:trHeight w:val="203"/>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20" w:type="dxa"/>
            <w:vAlign w:val="bottom"/>
            <w:gridSpan w:val="2"/>
          </w:tcPr>
          <w:p>
            <w:pPr>
              <w:jc w:val="center"/>
              <w:ind w:right="2231"/>
              <w:spacing w:after="0"/>
              <w:rPr>
                <w:sz w:val="20"/>
                <w:szCs w:val="20"/>
                <w:color w:val="auto"/>
              </w:rPr>
            </w:pPr>
            <w:r>
              <w:rPr>
                <w:rFonts w:ascii="Times New Roman" w:cs="Times New Roman" w:eastAsia="Times New Roman" w:hAnsi="Times New Roman"/>
                <w:sz w:val="16"/>
                <w:szCs w:val="16"/>
                <w:b w:val="1"/>
                <w:bCs w:val="1"/>
                <w:color w:val="auto"/>
              </w:rPr>
              <w:t>Philadelphia, PA 19137</w:t>
            </w:r>
          </w:p>
        </w:tc>
      </w:tr>
      <w:tr>
        <w:trPr>
          <w:trHeight w:val="198"/>
        </w:trPr>
        <w:tc>
          <w:tcPr>
            <w:tcW w:w="1800" w:type="dxa"/>
            <w:vAlign w:val="bottom"/>
          </w:tcPr>
          <w:p>
            <w:pPr>
              <w:spacing w:after="0"/>
              <w:rPr>
                <w:sz w:val="17"/>
                <w:szCs w:val="17"/>
                <w:color w:val="auto"/>
              </w:rPr>
            </w:pPr>
          </w:p>
        </w:tc>
        <w:tc>
          <w:tcPr>
            <w:tcW w:w="2900" w:type="dxa"/>
            <w:vAlign w:val="bottom"/>
            <w:gridSpan w:val="2"/>
          </w:tcPr>
          <w:p>
            <w:pPr>
              <w:jc w:val="center"/>
              <w:ind w:left="531"/>
              <w:spacing w:after="0"/>
              <w:rPr>
                <w:sz w:val="20"/>
                <w:szCs w:val="20"/>
                <w:color w:val="auto"/>
              </w:rPr>
            </w:pPr>
            <w:r>
              <w:rPr>
                <w:rFonts w:ascii="Times New Roman" w:cs="Times New Roman" w:eastAsia="Times New Roman" w:hAnsi="Times New Roman"/>
                <w:sz w:val="16"/>
                <w:szCs w:val="16"/>
                <w:b w:val="1"/>
                <w:bCs w:val="1"/>
                <w:color w:val="auto"/>
              </w:rPr>
              <w:t>(866) 704-0391</w:t>
            </w:r>
          </w:p>
        </w:tc>
        <w:tc>
          <w:tcPr>
            <w:tcW w:w="2300" w:type="dxa"/>
            <w:vAlign w:val="bottom"/>
          </w:tcPr>
          <w:p>
            <w:pPr>
              <w:spacing w:after="0"/>
              <w:rPr>
                <w:sz w:val="17"/>
                <w:szCs w:val="17"/>
                <w:color w:val="auto"/>
              </w:rPr>
            </w:pPr>
          </w:p>
        </w:tc>
      </w:tr>
      <w:tr>
        <w:trPr>
          <w:trHeight w:val="166"/>
        </w:trPr>
        <w:tc>
          <w:tcPr>
            <w:tcW w:w="1800" w:type="dxa"/>
            <w:vAlign w:val="bottom"/>
          </w:tcPr>
          <w:p>
            <w:pPr>
              <w:spacing w:after="0"/>
              <w:rPr>
                <w:sz w:val="14"/>
                <w:szCs w:val="14"/>
                <w:color w:val="auto"/>
              </w:rPr>
            </w:pPr>
          </w:p>
        </w:tc>
        <w:tc>
          <w:tcPr>
            <w:tcW w:w="5200" w:type="dxa"/>
            <w:vAlign w:val="bottom"/>
            <w:gridSpan w:val="3"/>
          </w:tcPr>
          <w:p>
            <w:pPr>
              <w:jc w:val="center"/>
              <w:ind w:right="1651"/>
              <w:spacing w:after="0"/>
              <w:rPr>
                <w:sz w:val="20"/>
                <w:szCs w:val="20"/>
                <w:color w:val="auto"/>
              </w:rPr>
            </w:pPr>
            <w:r>
              <w:rPr>
                <w:rFonts w:ascii="Times New Roman" w:cs="Times New Roman" w:eastAsia="Times New Roman" w:hAnsi="Times New Roman"/>
                <w:sz w:val="13"/>
                <w:szCs w:val="13"/>
                <w:b w:val="1"/>
                <w:bCs w:val="1"/>
                <w:color w:val="auto"/>
                <w:w w:val="96"/>
              </w:rPr>
              <w:t>(Name, address and telephone number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3"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0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27"/>
        </w:trPr>
        <w:tc>
          <w:tcPr>
            <w:tcW w:w="24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Laura Katherine Mann</w:t>
            </w:r>
          </w:p>
        </w:tc>
        <w:tc>
          <w:tcPr>
            <w:tcW w:w="5020" w:type="dxa"/>
            <w:vAlign w:val="bottom"/>
          </w:tcPr>
          <w:p>
            <w:pPr>
              <w:jc w:val="center"/>
              <w:ind w:left="2858"/>
              <w:spacing w:after="0"/>
              <w:rPr>
                <w:sz w:val="20"/>
                <w:szCs w:val="20"/>
                <w:color w:val="auto"/>
              </w:rPr>
            </w:pPr>
            <w:r>
              <w:rPr>
                <w:rFonts w:ascii="Times New Roman" w:cs="Times New Roman" w:eastAsia="Times New Roman" w:hAnsi="Times New Roman"/>
                <w:sz w:val="16"/>
                <w:szCs w:val="16"/>
                <w:b w:val="1"/>
                <w:bCs w:val="1"/>
                <w:color w:val="auto"/>
              </w:rPr>
              <w:t>Shoan Panahi</w:t>
            </w:r>
          </w:p>
        </w:tc>
      </w:tr>
      <w:tr>
        <w:trPr>
          <w:trHeight w:val="203"/>
        </w:trPr>
        <w:tc>
          <w:tcPr>
            <w:tcW w:w="24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White &amp; Case LLP</w:t>
            </w:r>
          </w:p>
        </w:tc>
        <w:tc>
          <w:tcPr>
            <w:tcW w:w="5020" w:type="dxa"/>
            <w:vAlign w:val="bottom"/>
          </w:tcPr>
          <w:p>
            <w:pPr>
              <w:jc w:val="center"/>
              <w:ind w:left="2858"/>
              <w:spacing w:after="0"/>
              <w:rPr>
                <w:sz w:val="20"/>
                <w:szCs w:val="20"/>
                <w:color w:val="auto"/>
              </w:rPr>
            </w:pPr>
            <w:r>
              <w:rPr>
                <w:rFonts w:ascii="Times New Roman" w:cs="Times New Roman" w:eastAsia="Times New Roman" w:hAnsi="Times New Roman"/>
                <w:sz w:val="16"/>
                <w:szCs w:val="16"/>
                <w:b w:val="1"/>
                <w:bCs w:val="1"/>
                <w:color w:val="auto"/>
              </w:rPr>
              <w:t>White &amp; Case Advokat AB</w:t>
            </w:r>
          </w:p>
        </w:tc>
      </w:tr>
      <w:tr>
        <w:trPr>
          <w:trHeight w:val="203"/>
        </w:trPr>
        <w:tc>
          <w:tcPr>
            <w:tcW w:w="24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609 Main Street</w:t>
            </w:r>
          </w:p>
        </w:tc>
        <w:tc>
          <w:tcPr>
            <w:tcW w:w="5020" w:type="dxa"/>
            <w:vAlign w:val="bottom"/>
          </w:tcPr>
          <w:p>
            <w:pPr>
              <w:jc w:val="center"/>
              <w:ind w:left="2858"/>
              <w:spacing w:after="0"/>
              <w:rPr>
                <w:sz w:val="20"/>
                <w:szCs w:val="20"/>
                <w:color w:val="auto"/>
              </w:rPr>
            </w:pPr>
            <w:r>
              <w:rPr>
                <w:rFonts w:ascii="Times New Roman" w:cs="Times New Roman" w:eastAsia="Times New Roman" w:hAnsi="Times New Roman"/>
                <w:sz w:val="16"/>
                <w:szCs w:val="16"/>
                <w:b w:val="1"/>
                <w:bCs w:val="1"/>
                <w:color w:val="auto"/>
              </w:rPr>
              <w:t>Biblioteksgatan 12, Box 5573</w:t>
            </w:r>
          </w:p>
        </w:tc>
      </w:tr>
      <w:tr>
        <w:trPr>
          <w:trHeight w:val="203"/>
        </w:trPr>
        <w:tc>
          <w:tcPr>
            <w:tcW w:w="24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Houston, Texas 77002</w:t>
            </w:r>
          </w:p>
        </w:tc>
        <w:tc>
          <w:tcPr>
            <w:tcW w:w="5020" w:type="dxa"/>
            <w:vAlign w:val="bottom"/>
          </w:tcPr>
          <w:p>
            <w:pPr>
              <w:jc w:val="center"/>
              <w:ind w:left="2858"/>
              <w:spacing w:after="0"/>
              <w:rPr>
                <w:sz w:val="20"/>
                <w:szCs w:val="20"/>
                <w:color w:val="auto"/>
              </w:rPr>
            </w:pPr>
            <w:r>
              <w:rPr>
                <w:rFonts w:ascii="Times New Roman" w:cs="Times New Roman" w:eastAsia="Times New Roman" w:hAnsi="Times New Roman"/>
                <w:sz w:val="16"/>
                <w:szCs w:val="16"/>
                <w:b w:val="1"/>
                <w:bCs w:val="1"/>
                <w:color w:val="auto"/>
              </w:rPr>
              <w:t>SE-114 85 Stockholm, Sweden</w:t>
            </w:r>
          </w:p>
        </w:tc>
      </w:tr>
      <w:tr>
        <w:trPr>
          <w:trHeight w:val="212"/>
        </w:trPr>
        <w:tc>
          <w:tcPr>
            <w:tcW w:w="24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+1 (713) 496-9700</w:t>
            </w:r>
          </w:p>
        </w:tc>
        <w:tc>
          <w:tcPr>
            <w:tcW w:w="5020" w:type="dxa"/>
            <w:vAlign w:val="bottom"/>
          </w:tcPr>
          <w:p>
            <w:pPr>
              <w:jc w:val="center"/>
              <w:ind w:left="2858"/>
              <w:spacing w:after="0"/>
              <w:rPr>
                <w:sz w:val="20"/>
                <w:szCs w:val="20"/>
                <w:color w:val="auto"/>
              </w:rPr>
            </w:pPr>
            <w:r>
              <w:rPr>
                <w:rFonts w:ascii="Times New Roman" w:cs="Times New Roman" w:eastAsia="Times New Roman" w:hAnsi="Times New Roman"/>
                <w:sz w:val="16"/>
                <w:szCs w:val="16"/>
                <w:b w:val="1"/>
                <w:bCs w:val="1"/>
                <w:color w:val="auto"/>
              </w:rPr>
              <w:t>+46 8 506 323 00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this registration statement becomes effective.</w:t>
      </w:r>
    </w:p>
    <w:p>
      <w:pPr>
        <w:spacing w:after="0" w:line="28"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78" w:lineRule="exact"/>
        <w:rPr>
          <w:sz w:val="24"/>
          <w:szCs w:val="24"/>
          <w:color w:val="auto"/>
        </w:rPr>
      </w:pPr>
    </w:p>
    <w:p>
      <w:pPr>
        <w:ind w:left="120" w:right="10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120" w:right="58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left="120"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1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p>
    <w:p>
      <w:pPr>
        <w:spacing w:after="0" w:line="52" w:lineRule="exact"/>
        <w:rPr>
          <w:sz w:val="24"/>
          <w:szCs w:val="24"/>
          <w:color w:val="auto"/>
        </w:rPr>
      </w:pPr>
    </w:p>
    <w:p>
      <w:pPr>
        <w:ind w:left="120" w:right="1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ind w:left="120" w:right="1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3" w:lineRule="exact"/>
        <w:rPr>
          <w:sz w:val="24"/>
          <w:szCs w:val="24"/>
          <w:color w:val="auto"/>
        </w:rPr>
      </w:pPr>
    </w:p>
    <w:p>
      <w:pPr>
        <w:ind w:left="540" w:right="280" w:hanging="424"/>
        <w:spacing w:after="0" w:line="298"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00"/>
          </w:cols>
          <w:pgMar w:left="320" w:top="455" w:right="1379" w:bottom="1440" w:gutter="0" w:footer="0" w:header="0"/>
        </w:sect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21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8"/>
              </w:rPr>
              <w:t>filed with the</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any jurisdiction</w:t>
            </w:r>
          </w:p>
        </w:tc>
      </w:tr>
      <w:tr>
        <w:trPr>
          <w:trHeight w:val="172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registration statement</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buy these securities in</w:t>
            </w:r>
          </w:p>
        </w:tc>
      </w:tr>
      <w:tr>
        <w:trPr>
          <w:trHeight w:val="125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be sold until the</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seek an offer to</w:t>
            </w:r>
          </w:p>
        </w:tc>
      </w:tr>
      <w:tr>
        <w:trPr>
          <w:trHeight w:val="195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These securities may not</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an offer to sell nor does it</w:t>
            </w:r>
          </w:p>
        </w:tc>
      </w:tr>
      <w:tr>
        <w:trPr>
          <w:trHeight w:val="133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may be changed.</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prospectus is not</w:t>
            </w:r>
          </w:p>
        </w:tc>
      </w:tr>
      <w:tr>
        <w:trPr>
          <w:trHeight w:val="419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prospectus is not complete and</w:t>
            </w:r>
          </w:p>
        </w:tc>
        <w:tc>
          <w:tcPr>
            <w:tcW w:w="420" w:type="dxa"/>
            <w:vAlign w:val="bottom"/>
            <w:textDirection w:val="btLr"/>
          </w:tcPr>
          <w:p>
            <w:pPr>
              <w:ind w:left="248"/>
              <w:spacing w:after="0"/>
              <w:rPr>
                <w:sz w:val="20"/>
                <w:szCs w:val="20"/>
                <w:color w:val="auto"/>
              </w:rPr>
            </w:pPr>
            <w:r>
              <w:rPr>
                <w:rFonts w:ascii="Times New Roman" w:cs="Times New Roman" w:eastAsia="Times New Roman" w:hAnsi="Times New Roman"/>
                <w:sz w:val="15"/>
                <w:szCs w:val="15"/>
                <w:b w:val="1"/>
                <w:bCs w:val="1"/>
                <w:color w:val="FF4338"/>
                <w:w w:val="72"/>
              </w:rPr>
              <w:t>Securities and Exchange Commission is effective. Thiswheretheofferorsaleisnotpermitted.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25, 2025.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19685</wp:posOffset>
            </wp:positionV>
            <wp:extent cx="1165860" cy="1131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2,757,430 American Depositary Shares representing Ordinary Shares</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Offered by Selling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255905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selling security holders identified herein may offer and sell up to 2,757,430 American Depositary Shares, or ADSs, in each case from time to time in one or more offerings. This prospectus provides you with a general description of the securities.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time one or more selling security holders sells securities pursuant to this prospectus, Oatly Group AB (“Oatly,” “we,” “us” or the “Company”) will provide a supplement to this prospectus that contains specific information about the offering and the specific terms of the securities offered.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ADS represents the right to receive twenty ordinary shares of the Company, each with a par value of $0.00018 (each, an “Ordinary Share”). Our ADSs are listed on The Nasdaq Global Select Market under the symbol “OTLY.” On March 24, 2025, the last reported sale price of the ADSs on The Nasdaq Global Select Market was $10.06 per ADS. A separate Registration Statement on Form F-6 for the registration of ADSs issuable upon deposit of the Ordinary Shares was previously filed with the Securities and Exchange Commission and became effective on March 22, 2024 (File No. 333-278165), which was subsequently amended by that Post-Effective Amendment No. 1 to Registration Statement on Form F-6, filed with the Securities and Exchange Commission, which became effective on 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217170</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6 OF THIS PROSPECTUS. YOU SHOULD CAREFULLY CONSIDER THE RISKS AND UNCERTAINTIES DISCUSSED UNDER THE HEADING “RISK FACTORS” INCLUDED IN THE APPLICABLE PROSPECTUS SUPPLEMENT OR OTHER SIMILAR HEADINGS IN OTHER DOCUMENTS THAT ARE INCORPORATED BY REFERENCE IN THIS PROSPECTUS BEFORE INVESTING IN ANY OF OUR SECURITIES.</w:t>
      </w:r>
    </w:p>
    <w:p>
      <w:pPr>
        <w:spacing w:after="0" w:line="18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Securities and Exchange Commission 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208280</wp:posOffset>
            </wp:positionV>
            <wp:extent cx="123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2">
            <w:col w:w="720" w:space="260"/>
            <w:col w:w="9220"/>
          </w:cols>
          <w:pgMar w:left="320" w:top="455" w:right="13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6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24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592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CORPORATE INFORMATION</w:t>
            </w:r>
          </w:p>
        </w:tc>
        <w:tc>
          <w:tcPr>
            <w:tcW w:w="622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8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2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 AND INDEBTEDNESS</w:t>
            </w:r>
          </w:p>
        </w:tc>
        <w:tc>
          <w:tcPr>
            <w:tcW w:w="528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ORDINARY SHARES AND AMERICAN DEPOSITARY SHARES</w:t>
            </w:r>
          </w:p>
        </w:tc>
        <w:tc>
          <w:tcPr>
            <w:tcW w:w="20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5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0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36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76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EXPENSES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By using a shelf registration statement, the selling security holders may sell up to an aggregate of 2,757,430 ADSs at any time and from time to time and in one or more offerings. This prospectus does not contain all of the information included in the registration statement. For a more complete understanding of the offering of the securities, you should refer to the registration statement, including its exhibits. Each time the selling security holders sell securities described herein, we will provide a prospectus supplement to this prospectus that contains specific information about the securities being offered and sold and the specific terms of that offering. The prospectus supplement may also add, update or change information contained or incorporated by reference in this prospectus with respect to that offering.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left="120" w:right="240"/>
        <w:spacing w:after="0" w:line="289" w:lineRule="auto"/>
        <w:rPr>
          <w:sz w:val="20"/>
          <w:szCs w:val="20"/>
          <w:color w:val="auto"/>
        </w:rPr>
      </w:pPr>
      <w:r>
        <w:rPr>
          <w:rFonts w:ascii="Times New Roman" w:cs="Times New Roman" w:eastAsia="Times New Roman" w:hAnsi="Times New Roman"/>
          <w:sz w:val="17"/>
          <w:szCs w:val="17"/>
          <w:color w:val="auto"/>
        </w:rPr>
        <w:t>Before purchasing any securities, you should carefully read both this prospectus and any applicable prospectus supplement. You should also read the documents we have referred you to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below for information on the Company, the risks we face and our financial statements. The registration and exhibits can be read at the SEC’s website as described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Neither we, nor any agent, underwriter or dealer, or the selling security holders have authorized anyone to provide you with information other than that contained in this prospectus or in any accompanying prospectus supplement or free writing prospectus prepared by or on behalf of us or to which we have referred you. We, any agent, underwriter or dealer, and the selling security holders take no responsibility for, and can provide no assurance as to the reliability of, any other information that others may give you. This prospectus is not an offer to sell or the solicitation of an offer to buy any securities other than the securities to which it relates, or an offer or solicitation in any jurisdiction where offers or sales are not permitted. You should assume that the information appearing in this prospectus and any applicable prospectus supplement is accurate only as of the date on its respective cover, even though this prospectus may be delivered or securities may be sold under this prospectus on a later date. Our business, financial condition, results of operations and prospects may have changed since those dates.</w:t>
      </w:r>
    </w:p>
    <w:p>
      <w:pPr>
        <w:spacing w:after="0" w:line="185"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of the United States: We have not done anything that would permit possession or distribution of this prospectus in any jurisdiction where action for that purpose is required, other than in the United States. You are required to inform yourselves about, and to observe any restrictions relating to, the distribution of this prospectus outside of the United States.</w:t>
      </w:r>
    </w:p>
    <w:p>
      <w:pPr>
        <w:spacing w:after="0" w:line="173"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Unless the context otherwise requires, “</w:t>
      </w:r>
      <w:r>
        <w:rPr>
          <w:rFonts w:ascii="Times New Roman" w:cs="Times New Roman" w:eastAsia="Times New Roman" w:hAnsi="Times New Roman"/>
          <w:sz w:val="18"/>
          <w:szCs w:val="18"/>
          <w:i w:val="1"/>
          <w:iCs w:val="1"/>
          <w:color w:val="auto"/>
        </w:rPr>
        <w:t>Oatly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“Company</w:t>
      </w:r>
      <w:r>
        <w:rPr>
          <w:rFonts w:ascii="Times New Roman" w:cs="Times New Roman" w:eastAsia="Times New Roman" w:hAnsi="Times New Roman"/>
          <w:sz w:val="18"/>
          <w:szCs w:val="18"/>
          <w:color w:val="auto"/>
        </w:rPr>
        <w:t>” and similar terms refer to Oatly Group AB and its subsidiaries on a consolidated basis.</w:t>
      </w:r>
    </w:p>
    <w:p>
      <w:pPr>
        <w:spacing w:after="0" w:line="160" w:lineRule="exact"/>
        <w:rPr>
          <w:sz w:val="20"/>
          <w:szCs w:val="20"/>
          <w:color w:val="auto"/>
        </w:rPr>
      </w:pPr>
    </w:p>
    <w:p>
      <w:pPr>
        <w:ind w:left="120" w:right="500"/>
        <w:spacing w:after="0" w:line="224"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under applicable intellectual property laws.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symbols, but such references are not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1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320" w:top="455" w:right="8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statements in this prospectus and any applicable prospectus supplement, including documents incorporated by reference herein or therein, are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prospectus and any applicable prospectus supplement other than statements of historical fact, including, without limitation, statements regarding our future operating results and financial position, our business strategy and plans, market growth opportunities and trends in the markets in which we operate, our geographic footprint, our sustainability goals and ambitions, expectations regarding demand and acceptance for our products and competition, expectations regarding the impact of macroeconomic effects, imposition of tariffs or other trade sanctions, supply chain constraints, and inflation, our objectives for future operations and our business, expectations regarding cost reductions, and our ability to raise additional capital to fund our operations, the sufficiency of our cash and cash equivalents, are forward-looking statements. Words or phrases such as “forecast”, “project”, “should”, “may”, “will”, “expect”, “anticipate”, “aim”, “estimate”, “intend”, “plan”, “believe”, “potential”, “continue”, “is/are likely to” or the negative of these terms and similar expressions are intended to identify forward-looking statements, though not all forward-looking statements use these words or expressions.</w:t>
      </w:r>
    </w:p>
    <w:p>
      <w:pPr>
        <w:spacing w:after="0" w:line="187"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These are neither promises nor guarantees, but involve known and unknown risks, uncertainties and other factors which may cause our actual results, performance or achievements to be materially different from any future results, performance or achievements expressed or implied by the forward-looking statements, including, but not limited to those described under the Item 3.D. “</w:t>
      </w:r>
      <w:r>
        <w:rPr>
          <w:rFonts w:ascii="Times New Roman" w:cs="Times New Roman" w:eastAsia="Times New Roman" w:hAnsi="Times New Roman"/>
          <w:sz w:val="18"/>
          <w:szCs w:val="18"/>
          <w:i w:val="1"/>
          <w:iCs w:val="1"/>
          <w:color w:val="auto"/>
        </w:rPr>
        <w:t>Key Information—Risk Factors</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w:t>
      </w:r>
      <w:r>
        <w:rPr>
          <w:rFonts w:ascii="Times New Roman" w:cs="Times New Roman" w:eastAsia="Times New Roman" w:hAnsi="Times New Roman"/>
          <w:sz w:val="18"/>
          <w:szCs w:val="18"/>
          <w:color w:val="auto"/>
        </w:rPr>
        <w:t>” in our Annual Report on Form 20-F filed on March 13, 2025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and any applicable prospectus supplement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herein.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forward-looking statements made in this prospectus and any applicable prospectus supplement relate only to events or information as of the date on which the statements are made in this prospectus and any applicable prospectus supplement. You should not put undue reliance on any forward-looking statements. Actual results could differ materially from those anticipated in these forward-looking statements as a result of various factors described in this prospectus and any applicable prospectus supplement, including factors beyond our ability to control or predict. Although we believe that the expectations reflected in the forward-looking statements are reasonable and made in good faith,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applicable prospectus supplement, and the documents that we reference in this prospectus and any applicable prospectus supplement, and have filed as exhibits to the registration statement of which this prospectus and any applicable prospectus supplement forms a part, completely and with the understanding that our actual future results or performance may be materially different from what we expect.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Contained in or incorporated by reference in this prospectus and any applicable prospectus supplement, we reference information and statistics regarding the industries in which we operate, including the dairy industry. We are responsible for these statements included in or incorporated by reference in this prospectus and any applicable prospectus supplement. We have obtained this information and statistics from various independent third-party sources, such as Euromonitor International Limited (“Euromonitor”) and other third-party sources.</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Some data and other information contained in or incorporated by reference in this prospectus and any applicable prospectus supplement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or incorporated by reference in this prospectus and any applicable prospectus supplement, and estimates and beliefs based on that data, may not be reliable. We cannot guarantee the accuracy or completeness of any such information contained in or incorporated by reference in this prospectus and any prospectus supplement. Forecasts and other forward-looking information obtained from these sources are subject to the same qualifications and uncertainties as the other forward-looking statements in our Annual Report. See Item 3.D. </w:t>
      </w:r>
      <w:r>
        <w:rPr>
          <w:rFonts w:ascii="Times New Roman" w:cs="Times New Roman" w:eastAsia="Times New Roman" w:hAnsi="Times New Roman"/>
          <w:sz w:val="18"/>
          <w:szCs w:val="18"/>
          <w:i w:val="1"/>
          <w:iCs w:val="1"/>
          <w:color w:val="auto"/>
        </w:rPr>
        <w:t>“Key Information—Risk Factors—Risks Related to our Business and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estimates of market opportunity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forecasts of market growth may prove to be inaccurate, and even if the market in which we compete achieves the forecasted growth, our business could fail to grow at similar rates, if at all</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30 years, we have focused on developing expertise around oats: a global power crop with inherent properties suited for sustainability and human health. Our commitment to oats has resulted in core technical advancements that enabled us to provide alternatives to a wide variety of dairy products, including milks, ice cream, yogurt, cooking creams, spreads and on-the-go drinks. We are utilizing this technical expertise to disrupt the global dairy industry, which Euromonitor estimated generated $590 billion in retail sales in 2024. We are driving this disruption by encouraging consumers to reassess the impacts that their food choices have on the climate and environment. We position our brand to benefit from the trend of consumers choosing plant-based foods as an alternative to animal-based ones.</w:t>
      </w:r>
    </w:p>
    <w:p>
      <w:pPr>
        <w:spacing w:after="0" w:line="187"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Sustainability is at the core of our business. In general, oatmilk leads to fewer greenhouse gas emissions compared to cow’s milk. Based on certain product-level calculations we have commissioned in Europe and in the United States, and based on additional studies, we generally see that oatmilk products can have a significantly lower climate (CO2 equivalent) impact relative to comparable dairy products.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were founded in 1994, and our current holding company was incorporated in accordance with Swedish law on October 5, 2016, under the name Goldcup 13678 AB and were registered with the Swedish Companies Registration Office on October 20, 2016. On December 21, 2016, we changed our name to Havre Global AB and on March 1, 2021, we changed our name to Oatly Group AB.</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Ångfärjekajen 8, 211 19 Malmö, Sweden. Our telephone number at this address is +46 418 475500. Our website address is https://www.oatly.com. The information contained on, or that can be accessed through, our website is not a part of, and shall not be incorporated by reference into, this prospectus. We have included our website address as an inactive textual reference only. Our agent for service of process in the United States is Oatly Inc., and its address is 2275 Bridge Street, Building 209, Suite 200, Philadelphia, PA 19137.</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Investing in any securities described in this prospectus involves risks. You should carefully consider the risk factors set forth in our Annual Report, and the other information contained or incorporated by reference in this prospectus or any applicable prospectus supplement hereto, before making a decision to invest in our securities. The risks and uncertainties we have described are not the only risks we face. Additional risks and uncertainties not presently known to us or that we currently deem immaterial may also affect our operations. You should carefully consider these risk factors and risks before investing in any of our securities.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American Depositary Shares by the selling security holders.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on Form 6-K subsequently filed with the SEC and specifically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ORDINARY SHARES AND AMERICAN DEPOSITARY SHARES</w:t>
      </w:r>
    </w:p>
    <w:p>
      <w:pPr>
        <w:spacing w:after="0" w:line="227" w:lineRule="exact"/>
        <w:rPr>
          <w:sz w:val="20"/>
          <w:szCs w:val="20"/>
          <w:color w:val="auto"/>
        </w:rPr>
      </w:pPr>
    </w:p>
    <w:p>
      <w:pPr>
        <w:ind w:left="120" w:right="340"/>
        <w:spacing w:after="0" w:line="315" w:lineRule="auto"/>
        <w:rPr>
          <w:sz w:val="20"/>
          <w:szCs w:val="20"/>
          <w:color w:val="auto"/>
        </w:rPr>
      </w:pPr>
      <w:r>
        <w:rPr>
          <w:rFonts w:ascii="Times New Roman" w:cs="Times New Roman" w:eastAsia="Times New Roman" w:hAnsi="Times New Roman"/>
          <w:sz w:val="17"/>
          <w:szCs w:val="17"/>
          <w:color w:val="auto"/>
        </w:rPr>
        <w:t>A description of our Ordinary Shares can be found in Exhibit 2.1 to our Annual Report under the heading “</w:t>
      </w:r>
      <w:r>
        <w:rPr>
          <w:rFonts w:ascii="Times New Roman" w:cs="Times New Roman" w:eastAsia="Times New Roman" w:hAnsi="Times New Roman"/>
          <w:sz w:val="17"/>
          <w:szCs w:val="17"/>
          <w:i w:val="1"/>
          <w:iCs w:val="1"/>
          <w:color w:val="auto"/>
        </w:rPr>
        <w:t>Description of the Registrant’s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Registered Pursuant to Section 12 of the Securities Exchange Act of 1934, As Amended</w:t>
      </w:r>
      <w:r>
        <w:rPr>
          <w:rFonts w:ascii="Times New Roman" w:cs="Times New Roman" w:eastAsia="Times New Roman" w:hAnsi="Times New Roman"/>
          <w:sz w:val="17"/>
          <w:szCs w:val="17"/>
          <w:color w:val="auto"/>
        </w:rPr>
        <w:t>”, which description is incorporated by reference herein.</w:t>
      </w:r>
    </w:p>
    <w:p>
      <w:pPr>
        <w:spacing w:after="0" w:line="135"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A description of our American Depositary Shares can be found in Exhibit 2.1 to our Annual Report under the heading “</w:t>
      </w:r>
      <w:r>
        <w:rPr>
          <w:rFonts w:ascii="Times New Roman" w:cs="Times New Roman" w:eastAsia="Times New Roman" w:hAnsi="Times New Roman"/>
          <w:sz w:val="18"/>
          <w:szCs w:val="18"/>
          <w:i w:val="1"/>
          <w:iCs w:val="1"/>
          <w:color w:val="auto"/>
        </w:rPr>
        <w:t>Description of the Registrant’s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Registered Pursuant to Section 12 of the Securities Exchange Act of 1934, As Amended</w:t>
      </w:r>
      <w:r>
        <w:rPr>
          <w:rFonts w:ascii="Times New Roman" w:cs="Times New Roman" w:eastAsia="Times New Roman" w:hAnsi="Times New Roman"/>
          <w:sz w:val="18"/>
          <w:szCs w:val="18"/>
          <w:color w:val="auto"/>
        </w:rPr>
        <w:t>”, which description is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covers the resale from time to time by the selling security holders identified in the table below, including their pledgees, donees, transferees, assigns or other successors in interest (each also a “selling security holder” for purposes of this prospectus), of up to an aggregate of 2,757,430 ADSs. The ADSs and/or the Ordinary Shares that they represent that are registered for resale hereunder are issuable upon conversion of certain 9.25% Convertible Senior PIK Notes due 2028 (“Convertible Notes”) issued by the Company to the selling security holders named herein, at a purchase price equivalent to 97% of the principal amount of the Convertible Notes. The Convertible Notes were issued in transactions exempt from registration requirements of the Securities Act. We are registering the resale of the ADSs as required by the Subscription Agreement that we entered into with certain investors.</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ADSs registered herein consist of the issuance of additional ADSs based upon the conversion price of the Convertible Notes being reset from $1.81 to $1.36 per Ordinary Share on March 23, 2025, pursuant to the terms and conditions of the Convertible Notes. On February 18, 2025, we completed a ratio change whereby the ratio of our ADSs to Ordinary Shares was changed from one ADS representing one Ordinary Shares to one ADS representing twenty Ordinary Shares (the “ADS Ratio Change”). Because the Convertible Notes held by the selling security holders are convertible into Ordinary Shares rather than ADSs, the ADS Ratio Change did not affect the conversion price and conversion rate of the Convertible Notes. In order to ensure that the selling security holders remain in the same economic position as before the ADS Ratio Change and to preserve economic equivalency with the</w:t>
      </w:r>
    </w:p>
    <w:p>
      <w:pPr>
        <w:spacing w:after="0" w:line="5"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9.25% Convertible Senior PIK Notes due 2028 issued pursuant to (i) the Indenture dated March 23, 2023, by and among the Company and U.S. Bank Trust Company, National Association (the “Trustee”) and (ii) the Indenture dated May 31, 2023, by and among the Company and the Trustee, we, in accordance with the Swedish Terms, have interpreted the definition of “Daily VWAP” therein to assume the trading price of 1/20 of an ADS.</w:t>
      </w:r>
    </w:p>
    <w:p>
      <w:pPr>
        <w:spacing w:after="0" w:line="18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None of the selling security holders received any of our securities as compensation for underwriting services. We will not receive any proceeds from the resale of the ADSs by the selling security holders.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selling security holders identified in the table below may from time to time offer and sell under this prospectus any or all of the ADSs described under the column “ADSs Being Offered in this Offering” in the table below. The table below has been prepared based upon information furnished to us by the selling security holders as of the dates represented in the footnotes accompanying the table. The selling security holders identified below may have sold, transferred or otherwise disposed of some or all of the Convertible Notes since the date on which the information in the following table is presented in transactions exempt from or not subject to the registration requirements of the Securities Act. Information concerning the selling security holders may change from time to time and, if necessary, we will amend or supplement this prospectus accordingly and as required.</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table and footnote disclosure following the table sets forth the name of each selling security holder and the number of ADSs, including the number of Ordinary Shares convertible into ADSs (together, “Shares”), beneficially owned by the selling security holder before this offering. The number of Shares reflected are those beneficially owned, as determined under applicable rules of the SEC, and the information is not necessarily indicative of beneficial ownership for any other purpose. Under applicable SEC rules, beneficial ownership includes any Shares as to which a person has sole or shared voting power or investment power and any Shares which the person has the right to acquire within 60 days after March 24, 2025, through the conversion of notes, or the exercise of warrants, options or rights and the vesting of restricted stock units, including the issuance of additional ADSs based upon the conversion price of the Convertible Notes being reset from $1.81 to $1.36 per Ordinary Share on March 23, 2025, pursuant to the terms and conditions of the Convertible Notes. Securities that can be so acquired are deemed to be outstanding for purposes of computing such person’s ownership percentage, but not for purposes of computing any other person’s percentage. Information regarding the nature of any position, office or other material relationship, if any, that the selling security holder has had within the past three years with us or with any of our predecessors or affiliates is hereby incorporated by reference from Item 6—</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Directors, Senior Management and Employees, and Item 7—Major Shareholders and Related Party Transactions in our most recently filed Annual Report on Form 20-F.</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number of ADSs reflected in the table as being offered in the offering reflects the maximum number of additional ADSs that became issuable upon the reset in the conversion price of the Convertible Notes from $1.81 to $1.36 per Ordinary Share on March 23, 2025, pursuant to the terms and conditions of the Convertible Notes and, accordingly, assumes that interest thereon is paid semi-annually in kind through maturity.</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have assumed that all ADSs reflected in the table as being offered in the offering covered by this prospectus supplement will be sold from time to time in this offering. We cannot provide an estimate as to the number of Shares that will be held by the selling security holders upon termination of the offering covered by this prospectus supplement because the selling security holders may offer some, all or none of their ADSs being offered in the offering.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percentage of Shares beneficially owned is based on 598,559,840 Ordinary Shares outstanding as of February 28, 2025.</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6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ADS EQUIVALENT</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ADSs BEING</w:t>
            </w:r>
          </w:p>
        </w:tc>
        <w:tc>
          <w:tcPr>
            <w:tcW w:w="25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ADS EQUIVALENT</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64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OFFERED IN</w:t>
            </w:r>
          </w:p>
        </w:tc>
        <w:tc>
          <w:tcPr>
            <w:tcW w:w="25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64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25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0" w:type="dxa"/>
            <w:vAlign w:val="bottom"/>
          </w:tcPr>
          <w:p>
            <w:pPr>
              <w:spacing w:after="0"/>
              <w:rPr>
                <w:sz w:val="1"/>
                <w:szCs w:val="1"/>
                <w:color w:val="auto"/>
              </w:rPr>
            </w:pPr>
          </w:p>
        </w:tc>
      </w:tr>
      <w:tr>
        <w:trPr>
          <w:trHeight w:val="176"/>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5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540" w:type="dxa"/>
            <w:vAlign w:val="bottom"/>
            <w:vMerge w:val="continue"/>
          </w:tcPr>
          <w:p>
            <w:pPr>
              <w:spacing w:after="0"/>
              <w:rPr>
                <w:sz w:val="10"/>
                <w:szCs w:val="10"/>
                <w:color w:val="auto"/>
              </w:rPr>
            </w:pPr>
          </w:p>
        </w:tc>
        <w:tc>
          <w:tcPr>
            <w:tcW w:w="1460" w:type="dxa"/>
            <w:vAlign w:val="bottom"/>
            <w:gridSpan w:val="2"/>
          </w:tcPr>
          <w:p>
            <w:pPr>
              <w:jc w:val="right"/>
              <w:ind w:right="513"/>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w:t>
            </w: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ADSs</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TAGE</w:t>
            </w:r>
          </w:p>
        </w:tc>
        <w:tc>
          <w:tcPr>
            <w:tcW w:w="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Nativus Company Limited</w:t>
            </w:r>
          </w:p>
        </w:tc>
        <w:tc>
          <w:tcPr>
            <w:tcW w:w="8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2"/>
              </w:rPr>
              <w:t>(1)</w:t>
            </w: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32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2,272,935</w:t>
            </w: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14,186,756</w:t>
            </w:r>
          </w:p>
        </w:tc>
        <w:tc>
          <w:tcPr>
            <w:tcW w:w="58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13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14,186,756</w:t>
            </w:r>
          </w:p>
        </w:tc>
        <w:tc>
          <w:tcPr>
            <w:tcW w:w="4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Verlinvest S.A.</w:t>
            </w:r>
          </w:p>
        </w:tc>
        <w:tc>
          <w:tcPr>
            <w:tcW w:w="1460" w:type="dxa"/>
            <w:vAlign w:val="bottom"/>
            <w:gridSpan w:val="2"/>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14,186,756</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46.5%</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175,859</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14,186,756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BXG Redhawk S.à r.l.</w:t>
            </w:r>
          </w:p>
        </w:tc>
        <w:tc>
          <w:tcPr>
            <w:tcW w:w="1460" w:type="dxa"/>
            <w:vAlign w:val="bottom"/>
            <w:gridSpan w:val="2"/>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2,882,580</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305,723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2,882,580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5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BXG SPV ESC (CYM) L.P.</w:t>
            </w:r>
          </w:p>
        </w:tc>
        <w:tc>
          <w:tcPr>
            <w:tcW w:w="146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27,470</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2,913</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27,470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271,763,953 Ordinary Shares (equivalent to 13,588,197 ADSs) and 11,971,196 Ordinary Shares (equivalent to 598,559 ADSs) which would be received upon conversion of Convertible Notes within 60 days of March 24, 2025, based on 598,559,840 Ordinary Shares (equivalent to 29,927,992 ADSs) outstanding as of February 28, 2025. Nativus Company Limited directly holds 271,763,953 Ordinary Shares (equivalent to 13,588,197 ADSs) of the Company. Of the total number of Convertible Notes respectively owned by Nativus Company Limited and Verlinvest, only that number of Convertible Notes that would result in an increase in the aggregate beneficial ownership of Nativus Company Limited and Verlinvest of 2% or less of our outstanding Ordinary Shares (or up to approximately 11,971,196 Ordinary Shares (equivalent to 598,559 ADSs)) are convertible immediately. The remaining Convertible Notes owned by Nativus Company Limited, which are convertible into an aggregate maximum of approximately 123,703,395 Ordinary Shares (equivalent to 6,185,169 ADSs) within 60 days of March 24, 2025, are convertible upon giving more than 60 days’ notice to us. As a result, approximately 123,703,395 Ordinary Shares (equivalent to 6,185,169 ADSs) are not included in the beneficial ownership information set forth herein for Nativus Company Limited.</w:t>
      </w:r>
    </w:p>
    <w:p>
      <w:pPr>
        <w:spacing w:after="0" w:line="83" w:lineRule="exact"/>
        <w:rPr>
          <w:rFonts w:ascii="Times New Roman" w:cs="Times New Roman" w:eastAsia="Times New Roman" w:hAnsi="Times New Roman"/>
          <w:sz w:val="18"/>
          <w:szCs w:val="18"/>
          <w:color w:val="auto"/>
        </w:rPr>
      </w:pPr>
    </w:p>
    <w:p>
      <w:pPr>
        <w:ind w:left="1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Nativus Company Limited is a wholly owned subsidiary of CR Verlinvest Health Investment Limited (“CRVV”), a limited company incorporated in Hong Kong and a joint venture that is 50% owned by Verlinvest S.A., a company incorporated in Belgium (“Verlinvest”), and 50% owned by Blossom Key (Hong Kong) Holdings Limited, a limited company incorporated in Hong Kong. Each of Nativus Company Limited and CRVV have sole voting and dispositive power over 283,735,149 Ordinary Shares (equivalent to 14,186,756 ADSs). Blossom Key (Hong Kong) Holdings Limited is a wholly owned subsidiary of CRH (CRE) Limited. CRH (CRE) Limited is a wholly owned subsidiary of China Resources (Holdings) Company Limited. CRC Bluesky Limited holds all the voting shares in China Resources (Holdings) Company Limited. CRC Bluesky Limited is a wholly owned subsidiary of China</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54" w:lineRule="auto"/>
        <w:rPr>
          <w:sz w:val="20"/>
          <w:szCs w:val="20"/>
          <w:color w:val="auto"/>
        </w:rPr>
      </w:pPr>
      <w:r>
        <w:rPr>
          <w:rFonts w:ascii="Times New Roman" w:cs="Times New Roman" w:eastAsia="Times New Roman" w:hAnsi="Times New Roman"/>
          <w:sz w:val="18"/>
          <w:szCs w:val="18"/>
          <w:color w:val="auto"/>
        </w:rPr>
        <w:t>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283,735,149 Ordinary Shares (equivalent to 14,186,756 ADSs). The address for Nativus Company Limited is 39/F, China Resources Building, 26 Harbour Road, Wanchai, Hong Kong and the address for CRVV is 39/F, China Resources Building, 26 Harbour Road, Wanchai, Hong Kong.</w:t>
      </w:r>
    </w:p>
    <w:p>
      <w:pPr>
        <w:spacing w:after="0" w:line="97" w:lineRule="exact"/>
        <w:rPr>
          <w:sz w:val="20"/>
          <w:szCs w:val="20"/>
          <w:color w:val="auto"/>
        </w:rPr>
      </w:pPr>
    </w:p>
    <w:p>
      <w:pPr>
        <w:ind w:left="1080" w:hanging="532"/>
        <w:spacing w:after="0" w:line="25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footnote (1), Verlinvest has shared voting and dispositive power over 271,763,953 Ordinary Shares (equivalent to 13,588,197 ADSs). It also has (i) sole voting and dispositive power over Convertible Notes which are convertible into an aggregate maximum of approximately 10,497,248 Ordinary Shares (equivalent to 524,862 ADSs) (after subtracting Convertible Notes originally sold by the Company and purchased by Verlinvest and resold by Verlinvest to Mars II Holdings Pte. Ltd. on May 31, 2023), and (ii) shared voting and dispositive power over Convertible Notes of which a portion are convertible into an aggregate maximum of 1,473,948 Ordinary Shares (equivalent to 73,697 ADSs), in each case within 60 days of March 24, 2025, based on 598,559,840 Ordinary Shares (equivalent to 29,927,992 ADSs) outstanding as of February 28, 2025. Of the total number of Convertible Notes respectively owned by Verlinvest and Nativus Company Limited, only that number of Convertible Notes that would result in an increase in the aggregate beneficial ownership of Verlinvest and Nativus Company Limited of 2% or less of our outstanding Ordinary Shares (or up to approximately 11,971,196 Ordinary Shares (equivalent to 598,559 ADSs)) are convertible immediately. The remaining Convertible Notes over which Verlinvest has shared voting and dispositive power, which are convertible into an aggregate maximum of approximately 134,200,643 Ordinary Shares (equivalent to 6,710,032 ADSs) within 60 days of March 24, 2025, are convertible upon giving more than 60 days’ notice to us. As a result, approximately 134,200,643 Ordinary Shares (equivalent to 6,710,032 ADSs) are not included in the beneficial ownership information set forth herein for Verlinvest. The address for Verlinvest is Place Flagey 18, 1050 Brussels, Belgium.</w:t>
      </w:r>
    </w:p>
    <w:p>
      <w:pPr>
        <w:spacing w:after="0" w:line="102" w:lineRule="exact"/>
        <w:rPr>
          <w:rFonts w:ascii="Times New Roman" w:cs="Times New Roman" w:eastAsia="Times New Roman" w:hAnsi="Times New Roman"/>
          <w:sz w:val="18"/>
          <w:szCs w:val="18"/>
          <w:color w:val="auto"/>
        </w:rPr>
      </w:pPr>
    </w:p>
    <w:p>
      <w:pPr>
        <w:ind w:left="1080" w:right="60" w:hanging="532"/>
        <w:spacing w:after="0" w:line="25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39,778,182 Ordinary Shares (equivalent to 1,988,909 ADSs) and 18,422,872 Ordinary Shares (equivalent to 921,143 ADSs) which would be received upon conversion of Convertible Notes within 60 days of March 24, 2025. Number of Ordinary Shares represents 39,402,666 Ordinary Shares (equivalent to 1,970,133 ADSs) directly held by BXG Redhawk S.à r.l. and 375,516 Ordinary Shares (equivalent to 18,775 ADSs) directly held by BXG SPV ESC (CYM) L.P. (together, the “Blackstone Funds”). Shares which may be received upon conversion of Convertible Notes within 60 days of March 24, 2025 represents 18,248,959 Ordinary Shares (equivalent to 912,447 ADSs) which would be received upon conversion of Convertible Notes held by BXG Redhawk S.à r.l. and 173,913 Ordinary Shares (equivalent to 8,695 ADSs) which would be received upon conversion of Convertible Notes held by BXG SPV ESC (CYM) L.P.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 Each of the Blackstone entities described in this footnote and Stephen A. Schwarzman may be deemed to beneficially own the securities directly or indirectly controlled by such Blackstone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 more information about our relationships with the selling security holders and their affiliates, see the section entitled “Convertible Notes” in our Annual Report on Form 20-F for the fiscal year ended December 31, 2024, filed with the SEC on March 13, 2025, which is incorporated herein by reference.</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selling security holder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our securities may be carried out, from time to time, in one or more transactions,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Nasdaq or any other organized market where the securities may be traded;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from that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Any selling security holders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any selling security holders in the form of underwriting discounts and may also receive commissions from purchasers of securities for whom they may act as agent.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Underwriters may sell securities to or through dealers, and dealers may receive compensation in the form of discounts or concessions from the underwriters and commissions from the purchasers for whom they may act as agent.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Any selling security holders may also make direct sales through subscription rights distributed to our existing shareholders on a pro rata basis, which may or may not be transferable.</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One or more selling security holders may utilize this prospectus (and any related prospectus supplement) to make one or more in-kind distributions of the securities to its shareholders, partners or members. To the extent required by applicable law, information about the distribution will be reflected in a prospectus supplement.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320" w:top="455"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incorporated and currently existing under the laws of Sweden. In addition, certain of our directors and officers reside outside of the United States, and substantially all of the assets of our subsidiaries are located outside of the United States. As a result, it may be difficult for investors to effect service of process on us or those persons in the United States or to enforce in the United States judgments obtained in U.S. courts against us or those persons based on the civil liability or other provisions of the U.S. securities laws or other laws. In addition, uncertainty exists as to whether the courts of Sweden would:</w:t>
      </w:r>
    </w:p>
    <w:p>
      <w:pPr>
        <w:spacing w:after="0" w:line="89"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liabilities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Sweden against us or our directors or officers predicated upon the securities laws of the United States or any state in the United States.</w:t>
      </w:r>
    </w:p>
    <w:p>
      <w:pPr>
        <w:spacing w:after="0" w:line="16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United States and Sweden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Sweden. In order to obtain a judgment that is enforceable in Sweden, the party in whose favor a final and conclusive judgment of the U.S. court has been rendered will be required to file its claim with a court of competent jurisdiction in Sweden. Such party may submit to the Swedish court the final judgment rendered by the U.S. court. This court will have discretion to attach such weight to the judgment rendered by the relevant U.S. court depending on the circumstances. Circumstances that may be relevant to the Swedish court in deciding to give conclusive effect to a final and enforceable judgment of such court in respect of the contractual obligations thereunder without re-examination or re-litigation of the substantive matters adjudicated upon include whether: (i) the court involved accepted jurisdiction on the basis of internationally recognized grounds to accept jurisdiction, (ii) the proceedings before such court are in compliance with principles of proper procedure, (iii) such judgment is not contrary to the public policy of Sweden and (iv) such judgment is not incompatible with a judgment given between the same parties by a Swedish court or with a prior judgment given between the same parties by a foreign court in a dispute concerning the same subject matter and based on the same cause of action, provided such prior judgment fulfils the conditions necessary for it to be given binding effect in Sweden. Swedish courts may deny the recognition and enforcement of punitive damages or other awards. Moreover, a Swedish court may reduce the amount of damages granted by a U.S. court and recognize damages only to the extent that they are necessary to compensate actual losses or damages.</w:t>
      </w:r>
    </w:p>
    <w:p>
      <w:pPr>
        <w:spacing w:after="0" w:line="19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Swedish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Swedish law.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the foregoing and service of process in accordance with applicable treaties, investors may be able to enforce in Sweden judgments in civil and commercial matters obtained from U.S. federal or state courts. However, no assurance can be given that those judgments will be enforceable. In addition, it is doubtful whether a Swedish court would accept jurisdiction and impose civil liability in an original action commenced in Sweden and predicated solely upon U.S. federal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material U.S. and Swedish federal income tax consequences, if any, relating to the purchase, ownership and disposition of our securities offered by this prospectus will be set forth in the prospectus supplement pertaining to the offering of such securities.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$4,010.54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0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of fees and expenses to be incurred in connection with any offering of securities pursuant to this registration statement will be determined from time to time and reflected in the applicable prospectus supplement.</w:t>
      </w: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a prospectus supplement describing an offering of securities or a report on Form 6-K that is incorporated by reference herein.</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White &amp; Case Advokat AB, Stockholm, Sweden, will pass upon the validity of the securities being registered hereby and certain other legal matters in connection with the registration of such securities. White &amp; Case LLP, Houston, Texas will pass certain matters of New York law for us in connection with the registration of certain securities being registered hereby. Additional legal matters may be passed upon for us and any underwriter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Oatly Group AB appearing in Oatly Group AB’s Annual Report on Form 20-F for the year ended December 31, 2024, and the effectiveness of Oatly Group AB’s internal control over financial reporting as of December 31, 2024, have been audited by Ernst &amp; Young AB, independent registered public accounting firm, as set forth in its reports thereon, which conclude, among other things, that Oatly Group AB did not maintain effective internal control over financial reporting as of December 31, 2024 based on Internal Control—Integrated Framework issued by the Committee of Sponsoring Organizations of the Treadway Commission (2013 framework) because of the effects of the material weaknesses described therein, included therein, and incorporated herein by reference. Such consolidated financial statements have been incorporated herein by reference in reliance upon such reports given on the authority of such firm as experts in accounting and auditing.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registered business address of Ernst &amp; Young AB is Box 7850, 103 99, Stockholm, Sweden.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that are applicable to foreign private issuers. Accordingly, we are required to file reports and other information with the SEC, including annual reports on Form 20-F and disclosure furnished under cover of Form 6-K.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such as us, that file electronically with the SEC. We also maintain a website (</w:t>
      </w:r>
      <w:r>
        <w:rPr>
          <w:rFonts w:ascii="Times New Roman" w:cs="Times New Roman" w:eastAsia="Times New Roman" w:hAnsi="Times New Roman"/>
          <w:sz w:val="18"/>
          <w:szCs w:val="18"/>
          <w:i w:val="1"/>
          <w:iCs w:val="1"/>
          <w:color w:val="auto"/>
        </w:rPr>
        <w:t>https:// www.oatly.com</w:t>
      </w:r>
      <w:r>
        <w:rPr>
          <w:rFonts w:ascii="Times New Roman" w:cs="Times New Roman" w:eastAsia="Times New Roman" w:hAnsi="Times New Roman"/>
          <w:sz w:val="18"/>
          <w:szCs w:val="18"/>
          <w:color w:val="auto"/>
        </w:rPr>
        <w:t>), from which you can access such reports and other information free of charge as soon as reasonably practicable after such material is electronically filed with, or furnished to, the SEC. The information contained on, or that can be accessed through, our website is not a part of, and shall not be incorporated by reference into, this prospectus.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financial statements with the SEC as frequently or as promptly as U.S. companies whose securities are registered under the Exchange Act.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and any applicable prospectus supplement, and later information that we file with the SEC will automatically update and supersede this information. This prospectus and any applicable prospectus supplement incorporate by reference the documents set forth below that have previously been filed with the SEC (other than those documents or the portions of those documents that are “furnished” unless otherwise specified below):</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13, 2025;</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6-K filed with the SEC on </w:t>
      </w:r>
      <w:hyperlink r:id="rId43">
        <w:r>
          <w:rPr>
            <w:rFonts w:ascii="Times New Roman" w:cs="Times New Roman" w:eastAsia="Times New Roman" w:hAnsi="Times New Roman"/>
            <w:sz w:val="18"/>
            <w:szCs w:val="18"/>
            <w:u w:val="single" w:color="auto"/>
            <w:color w:val="0000EE"/>
          </w:rPr>
          <w:t>January 31,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February 12,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information contained under the heading “Amendments to Sustainable Revolving Credit Facility Agreement and Term Loan B Credit Agreement”), </w:t>
      </w:r>
      <w:hyperlink r:id="rId45">
        <w:r>
          <w:rPr>
            <w:rFonts w:ascii="Times New Roman" w:cs="Times New Roman" w:eastAsia="Times New Roman" w:hAnsi="Times New Roman"/>
            <w:sz w:val="18"/>
            <w:szCs w:val="18"/>
            <w:u w:val="single" w:color="auto"/>
            <w:color w:val="0000EE"/>
          </w:rPr>
          <w:t>February 18,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March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4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2024.</w:t>
      </w:r>
    </w:p>
    <w:p>
      <w:pPr>
        <w:spacing w:after="0" w:line="225" w:lineRule="exact"/>
        <w:rPr>
          <w:rFonts w:ascii="Times New Roman" w:cs="Times New Roman" w:eastAsia="Times New Roman" w:hAnsi="Times New Roman"/>
          <w:sz w:val="18"/>
          <w:szCs w:val="18"/>
          <w:color w:val="0000EE"/>
        </w:rPr>
      </w:pPr>
    </w:p>
    <w:p>
      <w:pPr>
        <w:jc w:val="both"/>
        <w:ind w:left="120" w:right="1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 The most recent information that we file with the SEC automatically updates and supersedes more dated information.</w:t>
      </w:r>
    </w:p>
    <w:p>
      <w:pPr>
        <w:spacing w:after="0" w:line="120"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You can obtain free of charge a copy of any documents that are incorporated by reference in this prospectus supplement at no cost, by writing or telephoning us at:</w:t>
      </w:r>
    </w:p>
    <w:p>
      <w:pPr>
        <w:spacing w:after="0" w:line="37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Tel: +46 418 475500</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320" w:top="455" w:right="10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217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95160" cy="1217295"/>
                    </a:xfrm>
                    <a:prstGeom prst="rect">
                      <a:avLst/>
                    </a:prstGeom>
                    <a:noFill/>
                  </pic:spPr>
                </pic:pic>
              </a:graphicData>
            </a:graphic>
          </wp:anchor>
        </w:drawing>
      </w:r>
    </w:p>
    <w:p>
      <w:pPr>
        <w:sectPr>
          <w:pgSz w:w="11900" w:h="16838" w:orient="portrait"/>
          <w:cols w:equalWidth="0" w:num="1">
            <w:col w:w="10400"/>
          </w:cols>
          <w:pgMar w:left="320" w:top="45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2"/>
          <w:szCs w:val="32"/>
          <w:b w:val="1"/>
          <w:bCs w:val="1"/>
          <w:color w:val="auto"/>
        </w:rPr>
        <w:t>2,757,430 American Depositary Shares representing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Offered by Selling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1623060</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400"/>
          </w:cols>
          <w:pgMar w:left="320" w:top="455" w:right="11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To the extent permitted by the Swedish Companies Act, we are empowered to indemnify our directors against any liability they incur by reason of their directorship. We maintain directors’ and officers’ insurance to insure such persons against certain liabilities.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theretofore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82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87"/>
        </w:trPr>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Articles of Association of Oatly Group AB, as amended on March 6, 2023, incorporated by reference to Exhibit 1.1 of the Annual Report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on Form 20-F for the year ended December 31, 2023 filed with the SEC on March 22, 2024</w:t>
              </w:r>
            </w:hyperlink>
          </w:p>
        </w:tc>
        <w:tc>
          <w:tcPr>
            <w:tcW w:w="3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0020" w:type="dxa"/>
            <w:vAlign w:val="bottom"/>
            <w:gridSpan w:val="12"/>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Deposit Agreement, incorporated by reference to Exhibit 2.2 of the Annual Report on Form 20-F for the year ended December 31, 2022</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filed with the SEC on April 20, 2023 with respect to the ADSs representing ordinary shares.</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Amendment No. 1 to Deposit Agreement, incorporated by reference to Exhibit 2.3 of the Annual Report on Form 20-F for the year ended</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December 31, 2024 filed with the SEC on March 13, 2025 with respect to ADSs representing ordinary shares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of American Depositary Receipt, incorporated by reference to Exhibit 2.4 of the Annual Report on Form 20-F for the year ended</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December 31, 2024 filed with the SEC on March 13,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White &amp; Case Advokat AB, Swedish counsel to the Registrant</w:t>
            </w:r>
          </w:p>
        </w:tc>
        <w:tc>
          <w:tcPr>
            <w:tcW w:w="4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White &amp; Case Advokat AB (included in Exhibit 5.1)</w:t>
            </w:r>
          </w:p>
        </w:tc>
        <w:tc>
          <w:tcPr>
            <w:tcW w:w="5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Ernst &amp; Young AB</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Power of Attorney (included in the signature pages hereto)</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hanging="100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 or incorporated by reference in connection with the offering of a class of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5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5480" w:right="940" w:hanging="4379"/>
        <w:spacing w:after="0" w:line="454" w:lineRule="auto"/>
        <w:tabs>
          <w:tab w:leader="none" w:pos="15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 II-1</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439"/>
        <w:spacing w:after="0" w:line="255"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clauses (a)(1)(i), (a)(1)(ii), and (a)(1)(iii) above do not apply if the information required to be included in a post-effective amendment by those paragraphs is contained in reports filed with or furnished to the SEC by the registrant pursuant to Sections 13 or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SEC by the registrant pursuant to Sections 13 or 15(d) of the Exchange Act that are incorporated by reference in the Form F-3.</w:t>
      </w:r>
    </w:p>
    <w:p>
      <w:pPr>
        <w:spacing w:after="0" w:line="9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right="80" w:hanging="439"/>
        <w:spacing w:after="0" w:line="25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80"/>
        <w:spacing w:after="0" w:line="255" w:lineRule="auto"/>
        <w:rPr>
          <w:sz w:val="20"/>
          <w:szCs w:val="20"/>
          <w:color w:val="auto"/>
        </w:rPr>
      </w:pPr>
      <w:r>
        <w:rPr>
          <w:rFonts w:ascii="Times New Roman" w:cs="Times New Roman" w:eastAsia="Times New Roman" w:hAnsi="Times New Roman"/>
          <w:sz w:val="18"/>
          <w:szCs w:val="18"/>
          <w:color w:val="auto"/>
        </w:rPr>
        <w:t>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4" w:lineRule="exact"/>
        <w:rPr>
          <w:sz w:val="20"/>
          <w:szCs w:val="20"/>
          <w:color w:val="auto"/>
        </w:rPr>
      </w:pPr>
    </w:p>
    <w:p>
      <w:pPr>
        <w:ind w:left="1080" w:hanging="532"/>
        <w:spacing w:after="0" w:line="258"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Sections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Malmö, Sweden on March 25,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Jean-Christophe Flatin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Jean-Christophe Flatin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Jean-Christophe Flatin and Marie-José David,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Jean-Christophe Flatin</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Jean-Christophe Flatin</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Marie-José David</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Melloul</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Ann Chung</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Chung</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Bernard Hours</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Hours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Lillis Härd</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Hannah Jones</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Frances Rathke</w:t>
            </w:r>
          </w:p>
        </w:tc>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Board Member</w:t>
            </w: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0"/>
        </w:trPr>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1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II-4</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Christenson</w:t>
            </w:r>
          </w:p>
        </w:tc>
        <w:tc>
          <w:tcPr>
            <w:tcW w:w="3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Board Member</w:t>
            </w:r>
          </w:p>
        </w:tc>
        <w:tc>
          <w:tcPr>
            <w:tcW w:w="21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Christenson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Yawen Wu</w:t>
            </w:r>
          </w:p>
        </w:tc>
        <w:tc>
          <w:tcPr>
            <w:tcW w:w="3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Board Member</w:t>
            </w:r>
          </w:p>
        </w:tc>
        <w:tc>
          <w:tcPr>
            <w:tcW w:w="21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Yawen Wu</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Lai Shu Tuen-Muk</w:t>
            </w:r>
          </w:p>
        </w:tc>
        <w:tc>
          <w:tcPr>
            <w:tcW w:w="3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Board Member</w:t>
            </w:r>
          </w:p>
        </w:tc>
        <w:tc>
          <w:tcPr>
            <w:tcW w:w="21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Lai Shu Tuen-Muk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Xin Wang</w:t>
            </w:r>
          </w:p>
        </w:tc>
        <w:tc>
          <w:tcPr>
            <w:tcW w:w="3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Board Member</w:t>
            </w:r>
          </w:p>
        </w:tc>
        <w:tc>
          <w:tcPr>
            <w:tcW w:w="21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 Wang</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Martin Brok</w:t>
            </w:r>
          </w:p>
        </w:tc>
        <w:tc>
          <w:tcPr>
            <w:tcW w:w="3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Board Member</w:t>
            </w:r>
          </w:p>
        </w:tc>
        <w:tc>
          <w:tcPr>
            <w:tcW w:w="21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25,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Brok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Oatly Group AB has signed this registration statement on March 25,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Oatly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Matthew Merritt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Matthew Merritt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173990</wp:posOffset>
            </wp:positionV>
            <wp:extent cx="1603375" cy="2991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60337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 (publ)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Ångfärjekajen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19 Malmö</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acted as counsel as to Swedish law to Oatly Group AB (publ) (reg. no. 559081-1989), a limited liability company incorporated under the laws of Sweden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registration statement on Form F-3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offer and resale by certain selling shareholders named therein of ordinary shares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that are issuable upon conversion of the Company’s 9.25% Convertible Senior PIK Notes due 2028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the ordinary shares issuable upon conversion of the Convertible Notes, the “</w:t>
      </w:r>
      <w:r>
        <w:rPr>
          <w:rFonts w:ascii="Times New Roman" w:cs="Times New Roman" w:eastAsia="Times New Roman" w:hAnsi="Times New Roman"/>
          <w:sz w:val="18"/>
          <w:szCs w:val="18"/>
          <w:b w:val="1"/>
          <w:bCs w:val="1"/>
          <w:color w:val="auto"/>
        </w:rPr>
        <w:t>Note Shares</w:t>
      </w:r>
      <w:r>
        <w:rPr>
          <w:rFonts w:ascii="Times New Roman" w:cs="Times New Roman" w:eastAsia="Times New Roman" w:hAnsi="Times New Roman"/>
          <w:sz w:val="18"/>
          <w:szCs w:val="18"/>
          <w:color w:val="auto"/>
        </w:rPr>
        <w:t>”), in the form of American Depositary Shares, each representing 20 Ordinary Shares.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81"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articles of association (Sw. </w:t>
      </w:r>
      <w:r>
        <w:rPr>
          <w:rFonts w:ascii="Times New Roman" w:cs="Times New Roman" w:eastAsia="Times New Roman" w:hAnsi="Times New Roman"/>
          <w:sz w:val="18"/>
          <w:szCs w:val="18"/>
          <w:i w:val="1"/>
          <w:iCs w:val="1"/>
          <w:color w:val="auto"/>
        </w:rPr>
        <w:t>bolagsordning</w:t>
      </w:r>
      <w:r>
        <w:rPr>
          <w:rFonts w:ascii="Times New Roman" w:cs="Times New Roman" w:eastAsia="Times New Roman" w:hAnsi="Times New Roman"/>
          <w:sz w:val="18"/>
          <w:szCs w:val="18"/>
          <w:color w:val="auto"/>
        </w:rPr>
        <w:t>) of the Company, as amended on 6 March 2023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27" w:name="page28"/>
    <w:bookmarkEnd w:id="27"/>
    <w:p>
      <w:pPr>
        <w:ind w:left="960" w:right="100" w:hanging="532"/>
        <w:spacing w:after="0" w:line="267"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copy of the certificate of registration (Sw. </w:t>
      </w:r>
      <w:r>
        <w:rPr>
          <w:rFonts w:ascii="Times New Roman" w:cs="Times New Roman" w:eastAsia="Times New Roman" w:hAnsi="Times New Roman"/>
          <w:sz w:val="18"/>
          <w:szCs w:val="18"/>
          <w:i w:val="1"/>
          <w:iCs w:val="1"/>
          <w:color w:val="auto"/>
        </w:rPr>
        <w:t>registreringsbevis</w:t>
      </w:r>
      <w:r>
        <w:rPr>
          <w:rFonts w:ascii="Times New Roman" w:cs="Times New Roman" w:eastAsia="Times New Roman" w:hAnsi="Times New Roman"/>
          <w:sz w:val="18"/>
          <w:szCs w:val="18"/>
          <w:color w:val="auto"/>
        </w:rPr>
        <w:t xml:space="preserve">) for the Company, issued by the Swedish Companies Registration Office (Sw. </w:t>
      </w:r>
      <w:r>
        <w:rPr>
          <w:rFonts w:ascii="Times New Roman" w:cs="Times New Roman" w:eastAsia="Times New Roman" w:hAnsi="Times New Roman"/>
          <w:sz w:val="18"/>
          <w:szCs w:val="18"/>
          <w:i w:val="1"/>
          <w:iCs w:val="1"/>
          <w:color w:val="auto"/>
        </w:rPr>
        <w:t>Bolagsverket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SCRO</w:t>
      </w:r>
      <w:r>
        <w:rPr>
          <w:rFonts w:ascii="Times New Roman" w:cs="Times New Roman" w:eastAsia="Times New Roman" w:hAnsi="Times New Roman"/>
          <w:sz w:val="18"/>
          <w:szCs w:val="18"/>
          <w:color w:val="auto"/>
        </w:rPr>
        <w:t xml:space="preserve">”) on 18 March 2025, showing relevant entries in the Swedish Company Registry (Sw. </w:t>
      </w:r>
      <w:r>
        <w:rPr>
          <w:rFonts w:ascii="Times New Roman" w:cs="Times New Roman" w:eastAsia="Times New Roman" w:hAnsi="Times New Roman"/>
          <w:sz w:val="18"/>
          <w:szCs w:val="18"/>
          <w:i w:val="1"/>
          <w:iCs w:val="1"/>
          <w:color w:val="auto"/>
        </w:rPr>
        <w:t>bolagsregistret</w:t>
      </w:r>
      <w:r>
        <w:rPr>
          <w:rFonts w:ascii="Times New Roman" w:cs="Times New Roman" w:eastAsia="Times New Roman" w:hAnsi="Times New Roman"/>
          <w:sz w:val="18"/>
          <w:szCs w:val="18"/>
          <w:color w:val="auto"/>
        </w:rPr>
        <w:t>) as per such date; and</w:t>
      </w:r>
    </w:p>
    <w:p>
      <w:pPr>
        <w:spacing w:after="0" w:line="78" w:lineRule="exact"/>
        <w:rPr>
          <w:rFonts w:ascii="Times New Roman" w:cs="Times New Roman" w:eastAsia="Times New Roman" w:hAnsi="Times New Roman"/>
          <w:sz w:val="18"/>
          <w:szCs w:val="18"/>
          <w:color w:val="auto"/>
        </w:rPr>
      </w:pPr>
    </w:p>
    <w:p>
      <w:pPr>
        <w:ind w:left="960" w:right="740" w:hanging="532"/>
        <w:spacing w:after="0" w:line="284"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meetings of the board of directors of the Company, held on 19 March 2025,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approving the Registration Statement and the registration hereof with the Commission.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mentioned in items (1) – (5) above are referred to as the “</w:t>
      </w: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Corporate Document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Based upon the assumptions set out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the assumptions set forth below, and subject to the qualifications set out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and limitations stated herein, having considered such questions of law as we have deemed necessary as a basis for the opinions expressed below, we are of the opinion that:</w:t>
      </w:r>
    </w:p>
    <w:p>
      <w:pPr>
        <w:spacing w:after="0" w:line="81" w:lineRule="exact"/>
        <w:rPr>
          <w:sz w:val="20"/>
          <w:szCs w:val="20"/>
          <w:color w:val="auto"/>
        </w:rPr>
      </w:pPr>
    </w:p>
    <w:p>
      <w:pPr>
        <w:ind w:left="960" w:right="140" w:hanging="53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Shares will, when issued and sold as set forth in the Base Prospectus and in one or more prospectus supplements thereto, pursuant to a duly authorized, executed and delivered purchase, underwriting or similar agreement, and upon registration with the SCRO, have been duly authorized and validly issued, fully paid and non-assessable (subject in each case to the receipt of valid considerations by the Company for the issue thereof).</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limited to questions arising under laws of Sweden. We do not express any opinion as to the laws of any other jurisdiction.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the references to this firm in the sections of the Registration Statement entitled “</w:t>
      </w:r>
      <w:r>
        <w:rPr>
          <w:rFonts w:ascii="Times New Roman" w:cs="Times New Roman" w:eastAsia="Times New Roman" w:hAnsi="Times New Roman"/>
          <w:sz w:val="18"/>
          <w:szCs w:val="18"/>
          <w:b w:val="1"/>
          <w:bCs w:val="1"/>
          <w:color w:val="auto"/>
        </w:rPr>
        <w:t>Legal Matters</w:t>
      </w:r>
      <w:r>
        <w:rPr>
          <w:rFonts w:ascii="Times New Roman" w:cs="Times New Roman" w:eastAsia="Times New Roman" w:hAnsi="Times New Roman"/>
          <w:sz w:val="18"/>
          <w:szCs w:val="18"/>
          <w:color w:val="auto"/>
        </w:rPr>
        <w:t>.” In giving this consent, we do not thereby admit that we are within the category of persons whose consent is required under Section 7 of the Securities Act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Advokat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 / JT</w:t>
      </w:r>
    </w:p>
    <w:p>
      <w:pPr>
        <w:sectPr>
          <w:pgSz w:w="11900" w:h="16838" w:orient="portrait"/>
          <w:cols w:equalWidth="0" w:num="1">
            <w:col w:w="11000"/>
          </w:cols>
          <w:pgMar w:left="440" w:top="268"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opinions contained herein, we have assumed that:</w:t>
      </w:r>
    </w:p>
    <w:p>
      <w:pPr>
        <w:spacing w:after="0" w:line="131" w:lineRule="exact"/>
        <w:rPr>
          <w:sz w:val="20"/>
          <w:szCs w:val="20"/>
          <w:color w:val="auto"/>
        </w:rPr>
      </w:pPr>
    </w:p>
    <w:p>
      <w:pPr>
        <w:jc w:val="both"/>
        <w:ind w:left="960" w:right="140" w:hanging="532"/>
        <w:spacing w:after="0" w:line="289" w:lineRule="auto"/>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and completeness of: all factual representations made in the documents examined by us and of any other information set out in public registers or that has otherwise been supplied or disclosed to us; and as we have not made any independent investigation thereof you are advised to seek verification of such matters or information from other parties or seek comfort in respect thereof in other ways;</w:t>
      </w:r>
    </w:p>
    <w:p>
      <w:pPr>
        <w:spacing w:after="0" w:line="63" w:lineRule="exact"/>
        <w:rPr>
          <w:rFonts w:ascii="Times New Roman" w:cs="Times New Roman" w:eastAsia="Times New Roman" w:hAnsi="Times New Roman"/>
          <w:sz w:val="17"/>
          <w:szCs w:val="17"/>
          <w:color w:val="auto"/>
        </w:rPr>
      </w:pPr>
    </w:p>
    <w:p>
      <w:pPr>
        <w:ind w:left="960" w:right="40" w:hanging="532"/>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meeting of the board of directors or shareholders of the Company have been duly convened and conducted with proper quorum and that the resolutions passed at such meetings have been passed by a sufficient majority or sufficient quorum, that no such resolutions have been revoked or varied and that they remain in full force and effect and that the board of directors has taken all actions and passed all requisite resolutions necessary to authorize the issuance and sale of the Convertible Notes and Note Shares;</w:t>
      </w:r>
    </w:p>
    <w:p>
      <w:pPr>
        <w:spacing w:after="0" w:line="83" w:lineRule="exact"/>
        <w:rPr>
          <w:rFonts w:ascii="Times New Roman" w:cs="Times New Roman" w:eastAsia="Times New Roman" w:hAnsi="Times New Roman"/>
          <w:sz w:val="18"/>
          <w:szCs w:val="18"/>
          <w:color w:val="auto"/>
        </w:rPr>
      </w:pPr>
    </w:p>
    <w:p>
      <w:pPr>
        <w:ind w:left="960" w:right="520" w:hanging="532"/>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Company and its board of directors have acted in accordance with the general clause (Sw. </w:t>
      </w:r>
      <w:r>
        <w:rPr>
          <w:rFonts w:ascii="Times New Roman" w:cs="Times New Roman" w:eastAsia="Times New Roman" w:hAnsi="Times New Roman"/>
          <w:sz w:val="18"/>
          <w:szCs w:val="18"/>
          <w:i w:val="1"/>
          <w:iCs w:val="1"/>
          <w:color w:val="auto"/>
        </w:rPr>
        <w:t>generalklausulen</w:t>
      </w:r>
      <w:r>
        <w:rPr>
          <w:rFonts w:ascii="Times New Roman" w:cs="Times New Roman" w:eastAsia="Times New Roman" w:hAnsi="Times New Roman"/>
          <w:sz w:val="18"/>
          <w:szCs w:val="18"/>
          <w:color w:val="auto"/>
        </w:rPr>
        <w:t>) in the Swedish Companies Act and provisions regarding good market practice in connection with resolving to issue Note Shares;</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time of the delivery of the Note Shares, the payment for such Note Shares will have been received by the Company;</w:t>
      </w:r>
    </w:p>
    <w:p>
      <w:pPr>
        <w:spacing w:after="0" w:line="130"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when the Convertible Notes are converted into the Note Shares in accordance with the terms of the Investment Agreement, the Subscription Agreement and of the respective terms and conditions of the Convertible Notes, the Note Shares will be duly registered in the names of the persons who subscribe for or purchase Note Shares. The Note Shares were duly registered in the names of the selling shareholders in the Company’s registrar;</w:t>
      </w:r>
    </w:p>
    <w:p>
      <w:pPr>
        <w:spacing w:after="0" w:line="85"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signatures on all documents supplied to us as originals or as copies of originals are genuine and that all documents submitted to us are true, authentic and complete;</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authorizations, powers of attorney and authorities produced to us remain in full force and effect and have not been amended or affected by any subsequent action not disclosed to us;</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form, it will be or has been executed in the form of that draft, and where a number of drafts of a document have been examined by us all changes to them have been marked or otherwise drawn to our attention;</w:t>
      </w:r>
    </w:p>
    <w:p>
      <w:pPr>
        <w:spacing w:after="0" w:line="67"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retrieved by us or supplied to us electronically (whether in portable document format (PDF) or as scanned copies), as photocopies, facsimile copies or e-mail conformed copies are in conformity with the originals;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has been no mutual or relevant unilateral mistake of fact and that there exists no fraud or duress.</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are subject to the following qualifications in addition to any qualifications set forth elsewhere in this opinion letter:</w:t>
      </w:r>
    </w:p>
    <w:p>
      <w:pPr>
        <w:spacing w:after="0" w:line="129" w:lineRule="exact"/>
        <w:rPr>
          <w:sz w:val="20"/>
          <w:szCs w:val="20"/>
          <w:color w:val="auto"/>
        </w:rPr>
      </w:pPr>
    </w:p>
    <w:p>
      <w:pPr>
        <w:ind w:left="960" w:right="60" w:hanging="532"/>
        <w:spacing w:after="0" w:line="28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Swedish Companies Act (Sw. </w:t>
      </w:r>
      <w:r>
        <w:rPr>
          <w:rFonts w:ascii="Times New Roman" w:cs="Times New Roman" w:eastAsia="Times New Roman" w:hAnsi="Times New Roman"/>
          <w:sz w:val="18"/>
          <w:szCs w:val="18"/>
          <w:i w:val="1"/>
          <w:iCs w:val="1"/>
          <w:color w:val="auto"/>
        </w:rPr>
        <w:t>aktiebolagslagen (2005:551)</w:t>
      </w:r>
      <w:r>
        <w:rPr>
          <w:rFonts w:ascii="Times New Roman" w:cs="Times New Roman" w:eastAsia="Times New Roman" w:hAnsi="Times New Roman"/>
          <w:sz w:val="18"/>
          <w:szCs w:val="18"/>
          <w:color w:val="auto"/>
        </w:rPr>
        <w:t>), an act, resolution or decision may be set aside or amended for providing undue advantage to a shareholder or another person to the disadvantage of the company or another shareholder;</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exact interpretation of any particular wording in the Corporate Documents by any court;</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given only with respect to the laws of Sweden as in force today and as such laws are currently applied by Swedish courts and we express no opinion with respect to the laws of any other jurisdiction nor have we made any investigations as to any law other than the laws of Sweden;</w:t>
      </w:r>
    </w:p>
    <w:p>
      <w:pPr>
        <w:spacing w:after="0" w:line="81"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this opinion letter we have relied on certain matters of information obtained from the Company and other sources reasonably believed by us to be credible;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or as to the effect on the opinions contained in this opinion letter of, laws, rules and regulations such as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banking and insurance laws and regulations; (ii) antitrust or unfair competition laws or regulations (iii) tax laws and regulations;</w:t>
      </w:r>
    </w:p>
    <w:p>
      <w:pPr>
        <w:spacing w:after="0" w:line="9" w:lineRule="exact"/>
        <w:rPr>
          <w:sz w:val="20"/>
          <w:szCs w:val="20"/>
          <w:color w:val="auto"/>
        </w:rPr>
      </w:pPr>
    </w:p>
    <w:p>
      <w:pPr>
        <w:ind w:left="960" w:right="160" w:firstLine="8"/>
        <w:spacing w:after="0" w:line="250" w:lineRule="auto"/>
        <w:tabs>
          <w:tab w:leader="none" w:pos="12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pension or employee benefit laws and regulations; (v) patent, copyright, trademark or other intellectual property laws and regulations; (vi) environmental laws and regulations; (vii) health and safety laws and regulations; (viii) land use and zoning laws and regulations; (ix) laws, regulations and policies relating to racketeering, criminal and civil forfeiture, emergencies, foreign asset or trading controls, corrupt practices, national security, terrorism or money laundering or governing foreign investment in the United States; and</w:t>
      </w:r>
    </w:p>
    <w:p>
      <w:pPr>
        <w:spacing w:after="0" w:line="1" w:lineRule="exact"/>
        <w:rPr>
          <w:rFonts w:ascii="Times New Roman" w:cs="Times New Roman" w:eastAsia="Times New Roman" w:hAnsi="Times New Roman"/>
          <w:sz w:val="18"/>
          <w:szCs w:val="18"/>
          <w:color w:val="auto"/>
        </w:rPr>
      </w:pPr>
    </w:p>
    <w:p>
      <w:pPr>
        <w:ind w:left="960" w:right="160" w:firstLine="8"/>
        <w:spacing w:after="0" w:line="260" w:lineRule="auto"/>
        <w:tabs>
          <w:tab w:leader="none" w:pos="12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which in our experience are not normally applicable with respect to general business corporations or transactions of the type contemplated by the Corporate Documents; and</w:t>
      </w:r>
    </w:p>
    <w:p>
      <w:pPr>
        <w:spacing w:after="0" w:line="86" w:lineRule="exact"/>
        <w:rPr>
          <w:rFonts w:ascii="Times New Roman" w:cs="Times New Roman" w:eastAsia="Times New Roman" w:hAnsi="Times New Roman"/>
          <w:sz w:val="18"/>
          <w:szCs w:val="18"/>
          <w:color w:val="auto"/>
        </w:rPr>
      </w:pPr>
    </w:p>
    <w:p>
      <w:pPr>
        <w:ind w:left="960" w:right="60" w:hanging="532"/>
        <w:spacing w:after="0" w:line="25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expressed in the English language whilst addressing and explaining institutions and concepts of the laws of Sweden; and such institutions and concepts may be reflected in or described by the English language only imperfectly; and we express no opinion on how the courts of Sweden would construe contractual language expressed in English where the contract would be subject to the laws of Sweden. However, we believe that such courts may pay attention to the meaning and import of such expressions in the laws of any pertinent jurisdiction in which the English language is normally or habitually employed, in construing, for the purposes of the laws of Sweden, what the parties intended to put in writing.</w:t>
      </w:r>
    </w:p>
    <w:p>
      <w:pPr>
        <w:sectPr>
          <w:pgSz w:w="11900" w:h="16838" w:orient="portrait"/>
          <w:cols w:equalWidth="0" w:num="1">
            <w:col w:w="11000"/>
          </w:cols>
          <w:pgMar w:left="440" w:top="266" w:right="4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on Form F-3 and related Prospectus of Oatly Group AB for the registration of American Depositary Shares representing ordinary shares offered by selling security holders, and to the incorporation by reference therein of our reports dated March 13, 2025, with respect to the consolidated financial statements of Oatly Group AB, and the effectiveness of internal control over financial reporting of Oatly Group AB, included in its Annual Report on Form 20-F for the year ended December 31, 2024,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ectPr>
          <w:pgSz w:w="11900" w:h="16838" w:orient="portrait"/>
          <w:cols w:equalWidth="0" w:num="1">
            <w:col w:w="11020"/>
          </w:cols>
          <w:pgMar w:left="440"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24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0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Carry</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28"/>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58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effective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74"/>
        </w:trPr>
        <w:tc>
          <w:tcPr>
            <w:tcW w:w="224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143"/>
        </w:trPr>
        <w:tc>
          <w:tcPr>
            <w:tcW w:w="2240" w:type="dxa"/>
            <w:vAlign w:val="bottom"/>
            <w:tcBorders>
              <w:left w:val="single" w:sz="8" w:color="auto"/>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40" w:type="dxa"/>
            <w:vAlign w:val="bottom"/>
            <w:tcBorders>
              <w:left w:val="single" w:sz="8" w:color="auto"/>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Ordinary</w:t>
            </w:r>
          </w:p>
        </w:tc>
        <w:tc>
          <w:tcPr>
            <w:tcW w:w="7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w:t>
            </w: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SEK</w:t>
            </w: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0.00018</w:t>
            </w: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Borders>
              <w:left w:val="single" w:sz="8" w:color="auto"/>
              <w:right w:val="single" w:sz="8" w:color="auto"/>
            </w:tcBorders>
            <w:vMerge w:val="continue"/>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per share</w:t>
            </w:r>
          </w:p>
        </w:tc>
        <w:tc>
          <w:tcPr>
            <w:tcW w:w="7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Rule</w:t>
            </w:r>
          </w:p>
        </w:tc>
        <w:tc>
          <w:tcPr>
            <w:tcW w:w="7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2,757,430</w:t>
            </w:r>
          </w:p>
        </w:tc>
        <w:tc>
          <w:tcPr>
            <w:tcW w:w="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$9.50</w:t>
            </w:r>
          </w:p>
        </w:tc>
        <w:tc>
          <w:tcPr>
            <w:tcW w:w="10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$4,010.54</w:t>
            </w:r>
          </w:p>
        </w:tc>
        <w:tc>
          <w:tcPr>
            <w:tcW w:w="5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40" w:type="dxa"/>
            <w:vAlign w:val="bottom"/>
            <w:tcBorders>
              <w:bottom w:val="single" w:sz="8" w:color="auto"/>
              <w:right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$26,195,585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5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4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Previously</w:t>
            </w: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24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Carry Forward Securities</w:t>
            </w: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Carry</w:t>
            </w: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Forward</w:t>
            </w: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4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Securities</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2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$4,010.54</w:t>
            </w: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$4,010.54</w:t>
            </w: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right="20" w:hanging="532"/>
        <w:spacing w:after="0" w:line="25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relates to the resale or other distribution by the selling security holders named in the registration statement of up to 2,757,430 American Depositary Shares (“ADSs”) which each represent twenty ordinary shares, par value SEK 0.00018 per share of the Registrant.</w:t>
      </w:r>
    </w:p>
    <w:p>
      <w:pPr>
        <w:spacing w:after="0" w:line="1" w:lineRule="exact"/>
        <w:rPr>
          <w:rFonts w:ascii="Times New Roman" w:cs="Times New Roman" w:eastAsia="Times New Roman" w:hAnsi="Times New Roman"/>
          <w:sz w:val="18"/>
          <w:szCs w:val="18"/>
          <w:color w:val="auto"/>
        </w:rPr>
      </w:pPr>
    </w:p>
    <w:p>
      <w:pPr>
        <w:ind w:left="900" w:right="120" w:hanging="532"/>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are represented by ADSs, which each represent twenty ordinary shares. ADSs issuable upon deposit of the ordinary shares registered hereby have been registered under the Registration Statement on Form F-6 (Registration No. 333-278165), which was filed with the Securities and Exchange Commission and became effective on March 22, 2024, as subsequently amended by that Post-Effective Amendment No. 1 to Registration Statement on Form F-6, which was filed with the Securities and Exchange Commission and became effective on February 12, 2025.</w:t>
      </w:r>
    </w:p>
    <w:p>
      <w:pPr>
        <w:spacing w:after="0" w:line="1" w:lineRule="exact"/>
        <w:rPr>
          <w:rFonts w:ascii="Times New Roman" w:cs="Times New Roman" w:eastAsia="Times New Roman" w:hAnsi="Times New Roman"/>
          <w:sz w:val="18"/>
          <w:szCs w:val="18"/>
          <w:color w:val="auto"/>
        </w:rPr>
      </w:pPr>
    </w:p>
    <w:p>
      <w:pPr>
        <w:ind w:left="900" w:right="200" w:hanging="532"/>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2,757,430 ADSs registered for resale by the selling security holders pursuant to the registration statement, which are issuable upon conversion of certain 9.25% Convertible Senior PIK Notes due 2028 issued by the Registrant to such selling security holders.</w:t>
      </w:r>
    </w:p>
    <w:p>
      <w:pPr>
        <w:ind w:left="900" w:right="40" w:hanging="532"/>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of the Securities Act, on the basis of the average of the high and low prices for a share of the registrant’s common stock reported on Nasdaq on March 19, 2025, which date is a date within five business days prior to the filing of this registration statement.</w:t>
      </w:r>
    </w:p>
    <w:p>
      <w:pPr>
        <w:spacing w:after="0" w:line="1" w:lineRule="exact"/>
        <w:rPr>
          <w:rFonts w:ascii="Times New Roman" w:cs="Times New Roman" w:eastAsia="Times New Roman" w:hAnsi="Times New Roman"/>
          <w:sz w:val="18"/>
          <w:szCs w:val="18"/>
          <w:color w:val="auto"/>
        </w:rPr>
      </w:pPr>
    </w:p>
    <w:p>
      <w:pPr>
        <w:ind w:left="900" w:right="680" w:hanging="532"/>
        <w:spacing w:after="0" w:line="26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457(c) under the Securities Act with respect to the 2,757,430 ADSs registered pursuant to this registration statement that have not previously been registered.</w:t>
      </w:r>
    </w:p>
    <w:sectPr>
      <w:pgSz w:w="11900" w:h="16838" w:orient="portrait"/>
      <w:cols w:equalWidth="0" w:num="1">
        <w:col w:w="10960"/>
      </w:cols>
      <w:pgMar w:left="50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2)"/>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07"/>
    </w:lvl>
  </w:abstractNum>
  <w:abstractNum w:abstractNumId="11">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2">
    <w:nsid w:val="7C83E458"/>
    <w:multiLevelType w:val="hybridMultilevel"/>
    <w:lvl w:ilvl="0">
      <w:lvlJc w:val="left"/>
      <w:lvlText w:val="(%1)"/>
      <w:numFmt w:val="lowerRoman"/>
      <w:start w:val="2"/>
    </w:lvl>
  </w:abstractNum>
  <w:abstractNum w:abstractNumId="13">
    <w:nsid w:val="257130A3"/>
    <w:multiLevelType w:val="hybridMultilevel"/>
    <w:lvl w:ilvl="0">
      <w:lvlJc w:val="left"/>
      <w:lvlText w:val="(%1)"/>
      <w:numFmt w:val="decimal"/>
      <w:start w:val="2"/>
    </w:lvl>
    <w:lvl w:ilvl="1">
      <w:lvlJc w:val="left"/>
      <w:lvlText w:val="(%2)"/>
      <w:numFmt w:val="lowerRoman"/>
      <w:start w:val="1"/>
    </w:lvl>
  </w:abstractNum>
  <w:abstractNum w:abstractNumId="14">
    <w:nsid w:val="62BBD95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5">
    <w:nsid w:val="436C612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Roman"/>
      <w:start w:val="4"/>
    </w:lvl>
  </w:abstractNum>
  <w:abstractNum w:abstractNumId="22">
    <w:nsid w:val="75A2A8D4"/>
    <w:multiLevelType w:val="hybridMultilevel"/>
    <w:lvl w:ilvl="0">
      <w:lvlJc w:val="left"/>
      <w:lvlText w:val="%1"/>
      <w:numFmt w:val="decimal"/>
      <w:start w:val="1"/>
    </w:lvl>
    <w:lvl w:ilvl="1">
      <w:lvlJc w:val="left"/>
      <w:lvlText w:val="(%2)"/>
      <w:numFmt w:val="lowerRoman"/>
      <w:start w:val="10"/>
    </w:lvl>
  </w:abstractNum>
  <w:abstractNum w:abstractNumId="23">
    <w:nsid w:val="8EDBDAB"/>
    <w:multiLevelType w:val="hybridMultilevel"/>
    <w:lvl w:ilvl="0">
      <w:lvlJc w:val="left"/>
      <w:lvlText w:val="%1."/>
      <w:numFmt w:val="decimal"/>
      <w:start w:val="6"/>
    </w:lvl>
    <w:lvl w:ilvl="1">
      <w:lvlJc w:val="left"/>
      <w:lvlText w:val="%2"/>
      <w:numFmt w:val="lowerRoman"/>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jpe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42" Type="http://schemas.openxmlformats.org/officeDocument/2006/relationships/hyperlink" Target="http://www.sec.gov/ix?doc=/Archives/edgar/data/0001843586/000095017025038739/otly-20241231.htm" TargetMode="External"/><Relationship Id="rId43" Type="http://schemas.openxmlformats.org/officeDocument/2006/relationships/hyperlink" Target="http://www.sec.gov/Archives/edgar/data/1843586/000095017025011432/otly_6k_adr_ratio_change.htm" TargetMode="External"/><Relationship Id="rId44" Type="http://schemas.openxmlformats.org/officeDocument/2006/relationships/hyperlink" Target="http://www.sec.gov/Archives/edgar/data/1843586/000095017025018403/otly_6k_pr_ye24.htm" TargetMode="External"/><Relationship Id="rId45" Type="http://schemas.openxmlformats.org/officeDocument/2006/relationships/hyperlink" Target="http://www.sec.gov/Archives/edgar/data/1843586/000095017025022262/otly_6k_adr_ratio_change.htm" TargetMode="External"/><Relationship Id="rId46" Type="http://schemas.openxmlformats.org/officeDocument/2006/relationships/hyperlink" Target="http://www.sec.gov/Archives/edgar/data/1843586/000095017025033083/otly_6k_nasdaq_recomplia.htm" TargetMode="External"/><Relationship Id="rId47" Type="http://schemas.openxmlformats.org/officeDocument/2006/relationships/hyperlink" Target="http://www.sec.gov/Archives/edgar/data/1843586/000095017025038739/otly-ex2_1.htm" TargetMode="External"/><Relationship Id="rId54" Type="http://schemas.openxmlformats.org/officeDocument/2006/relationships/hyperlink" Target="http://www.sec.gov/Archives/edgar/data/1843586/000095017023006121/otly-ex1_1.htm" TargetMode="External"/><Relationship Id="rId55" Type="http://schemas.openxmlformats.org/officeDocument/2006/relationships/hyperlink" Target="http://www.sec.gov/Archives/edgar/data/1843586/000156459022013633/otly-ex22_320.htm" TargetMode="External"/><Relationship Id="rId56" Type="http://schemas.openxmlformats.org/officeDocument/2006/relationships/hyperlink" Target="http://www.sec.gov/Archives/edgar/data/1843586/000095017025038739/otly-ex2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2025-03-25T16:20:20Z</dcterms:created>
  <dcterms:modified xsi:type="dcterms:W3CDTF">2025-03-25T16:20:20Z</dcterms:modified>
</cp:coreProperties>
</file>