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4150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415099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Ordonez Daniel Eduardo</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160" w:type="dxa"/>
            <w:vAlign w:val="bottom"/>
            <w:tcBorders>
              <w:top w:val="single" w:sz="8" w:color="0000EE"/>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0"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42"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8" w:lineRule="exact"/>
        <w:rPr>
          <w:sz w:val="24"/>
          <w:szCs w:val="24"/>
          <w:color w:val="auto"/>
        </w:rPr>
      </w:pPr>
    </w:p>
    <w:p>
      <w:pPr>
        <w:ind w:left="677"/>
        <w:spacing w:after="0"/>
        <w:rPr>
          <w:sz w:val="20"/>
          <w:szCs w:val="20"/>
          <w:color w:val="auto"/>
        </w:rPr>
      </w:pPr>
      <w:r>
        <w:rPr>
          <w:rFonts w:ascii="Times New Roman" w:cs="Times New Roman" w:eastAsia="Times New Roman" w:hAnsi="Times New Roman"/>
          <w:sz w:val="18"/>
          <w:szCs w:val="18"/>
          <w:color w:val="0000FF"/>
        </w:rPr>
        <w:t>Global President &amp; COO</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8"/>
                <w:szCs w:val="18"/>
                <w:color w:val="0000FF"/>
              </w:rPr>
              <w:t>199,165</w:t>
            </w:r>
          </w:p>
        </w:tc>
        <w:tc>
          <w:tcPr>
            <w:tcW w:w="98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28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9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980" w:type="dxa"/>
            <w:vAlign w:val="bottom"/>
          </w:tcPr>
          <w:p>
            <w:pPr>
              <w:ind w:left="40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vMerge w:val="continue"/>
          </w:tcPr>
          <w:p>
            <w:pPr>
              <w:spacing w:after="0"/>
              <w:rPr>
                <w:sz w:val="16"/>
                <w:szCs w:val="16"/>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Options</w:t>
            </w:r>
            <w:r>
              <w:rPr>
                <w:rFonts w:ascii="Times New Roman" w:cs="Times New Roman" w:eastAsia="Times New Roman" w:hAnsi="Times New Roman"/>
                <w:sz w:val="22"/>
                <w:szCs w:val="22"/>
                <w:color w:val="008000"/>
                <w:vertAlign w:val="superscript"/>
              </w:rPr>
              <w:t>(2)</w:t>
            </w:r>
          </w:p>
        </w:tc>
        <w:tc>
          <w:tcPr>
            <w:tcW w:w="1480" w:type="dxa"/>
            <w:vAlign w:val="bottom"/>
            <w:tcBorders>
              <w:bottom w:val="single" w:sz="8" w:color="2C2C2C"/>
            </w:tcBorders>
            <w:gridSpan w:val="2"/>
          </w:tcPr>
          <w:p>
            <w:pPr>
              <w:jc w:val="right"/>
              <w:ind w:right="289"/>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right"/>
              <w:ind w:right="256"/>
              <w:spacing w:after="0"/>
              <w:rPr>
                <w:sz w:val="20"/>
                <w:szCs w:val="20"/>
                <w:color w:val="auto"/>
              </w:rPr>
            </w:pPr>
            <w:r>
              <w:rPr>
                <w:rFonts w:ascii="Times New Roman" w:cs="Times New Roman" w:eastAsia="Times New Roman" w:hAnsi="Times New Roman"/>
                <w:sz w:val="11"/>
                <w:szCs w:val="11"/>
                <w:color w:val="008000"/>
              </w:rPr>
              <w:t>(4)</w:t>
            </w:r>
          </w:p>
        </w:tc>
        <w:tc>
          <w:tcPr>
            <w:tcW w:w="162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ADSs</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73,584</w:t>
            </w:r>
          </w:p>
        </w:tc>
        <w:tc>
          <w:tcPr>
            <w:tcW w:w="9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21.2</w:t>
            </w:r>
          </w:p>
        </w:tc>
        <w:tc>
          <w:tcPr>
            <w:tcW w:w="8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16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25,351 RSUs will vest on 5/30/2026, 32,704 RSUs will vest in two equal annual increments beginning 5/30/2026, and 95,869 RSUs will vest in three equal annual increments beginning 5/30/2026. There are no voting or dividend rights prior to vesting.</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stock option represents a right to receive one ADS in the Issuer.</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vest in three equal annual increments beginning 5/30/2025.</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expire five years after the relevant vesting date.</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Daniel Ordonez</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Daniel Ordonez</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16233"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2026-03-18T19:19:43Z</dcterms:created>
  <dcterms:modified xsi:type="dcterms:W3CDTF">2026-03-18T19:19:43Z</dcterms:modified>
</cp:coreProperties>
</file>