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otly_6k_pr_4q25.htm"/>
      <w:bookmarkStart w:id="1" w:name="ksotly_6k_pr_4q25"/>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February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001-40401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Oatly Group AB</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186"/>
        <w:gridCol w:w="14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single" w:sz="4" w:space="1" w:color="000000"/>
        </w:pBdr>
        <w:bidi w:val="0"/>
        <w:jc w:val="left"/>
        <w:rPr/>
      </w:pPr>
      <w:r>
        <w:rPr/>
        <w:t> </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 xml:space="preserve">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On February 11, 2026, the Company issued a press release announcing its financial results for the quarter and year ended December 31, 2025. A copy of the press release is furnished as Exhibit 99.1 to this Report on Form 6-K.</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Departure of Director; Appointment of New Director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February 9, 2026, the board of directors of the Company (the “Board”) received notice from one of its directors, Nan Li, that he would step down as a member of the Board, effective February 9, 2026. Mr. Li’s decision was not due to any disagreement with the Company’s management or Board. The Board thanks Mr. Li for his service.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Li Wang was appointed to the Board, also effective February 9, 2026, by the Company’s shareholder, China Resources (Holdings) Company Limited (“China Resources”), to replace Mr. Li. Mr. Wang will serve as a director until the close of the annual general meeting to be held in 2027 and until his successor is duly elected and qualified (or his earlier death, resignation or removal).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Mr. Wang is the General Manager of the Operations Management Department of China Resources Enterprise, Limited. He currently also serves as a board member of several private companies such as CR Verlinvest Health Investment Limited, City Super (BVI) Limited and Shenzhou Space Biotechnology Group. Mr. Wang holds a Bachelor of Transportation Engineering (Logistics) from the Beijing Jiaotong University and a Master of Management Science and Engineering from Technology Zhengce and Management Science Research Institute, Chinese Academy of Sciences.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Mr. Wang was appointed pursuant to China Resources’ board appointment rights, which are described under “Appointment Rights” in Item 6.A of the Company’s annual report on Form 20-F (the “Form 20-F”) filed with the Securities and Exchange Commission (the “SEC”) on March 13, 2025.</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Other than with respect to China Resources’ board appointment rights, there are no transactions in which Mr. Wang has an interest requiring disclosure under Item 7.B of the Form 20-F. Additionally, Mr. Wang does not have any family relationship with any director or executive officer of the Company or any person nominated or chosen by the Company to become a director or executive officer. Mr. Wang will be entitled to standard compensation available to all non-employee directors (as described under “Executive Officer, Non-Executive Director and Key Management Compensation” in Item 6.B of the Form 20-F).</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5998" w:type="dxa"/>
        <w:jc w:val="left"/>
        <w:tblInd w:w="0" w:type="dxa"/>
        <w:tblLayout w:type="fixed"/>
        <w:tblCellMar>
          <w:top w:w="28" w:type="dxa"/>
          <w:left w:w="28" w:type="dxa"/>
          <w:bottom w:w="28" w:type="dxa"/>
          <w:right w:w="28" w:type="dxa"/>
        </w:tblCellMar>
      </w:tblPr>
      <w:tblGrid>
        <w:gridCol w:w="976"/>
        <w:gridCol w:w="146"/>
        <w:gridCol w:w="487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Press Release of Oatly Group AB, dated February 11,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2086"/>
        <w:gridCol w:w="146"/>
        <w:gridCol w:w="631"/>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 w:name="otly-ex99_1.htm"/>
      <w:bookmarkStart w:id="3" w:name="ksotlyex99_1"/>
      <w:bookmarkEnd w:id="2"/>
      <w:bookmarkEnd w:id="3"/>
      <w:r>
        <w:rPr>
          <w:rFonts w:ascii="Times New Roman" w:hAnsi="Times New Roman"/>
          <w:b/>
          <w:color w:val="000000"/>
          <w:sz w:val="18"/>
        </w:rPr>
        <w:t>Exhibit 99.1</w:t>
      </w:r>
      <w:r>
        <w:br w:type="page"/>
      </w:r>
    </w:p>
    <w:p>
      <w:pPr>
        <w:pStyle w:val="TextBody"/>
        <w:bidi w:val="0"/>
        <w:jc w:val="left"/>
        <w:rPr/>
      </w:pPr>
      <w:r>
        <w:rPr/>
        <w:t> </w:t>
      </w:r>
    </w:p>
    <w:p>
      <w:pPr>
        <w:pStyle w:val="TextBody"/>
        <w:bidi w:val="0"/>
        <w:jc w:val="center"/>
        <w:rPr/>
      </w:pPr>
      <w:r>
        <w:rPr/>
        <w:drawing>
          <wp:inline distT="0" distB="0" distL="0" distR="0">
            <wp:extent cx="17811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5905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Oatly Reports Fourth Quarter and Full Year 2025 Financial Results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MALMÖ, Sweden, February 11, 2026 – Oatly Group AB (Nasdaq: OTLY) (“Oatly”, the “Company” or the “Group”), the world’s original and largest oat drink company, today announced financial results for the fourth quarter and twelve months ended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Jean-Christophe Flatin, Oatly’s CEO, commented, “I am proud to report that we drove profitable growth in both the fourth quarter and the full year. Achieving this milestone reflects the disciplined, strategic actions we have taken over the past three years to strengthen the foundation of our entire business. We have right-sized our supply chain and overhead structure while simultaneously reinvesting behind our refreshed growth strategy. We are seeing clear evidence that our strategy is working and driving impact, as we are driving growth in every market where it is fully deployed and seeing good early results in the markets where we are still rolling out our playbook. We are also seeing improved profitability and cash flow across the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He continued, “We know that achieving our first full year of profitability is a milestone, not our destination. As we look forward, we expect to accelerate our impact as we continue to execute our growth strategy, drive incremental demand, and deliver even stronger profitable growth. We continue to see significant potential ahead of us, and we are confident that we are taking the right steps to drive durable, scalable, and profitable growth as we execute on our mission.”</w:t>
      </w:r>
    </w:p>
    <w:p>
      <w:pPr>
        <w:pStyle w:val="TextBody"/>
        <w:bidi w:val="0"/>
        <w:jc w:val="both"/>
        <w:rPr>
          <w:rFonts w:ascii="Times New Roman" w:hAnsi="Times New Roman"/>
          <w:color w:val="000000"/>
          <w:sz w:val="20"/>
        </w:rPr>
      </w:pPr>
      <w:r>
        <w:rPr>
          <w:rFonts w:ascii="Times New Roman" w:hAnsi="Times New Roman"/>
          <w:color w:val="000000"/>
          <w:sz w:val="20"/>
        </w:rPr>
        <w:t>The tables below reconcile revenue as reported to revenue on a constant currency basis by segment for the three and twelve months ended December 31, 2025 and 2024.</w:t>
      </w:r>
    </w:p>
    <w:p>
      <w:pPr>
        <w:pStyle w:val="TextBody"/>
        <w:bidi w:val="0"/>
        <w:jc w:val="left"/>
        <w:rPr/>
      </w:pPr>
      <w:r>
        <w:rPr/>
        <w:t> </w:t>
      </w:r>
    </w:p>
    <w:tbl>
      <w:tblPr>
        <w:tblW w:w="12114" w:type="dxa"/>
        <w:jc w:val="left"/>
        <w:tblInd w:w="0" w:type="dxa"/>
        <w:tblLayout w:type="fixed"/>
        <w:tblCellMar>
          <w:top w:w="28" w:type="dxa"/>
          <w:left w:w="28" w:type="dxa"/>
          <w:bottom w:w="28" w:type="dxa"/>
          <w:right w:w="28" w:type="dxa"/>
        </w:tblCellMar>
      </w:tblPr>
      <w:tblGrid>
        <w:gridCol w:w="1366"/>
        <w:gridCol w:w="146"/>
        <w:gridCol w:w="146"/>
        <w:gridCol w:w="781"/>
        <w:gridCol w:w="146"/>
        <w:gridCol w:w="146"/>
        <w:gridCol w:w="146"/>
        <w:gridCol w:w="781"/>
        <w:gridCol w:w="146"/>
        <w:gridCol w:w="146"/>
        <w:gridCol w:w="146"/>
        <w:gridCol w:w="781"/>
        <w:gridCol w:w="146"/>
        <w:gridCol w:w="146"/>
        <w:gridCol w:w="146"/>
        <w:gridCol w:w="676"/>
        <w:gridCol w:w="146"/>
        <w:gridCol w:w="146"/>
        <w:gridCol w:w="146"/>
        <w:gridCol w:w="781"/>
        <w:gridCol w:w="146"/>
        <w:gridCol w:w="146"/>
        <w:gridCol w:w="175"/>
        <w:gridCol w:w="561"/>
        <w:gridCol w:w="301"/>
        <w:gridCol w:w="146"/>
        <w:gridCol w:w="179"/>
        <w:gridCol w:w="572"/>
        <w:gridCol w:w="301"/>
        <w:gridCol w:w="146"/>
        <w:gridCol w:w="146"/>
        <w:gridCol w:w="526"/>
        <w:gridCol w:w="301"/>
        <w:gridCol w:w="146"/>
        <w:gridCol w:w="197"/>
        <w:gridCol w:w="569"/>
        <w:gridCol w:w="34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841,481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2025 Highlights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Fourth quarter revenue of $233.8 million, a 9.1% increase compared to the prior year period, with a constant currency revenue increase of 4.3% compared to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Gross margin in the fourth quarter was 34.5%, which is a 5.8 percentage points increase compared to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Fourth quarter net loss attributable to shareholders of the parent was $19.1 million, which is an improvement of $72.1 million compared to a net loss attributable to shareholders of the parent of $91.2 million in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Fourth quarter Adjusted EBITDA was $11.0 million, which is an improvement of $17.1 million compared to the prior year period.</w:t>
      </w:r>
    </w:p>
    <w:p>
      <w:pPr>
        <w:pStyle w:val="TextBody"/>
        <w:bidi w:val="0"/>
        <w:spacing w:before="0" w:after="200"/>
        <w:jc w:val="both"/>
        <w:rPr>
          <w:rFonts w:ascii="Times New Roman" w:hAnsi="Times New Roman"/>
          <w:sz w:val="20"/>
        </w:rPr>
      </w:pPr>
      <w:r>
        <w:rPr>
          <w:rFonts w:ascii="Times New Roman" w:hAnsi="Times New Roman"/>
          <w:b/>
          <w:color w:val="000000"/>
          <w:sz w:val="20"/>
        </w:rPr>
        <w:t>2026 Outlook</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providing its 2026 outlook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Constant currency revenue growth is expected to be in the range of +3% to +5%;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is expected to be in the range of $25 million to $35 million;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are expected to be in the range of $20 million to $30 million.</w:t>
      </w:r>
    </w:p>
    <w:p>
      <w:pPr>
        <w:pStyle w:val="TextBody"/>
        <w:bidi w:val="0"/>
        <w:jc w:val="both"/>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Fourth Quarter 2025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increased $19.5 million, or 9.1% to $233.8 million for the fourth quarter ended December 31, 2025, compared to $214.3 million for the prior year period. Excluding a foreign currency exchange tailwind of $10.3 million, revenue for the fourth quarter was $223.5 million, or an increase of 4.3% compared to the prior year period. The growth in constant currency revenue was driven by another quarter of consistent performance in Europe &amp; International, partially offset by decline in North America, explained mainly by a reduction in revenue to a large foodservice customer, as well as a slight decline in Greater China. Sold volume for the fourth quarter of 2025 increased 2.9% to 157.6 million liters compared to 153.2 million liters in the fourth quarter of 2024. Produced finished goods volume for the fourth quarter of 2025 was 161.5 million liters compared to 145.3 million liters for the fourth quarter of 2024.</w:t>
      </w:r>
    </w:p>
    <w:p>
      <w:pPr>
        <w:pStyle w:val="TextBody"/>
        <w:bidi w:val="0"/>
        <w:jc w:val="both"/>
        <w:rPr>
          <w:rFonts w:ascii="Times New Roman" w:hAnsi="Times New Roman"/>
          <w:color w:val="000000"/>
          <w:sz w:val="20"/>
        </w:rPr>
      </w:pPr>
      <w:r>
        <w:rPr>
          <w:rFonts w:ascii="Times New Roman" w:hAnsi="Times New Roman"/>
          <w:color w:val="000000"/>
          <w:sz w:val="20"/>
        </w:rPr>
        <w:t>Gross profit was $80.8 million for the fourth quarter of 2025 compared to $61.6 million for the fourth quarter of 2024. Gross profit margin was 34.5% in the fourth quarter of 2025, an increase of 579 basis points compared to the prior period. The margin expansion compared to the fourth quarter of 2024 was explained by improvements in supply chain efficiency in Europe &amp; International, product and channel mix in North America and Greater China.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Research and development expenses in the fourth quarter of 2025 increased $1.3 million to $5.1 million compared to $3.7 million in the prior year period. The increase was mainly explained by expenses related to new product launches and foreign currency exchange headwinds.</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expenses in the fourth quarter of 2025 increased $1.9 million to $83.9 million compared to $82.0 million in the prior year period. The increase was driven by foreign currency exchange headwinds and customer distribution costs linked to growth in sold volumes, partially offset by continued actions to reduce overhead expenses.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Other operating income and (expenses), net for the fourth quarter of 2025 was an expense of $1.9 million comprised primarily of $2.6 million in costs for the Company’s strategic review of the Greater China segment, offset by a net foreign exchange gain. Other operating income and (expenses), net for the prior year period was an expense of $65.6 million comprised primarily of non-cash impairment charges of $41.7 million related to the discontinued construction of the second production facility in China (Asia III) and the closure of the production facility in Singapore, and other exit costs of $23.0 million related to the closure of the production facility in Singapore.</w:t>
      </w:r>
    </w:p>
    <w:p>
      <w:pPr>
        <w:pStyle w:val="TextBody"/>
        <w:bidi w:val="0"/>
        <w:jc w:val="both"/>
        <w:rPr>
          <w:rFonts w:ascii="Times New Roman" w:hAnsi="Times New Roman"/>
          <w:color w:val="000000"/>
          <w:sz w:val="20"/>
        </w:rPr>
      </w:pPr>
      <w:r>
        <w:rPr>
          <w:rFonts w:ascii="Times New Roman" w:hAnsi="Times New Roman"/>
          <w:color w:val="000000"/>
          <w:sz w:val="20"/>
        </w:rPr>
        <w:t>Finance income and (expenses), net for the fourth quarter of 2025 was an expense of $7.1 million comprised primarily of fair value gain on Convertible Notes of $24.0 million, offset by $18.9 million in expenses related to the Company’s recent financing activities, and net interest expenses of $13.5 million. The finance income and (expenses), net for the prior year period was an expense of $1.1 million comprised primarily of net interest expenses of $13.6 million, offset by fair value gains on Convertible Notes of $4.6 million and net foreign exchange gains of $8.2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Net loss attributable to shareholders of the parent was $19.1 million for the fourth quarter of 2025 compared to a loss of $91.2 million in the prior year period. The improvement was primarily a result of higher gross profit and decreased other operating income and (expenses), net.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Adjusted EBITDA for the fourth quarter of 2025 was $11.0 million, compared to a loss of $6.1 million in the prior year period. The improvement in Adjusted EBITDA was primarily a result of higher gross profit.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EBITDA, Adjusted EBITDA and Constant Currency Revenue are non-IFRS financial measures defined under “Non-IFRS financial measures”. Please see above revenue at constant currency table and “Reconciliation of IFRS to Non-IFRS Financial measures” at the end of this press release.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The following tables set forth revenue, Adjusted EBITDA, EBITDA and loss before tax for the Company’s three reportable segments for the periods presented. </w:t>
      </w:r>
    </w:p>
    <w:p>
      <w:pPr>
        <w:pStyle w:val="TextBody"/>
        <w:bidi w:val="0"/>
        <w:spacing w:before="80" w:after="1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4"/>
        <w:gridCol w:w="146"/>
        <w:gridCol w:w="207"/>
        <w:gridCol w:w="1110"/>
        <w:gridCol w:w="166"/>
        <w:gridCol w:w="146"/>
        <w:gridCol w:w="154"/>
        <w:gridCol w:w="715"/>
        <w:gridCol w:w="166"/>
        <w:gridCol w:w="146"/>
        <w:gridCol w:w="151"/>
        <w:gridCol w:w="766"/>
        <w:gridCol w:w="166"/>
        <w:gridCol w:w="146"/>
        <w:gridCol w:w="147"/>
        <w:gridCol w:w="744"/>
        <w:gridCol w:w="166"/>
        <w:gridCol w:w="146"/>
        <w:gridCol w:w="193"/>
        <w:gridCol w:w="835"/>
        <w:gridCol w:w="166"/>
        <w:gridCol w:w="146"/>
        <w:gridCol w:w="146"/>
        <w:gridCol w:w="781"/>
        <w:gridCol w:w="216"/>
      </w:tblGrid>
      <w:tr>
        <w:trP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December 31, 2025</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233,779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(17,225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December 31, 2024</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214,316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(90,852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204"/>
        <w:gridCol w:w="1094"/>
        <w:gridCol w:w="166"/>
        <w:gridCol w:w="146"/>
        <w:gridCol w:w="149"/>
        <w:gridCol w:w="802"/>
        <w:gridCol w:w="166"/>
        <w:gridCol w:w="146"/>
        <w:gridCol w:w="149"/>
        <w:gridCol w:w="799"/>
        <w:gridCol w:w="166"/>
        <w:gridCol w:w="146"/>
        <w:gridCol w:w="146"/>
        <w:gridCol w:w="841"/>
        <w:gridCol w:w="166"/>
        <w:gridCol w:w="146"/>
        <w:gridCol w:w="192"/>
        <w:gridCol w:w="830"/>
        <w:gridCol w:w="166"/>
        <w:gridCol w:w="146"/>
        <w:gridCol w:w="146"/>
        <w:gridCol w:w="841"/>
        <w:gridCol w:w="215"/>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Twelve months ended December 31, 2025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Twelve months ended December 31, 2024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rFonts w:ascii="Times New Roman" w:hAnsi="Times New Roman"/>
          <w:color w:val="000000"/>
          <w:sz w:val="18"/>
        </w:rPr>
      </w:pPr>
      <w:r>
        <w:rPr>
          <w:rFonts w:ascii="Times New Roman" w:hAnsi="Times New Roman"/>
          <w:color w:val="000000"/>
          <w:sz w:val="18"/>
        </w:rPr>
        <w:t>* Corporate consists of general costs not allocated to the segments.</w:t>
      </w:r>
    </w:p>
    <w:p>
      <w:pPr>
        <w:pStyle w:val="TextBody"/>
        <w:bidi w:val="0"/>
        <w:jc w:val="both"/>
        <w:rPr>
          <w:rFonts w:ascii="Times New Roman" w:hAnsi="Times New Roman"/>
          <w:color w:val="000000"/>
          <w:sz w:val="18"/>
        </w:rPr>
      </w:pPr>
      <w:r>
        <w:rPr>
          <w:rFonts w:ascii="Times New Roman" w:hAnsi="Times New Roman"/>
          <w:color w:val="000000"/>
          <w:sz w:val="18"/>
        </w:rPr>
        <w:t>** Eliminations in 2025 and 2024 refer to intersegment revenue for sales of products from Europe &amp; International to Greater China.</w:t>
      </w:r>
    </w:p>
    <w:p>
      <w:pPr>
        <w:pStyle w:val="TextBody"/>
        <w:bidi w:val="0"/>
        <w:jc w:val="both"/>
        <w:rPr>
          <w:rFonts w:ascii="Times New Roman" w:hAnsi="Times New Roman"/>
          <w:color w:val="000000"/>
          <w:sz w:val="18"/>
        </w:rPr>
      </w:pPr>
      <w:r>
        <w:rPr>
          <w:rFonts w:ascii="Times New Roman" w:hAnsi="Times New Roman"/>
          <w:color w:val="000000"/>
          <w:sz w:val="18"/>
        </w:rPr>
        <w:t>(1)Relates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(2)Relates to costs for the strategic review of the Greater China segment, mainly consisting of cost for external consultants.</w:t>
      </w:r>
    </w:p>
    <w:p>
      <w:pPr>
        <w:pStyle w:val="TextBody"/>
        <w:bidi w:val="0"/>
        <w:jc w:val="both"/>
        <w:rPr>
          <w:rFonts w:ascii="Times New Roman" w:hAnsi="Times New Roman"/>
          <w:color w:val="000000"/>
          <w:sz w:val="18"/>
        </w:rPr>
      </w:pPr>
      <w:r>
        <w:rPr>
          <w:rFonts w:ascii="Times New Roman" w:hAnsi="Times New Roman"/>
          <w:color w:val="000000"/>
          <w:sz w:val="18"/>
        </w:rPr>
        <w:t>(3)Relates to costs for the closure of the Group’s production facility in Singapore.</w:t>
      </w:r>
    </w:p>
    <w:p>
      <w:pPr>
        <w:pStyle w:val="TextBody"/>
        <w:bidi w:val="0"/>
        <w:jc w:val="both"/>
        <w:rPr>
          <w:rFonts w:ascii="Times New Roman" w:hAnsi="Times New Roman"/>
          <w:sz w:val="20"/>
        </w:rPr>
      </w:pPr>
      <w:r>
        <w:rPr>
          <w:rFonts w:ascii="Times New Roman" w:hAnsi="Times New Roman"/>
          <w:color w:val="000000"/>
          <w:sz w:val="18"/>
        </w:rPr>
        <w:t>(4)Relates primarily to non-cash impairments related to discontinued construction of the Group</w:t>
      </w:r>
      <w:r>
        <w:rPr>
          <w:rFonts w:ascii="Times New Roman" w:hAnsi="Times New Roman"/>
          <w:color w:val="000000"/>
          <w:sz w:val="20"/>
        </w:rPr>
        <w:t>’</w:t>
      </w:r>
      <w:r>
        <w:rPr>
          <w:rFonts w:ascii="Times New Roman" w:hAnsi="Times New Roman"/>
          <w:color w:val="000000"/>
          <w:sz w:val="18"/>
        </w:rPr>
        <w:t>s production facility in Peterborough, UK, reversal of previously recognized non-cash impairments related to discontinued construction of the Group</w:t>
      </w:r>
      <w:r>
        <w:rPr>
          <w:rFonts w:ascii="Times New Roman" w:hAnsi="Times New Roman"/>
          <w:color w:val="000000"/>
          <w:sz w:val="20"/>
        </w:rPr>
        <w:t>’</w:t>
      </w:r>
      <w:r>
        <w:rPr>
          <w:rFonts w:ascii="Times New Roman" w:hAnsi="Times New Roman"/>
          <w:color w:val="000000"/>
          <w:sz w:val="18"/>
        </w:rPr>
        <w:t>s production facility in Dallas-Fort Worth, Texas, and non-cash impairments related to discontinued construction of the Group</w:t>
      </w:r>
      <w:r>
        <w:rPr>
          <w:rFonts w:ascii="Times New Roman" w:hAnsi="Times New Roman"/>
          <w:color w:val="000000"/>
          <w:sz w:val="20"/>
        </w:rPr>
        <w:t>’</w:t>
      </w:r>
      <w:r>
        <w:rPr>
          <w:rFonts w:ascii="Times New Roman" w:hAnsi="Times New Roman"/>
          <w:color w:val="000000"/>
          <w:sz w:val="18"/>
        </w:rPr>
        <w:t>s second production facility in China (Asia III).</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(5)Expenses related to a new product launch issue.</w:t>
      </w:r>
      <w:r>
        <w:rPr>
          <w:rFonts w:ascii="Times New Roman" w:hAnsi="Times New Roman"/>
          <w:color w:val="000000"/>
          <w:sz w:val="20"/>
        </w:rPr>
        <w:t xml:space="preserve"> </w:t>
      </w:r>
    </w:p>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Europe &amp; International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Europe &amp; International revenue increased $25.3 million, or 23.3%, to $133.7 million for the fourth quarter of 2025, compared to $108.5 million in the prior year period. Excluding a foreign currency exchange tailwind of $9.9 million, Europe &amp; International revenue for the fourth quarter was $123.9 million, or an increase of 14.2%. For the fourth quarter of 2025, the increase in revenue was primarily due to volume growth of 13.9%, mainly driven by growth in the Barista products. Approximately 79% of Europe &amp; International revenue was from the retail channel for the fourth quarter of 2025 compared to 81% in the prior year period. The sold finished goods volume for the three months ended December 31, 2025 and 2024 amounted to 89.3 and 78.3 million liters, respectively.</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Europe &amp; International Adjusted EBITDA increased $9.9 million to $26.5 million for the fourth quarter of 2025 compared to $16.6 million in the prior year period. The improvement in Adjusted EBITDA was primarily driven by higher gross profit driven by higher revenue and continued supply chain productivity.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North America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North America revenue decreased $6.2 million, or 8.8%, to $64.4 million for the fourth quarter of 2025, compared to $70.6 million in the prior year period. The sold finished goods volume for the three months ended December 31, 2025 and 2024 amounted to 35.8 million and 41.1 million liters, respectively. The 12.6% volume decrease was primarily due to reduction in sales to the segment’s largest foodservice customer. Approximately 61% of North America revenue was from the retail channel in the fourth quarter of compared to 48% in the prior year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North America Adjusted EBITDA increased $3.1 million to $4.4 million for the fourth quarter of 2025, compared to $1.2 million in the prior year period. The increase in Adjusted EBITDA was primarily due to higher gross profit, largely driven by channel and product mix as well as supply chain performance offsetting lower fixed cost absorption driven by lower volumes.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Greater China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Greater China revenue increased $0.4 million, or 1.1%, to $35.7 million for the fourth quarter of 2025, compared to $35.3 million in the prior year period. Excluding a foreign currency exchange tailwind of $0.4 million in the quarter, Greater China revenue for the quarter was $35.2 million or a decrease of 0.1%. The Greater China segment slight decline was primarily driven by reduced sales in Foodservice, partially offset by growth in the retail channel. Approximately 66% of Greater China revenue was from the foodservice channel for the fourth quarter of 2025 compared to 76% in the prior year period. The sold finished goods volume for the three months ended December 31, 2025 and 2024 amounted to 32.5 million and 33.8 million liters,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Greater China Adjusted EBITDA increased $0.5 million to $1.1 million for the fourth quarter of 2025, compared to $0.6 million in the prior year period. The increase in EBITDA is explained by higher gross profit, driven by channel and product mix.</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Corporate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Oatly’s corporate expense, which consists of general costs not allocated to the segments, in the fourth quarter of 2025 was $23.9 million, a decrease of $4.8 million compared to the prior year period, driven by continuous efforts for reduction of expenses, partially offset by foreign currency exchange headwinds. Adjusted EBITDA in the fourth quarter of 2025 was a loss of $21.0 million compared to a loss of $24.5 million in the prior year period.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Balance Sheet and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 had cash and cash equivalents of $64.3 million and total outstanding debt of $523.0 million consisting of Nordic Bonds, Convertible Notes and liabilities to credit institutions. Net cash used in operating activities was $23.7 million for the twelve months ended December 31, 2025, compared to $114.4 million during the prior year period, which was primarily driven by improved operating results and improvements in net working capital.</w:t>
      </w:r>
    </w:p>
    <w:p>
      <w:pPr>
        <w:pStyle w:val="TextBody"/>
        <w:bidi w:val="0"/>
        <w:spacing w:before="12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previously disclosed, on September 30, 2025, the Company issued Nordic Bonds with an initial issue amount of SEK 1,700 million and entered into a SEK 750 million super senior revolving credit facility. Following the satisfaction of certain conditions, the proceeds from the Nordic Bonds were released to the Company from escrow on October 3, 2025, and used to prepay the Term Loan B Credit Agreement in full, repurchase and cancel an aggregate amount of $42.9 million of its U.S. Convertible Notes and pay related transaction costs. Further, on October 3, 2025, the Company cancelled, terminated, and replaced its existing revolving credit facility with the new super senior revolving credit facility. </w:t>
      </w:r>
    </w:p>
    <w:p>
      <w:pPr>
        <w:pStyle w:val="TextBody"/>
        <w:bidi w:val="0"/>
        <w:jc w:val="left"/>
        <w:rPr>
          <w:rFonts w:ascii="Times New Roman" w:hAnsi="Times New Roman"/>
          <w:color w:val="000000"/>
          <w:sz w:val="20"/>
        </w:rPr>
      </w:pPr>
      <w:r>
        <w:rPr>
          <w:rFonts w:ascii="Times New Roman" w:hAnsi="Times New Roman"/>
          <w:color w:val="000000"/>
          <w:sz w:val="20"/>
        </w:rPr>
        <w:t>Capital expenditures were $15.3 million for the twelve months ended December 31, 2025, compared to $41.2 million in the prior year period, driven by the Company’s continued discipline in how it invests as well as certain projects that were originally planned to be completed in 2025 are now expected to be completed in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Free cash flow was an outflow of $39.0 million for the twelve months ended December 31, 2025 compared to an outflow of $155.6 million during the prior year period. The improvement in free cash flow was driven by decreased net cash flows used in operating activities and lower capital expenditures.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Free Cash Flow is a non-IFRS liquidity measure defined under “Non-IFRS financial measures.” Please see “Reconciliation of IFRS to Non-IFRS Financial measures” at the end of this press release.</w:t>
      </w:r>
    </w:p>
    <w:p>
      <w:pPr>
        <w:pStyle w:val="TextBody"/>
        <w:bidi w:val="0"/>
        <w:spacing w:before="360" w:after="200"/>
        <w:jc w:val="both"/>
        <w:rPr>
          <w:rFonts w:ascii="Times New Roman" w:hAnsi="Times New Roman"/>
          <w:b/>
          <w:color w:val="000000"/>
          <w:sz w:val="20"/>
        </w:rPr>
      </w:pPr>
      <w:r>
        <w:rPr>
          <w:rFonts w:ascii="Times New Roman" w:hAnsi="Times New Roman"/>
          <w:b/>
          <w:color w:val="000000"/>
          <w:sz w:val="20"/>
        </w:rPr>
        <w:t>Strategic Review of Greater China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continues its strategic review of the Company’s Greater China business.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While there is no definitive timetable for completing the strategic review, the Company expects to complete the strategic review within 2026.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Outlook</w:t>
      </w:r>
    </w:p>
    <w:p>
      <w:pPr>
        <w:pStyle w:val="TextBody"/>
        <w:bidi w:val="0"/>
        <w:jc w:val="both"/>
        <w:rPr>
          <w:rFonts w:ascii="Times New Roman" w:hAnsi="Times New Roman"/>
          <w:color w:val="000000"/>
          <w:sz w:val="20"/>
        </w:rPr>
      </w:pPr>
      <w:r>
        <w:rPr>
          <w:rFonts w:ascii="Times New Roman" w:hAnsi="Times New Roman"/>
          <w:color w:val="000000"/>
          <w:sz w:val="20"/>
        </w:rPr>
        <w:t>The Company’s outlook continues to include the expected results of the Greater China segment. Based on the Company’s assessment of the current operating environment and the actions it is taking, the Company is providing its 2026 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Constant currency revenue growth is expected to be in the range of +3% to +5%. This includes an expected headwind of approximately 200 basis points from a large foodservice customer in the North America segment. Based on recent foreign exchange rates, the full-year impact of foreign exchange is expected to be a tailwind to revenue growth by approximately 100 to 200 basis points.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is expected to be in the range of $25 million to $35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are expected to be in the range of $20 million to $30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outlook is provided in the context of significant macroeconomic uncertainty and other geopolitical uncertainties.</w:t>
      </w:r>
    </w:p>
    <w:p>
      <w:pPr>
        <w:pStyle w:val="TextBody"/>
        <w:bidi w:val="0"/>
        <w:jc w:val="both"/>
        <w:rPr>
          <w:rFonts w:ascii="Times New Roman" w:hAnsi="Times New Roman"/>
          <w:color w:val="000000"/>
          <w:sz w:val="20"/>
        </w:rPr>
      </w:pPr>
      <w:r>
        <w:rPr>
          <w:rFonts w:ascii="Times New Roman" w:hAnsi="Times New Roman"/>
          <w:color w:val="000000"/>
          <w:sz w:val="20"/>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Conference Call, Webcast and Supplemental Presentation Details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About Oatly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more information, please visit www.oatly.com.</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known and unknown risks and uncertainties that could cause actual results to differ materially from those projected, including, without limitation: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Non-IFRS Financial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use EBITDA, Adjusted EBITDA, Constant Currency Revenue as non-IFRS financial measures in assessing our operating performance and Free Cash Flow as a non-IFRS liquidity measure, and each in our financial communications.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EBITDA” is defined as profit/(loss) for the period adjusted to exclude, when applicable, income tax expense, finance expenses, finance income and depreciation and amortization expense.</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Adjusted EBITDA” is defined as profit/(loss)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impacts related to discontinued construction of production facilities, expenses related to a new product launch issue and non-controlling interests.</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excludes depreciation and amortization expense and, although these are non-cash expenses, the assets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the cash required to service our debt, which reduces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 payments that reduce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recurring share-based compensation expense and, therefore, does not include all of our compensation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restructuring costs that reduce cash available to us in future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costs related to the strategic review of the Greater China business that reduce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the closure of production facility,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discontinued construction of production facilities,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expenses related to a new product launch issue that reduced cash available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may calculate Adjusted EBITDA differently, which reduces its usefulness as a comparative measure.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pStyle w:val="TextBody"/>
        <w:bidi w:val="0"/>
        <w:jc w:val="left"/>
        <w:rPr>
          <w:color w:val="000000"/>
        </w:rPr>
      </w:pPr>
      <w:r>
        <w:rPr>
          <w:color w:val="000000"/>
        </w:rPr>
        <w:t>“</w:t>
      </w:r>
      <w:r>
        <w:rPr>
          <w:rFonts w:ascii="Times New Roman" w:hAnsi="Times New Roman"/>
          <w:color w:val="000000"/>
          <w:sz w:val="20"/>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condensed consolidated financial statements appearing elsewhere in this document. Below we have provided a reconciliation of Free Cash Flow to net cash flows used in operating activities for the periods presented.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 further information:</w:t>
      </w:r>
    </w:p>
    <w:p>
      <w:pPr>
        <w:pStyle w:val="TextBody"/>
        <w:bidi w:val="0"/>
        <w:jc w:val="left"/>
        <w:rPr>
          <w:rFonts w:ascii="Times New Roman" w:hAnsi="Times New Roman"/>
          <w:b/>
          <w:color w:val="000000"/>
          <w:sz w:val="20"/>
        </w:rPr>
      </w:pPr>
      <w:r>
        <w:rPr>
          <w:rFonts w:ascii="Times New Roman" w:hAnsi="Times New Roman"/>
          <w:b/>
          <w:color w:val="000000"/>
          <w:sz w:val="20"/>
        </w:rPr>
        <w:br/>
        <w:t>Contact person</w:t>
      </w:r>
    </w:p>
    <w:p>
      <w:pPr>
        <w:pStyle w:val="TextBody"/>
        <w:bidi w:val="0"/>
        <w:jc w:val="left"/>
        <w:rPr>
          <w:rFonts w:ascii="Times New Roman" w:hAnsi="Times New Roman"/>
          <w:color w:val="000000"/>
          <w:sz w:val="20"/>
        </w:rPr>
      </w:pPr>
      <w:r>
        <w:rPr>
          <w:rFonts w:ascii="Times New Roman" w:hAnsi="Times New Roman"/>
          <w:color w:val="000000"/>
          <w:sz w:val="20"/>
        </w:rPr>
        <w:t>Brian Kearney, Vice President Investor Relations</w:t>
      </w:r>
    </w:p>
    <w:p>
      <w:pPr>
        <w:pStyle w:val="TextBody"/>
        <w:bidi w:val="0"/>
        <w:jc w:val="left"/>
        <w:rPr>
          <w:rFonts w:ascii="Times New Roman" w:hAnsi="Times New Roman"/>
          <w:sz w:val="20"/>
        </w:rPr>
      </w:pPr>
      <w:r>
        <w:rPr>
          <w:rFonts w:ascii="Times New Roman" w:hAnsi="Times New Roman"/>
          <w:color w:val="000000"/>
          <w:sz w:val="20"/>
        </w:rPr>
        <w:t xml:space="preserve">E-mail: </w:t>
      </w:r>
      <w:r>
        <w:rPr>
          <w:rFonts w:ascii="Times New Roman" w:hAnsi="Times New Roman"/>
          <w:color w:val="0000FF"/>
          <w:sz w:val="20"/>
          <w:u w:val="single"/>
        </w:rPr>
        <w:t>investors@oatly.com</w:t>
      </w:r>
      <w:r>
        <w:rPr>
          <w:rFonts w:ascii="Times New Roman" w:hAnsi="Times New Roman"/>
          <w:color w:val="000000"/>
          <w:sz w:val="20"/>
        </w:rPr>
        <w:t xml:space="preserve">, </w:t>
      </w:r>
      <w:r>
        <w:rPr>
          <w:rFonts w:ascii="Times New Roman" w:hAnsi="Times New Roman"/>
          <w:color w:val="0000FF"/>
          <w:sz w:val="20"/>
          <w:u w:val="single"/>
        </w:rPr>
        <w:t>press.us@oatly.com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information is information that Oatly Group AB (publ) is obliged to make public pursuant to the EU Market Abuse Regulation. The information was submitted for publication, through the agency of the contact person set out above, at 07:00 ET on February 11, 2026.</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Condensed consolidated statement of operations</w:t>
      </w:r>
    </w:p>
    <w:tbl>
      <w:tblPr>
        <w:tblW w:w="10205" w:type="dxa"/>
        <w:jc w:val="left"/>
        <w:tblInd w:w="0" w:type="dxa"/>
        <w:tblLayout w:type="fixed"/>
        <w:tblCellMar>
          <w:top w:w="28" w:type="dxa"/>
          <w:left w:w="28" w:type="dxa"/>
          <w:bottom w:w="28" w:type="dxa"/>
          <w:right w:w="28" w:type="dxa"/>
        </w:tblCellMar>
      </w:tblPr>
      <w:tblGrid>
        <w:gridCol w:w="3764"/>
        <w:gridCol w:w="146"/>
        <w:gridCol w:w="146"/>
        <w:gridCol w:w="1141"/>
        <w:gridCol w:w="166"/>
        <w:gridCol w:w="146"/>
        <w:gridCol w:w="146"/>
        <w:gridCol w:w="1141"/>
        <w:gridCol w:w="166"/>
        <w:gridCol w:w="146"/>
        <w:gridCol w:w="146"/>
        <w:gridCol w:w="1141"/>
        <w:gridCol w:w="166"/>
        <w:gridCol w:w="146"/>
        <w:gridCol w:w="146"/>
        <w:gridCol w:w="1141"/>
        <w:gridCol w:w="21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 except share and per share and ADS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Loss per ADS, attributable to shareholder of the parent </w:t>
              <w:br/>
              <w:t>(1 ADS representing 20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623,752,493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598,226,750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607,525,897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596,886,163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 of financial position</w:t>
      </w:r>
    </w:p>
    <w:tbl>
      <w:tblPr>
        <w:tblW w:w="7870" w:type="dxa"/>
        <w:jc w:val="left"/>
        <w:tblInd w:w="0" w:type="dxa"/>
        <w:tblLayout w:type="fixed"/>
        <w:tblCellMar>
          <w:top w:w="28" w:type="dxa"/>
          <w:left w:w="28" w:type="dxa"/>
          <w:bottom w:w="28" w:type="dxa"/>
          <w:right w:w="28" w:type="dxa"/>
        </w:tblCellMar>
      </w:tblPr>
      <w:tblGrid>
        <w:gridCol w:w="4201"/>
        <w:gridCol w:w="146"/>
        <w:gridCol w:w="192"/>
        <w:gridCol w:w="1308"/>
        <w:gridCol w:w="166"/>
        <w:gridCol w:w="146"/>
        <w:gridCol w:w="192"/>
        <w:gridCol w:w="1308"/>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504,854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162,797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697,857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 of cash flows</w:t>
      </w:r>
    </w:p>
    <w:tbl>
      <w:tblPr>
        <w:tblW w:w="10205" w:type="dxa"/>
        <w:jc w:val="left"/>
        <w:tblInd w:w="0" w:type="dxa"/>
        <w:tblLayout w:type="fixed"/>
        <w:tblCellMar>
          <w:top w:w="28" w:type="dxa"/>
          <w:left w:w="28" w:type="dxa"/>
          <w:bottom w:w="28" w:type="dxa"/>
          <w:right w:w="28" w:type="dxa"/>
        </w:tblCellMar>
      </w:tblPr>
      <w:tblGrid>
        <w:gridCol w:w="7188"/>
        <w:gridCol w:w="146"/>
        <w:gridCol w:w="157"/>
        <w:gridCol w:w="904"/>
        <w:gridCol w:w="178"/>
        <w:gridCol w:w="157"/>
        <w:gridCol w:w="157"/>
        <w:gridCol w:w="904"/>
        <w:gridCol w:w="414"/>
      </w:tblGrid>
      <w:tr>
        <w:trPr/>
        <w:tc>
          <w:tcPr>
            <w:tcW w:w="7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Depreciation of property, plant and equipment and right-of-use assets and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of property, plant and equipment and right-of-use assets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Write-downs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loss/(gain) on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Loss on disposal of property, plant and equipment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related to discontinued construction of production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related to closure of production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 in trade receivables, other current receivables,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Increase/(decrease) in trade payables, other current liabilities,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(23,723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(114,428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issue of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(27,288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(38,083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(150,967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64,345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98,923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IFRS to Non-IFRS Financial measures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Reconciliation of EBITDA and Adjusted EBITDA to loss for the period</w:t>
      </w:r>
    </w:p>
    <w:tbl>
      <w:tblPr>
        <w:tblW w:w="10205" w:type="dxa"/>
        <w:jc w:val="left"/>
        <w:tblInd w:w="0" w:type="dxa"/>
        <w:tblLayout w:type="fixed"/>
        <w:tblCellMar>
          <w:top w:w="28" w:type="dxa"/>
          <w:left w:w="28" w:type="dxa"/>
          <w:bottom w:w="28" w:type="dxa"/>
          <w:right w:w="28" w:type="dxa"/>
        </w:tblCellMar>
      </w:tblPr>
      <w:tblGrid>
        <w:gridCol w:w="4281"/>
        <w:gridCol w:w="146"/>
        <w:gridCol w:w="181"/>
        <w:gridCol w:w="915"/>
        <w:gridCol w:w="206"/>
        <w:gridCol w:w="181"/>
        <w:gridCol w:w="181"/>
        <w:gridCol w:w="915"/>
        <w:gridCol w:w="166"/>
        <w:gridCol w:w="146"/>
        <w:gridCol w:w="170"/>
        <w:gridCol w:w="984"/>
        <w:gridCol w:w="194"/>
        <w:gridCol w:w="170"/>
        <w:gridCol w:w="170"/>
        <w:gridCol w:w="984"/>
        <w:gridCol w:w="215"/>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Discontinued construction of production facilities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10,999</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rFonts w:ascii="Times New Roman" w:hAnsi="Times New Roman"/>
          <w:color w:val="000000"/>
          <w:sz w:val="18"/>
        </w:rPr>
      </w:pPr>
      <w:r>
        <w:rPr>
          <w:rFonts w:ascii="Times New Roman" w:hAnsi="Times New Roman"/>
          <w:color w:val="000000"/>
          <w:sz w:val="18"/>
        </w:rPr>
        <w:t>(1)Relates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(2)Relates to costs for the strategic review of the Greater China segment, mainly consisting of cost for external consultants.</w:t>
      </w:r>
    </w:p>
    <w:p>
      <w:pPr>
        <w:pStyle w:val="TextBody"/>
        <w:bidi w:val="0"/>
        <w:jc w:val="both"/>
        <w:rPr>
          <w:rFonts w:ascii="Times New Roman" w:hAnsi="Times New Roman"/>
          <w:color w:val="000000"/>
          <w:sz w:val="18"/>
        </w:rPr>
      </w:pPr>
      <w:r>
        <w:rPr>
          <w:rFonts w:ascii="Times New Roman" w:hAnsi="Times New Roman"/>
          <w:color w:val="000000"/>
          <w:sz w:val="18"/>
        </w:rPr>
        <w:t>(3)Relates to costs for the closure of the Group’s production facility in Singapore.</w:t>
      </w:r>
    </w:p>
    <w:p>
      <w:pPr>
        <w:pStyle w:val="TextBody"/>
        <w:bidi w:val="0"/>
        <w:jc w:val="both"/>
        <w:rPr>
          <w:rFonts w:ascii="Times New Roman" w:hAnsi="Times New Roman"/>
          <w:sz w:val="20"/>
        </w:rPr>
      </w:pPr>
      <w:r>
        <w:rPr>
          <w:rFonts w:ascii="Times New Roman" w:hAnsi="Times New Roman"/>
          <w:color w:val="000000"/>
          <w:sz w:val="18"/>
        </w:rPr>
        <w:t>(4)Relates primarily to non-cash impairments related to discontinued construction of the Group</w:t>
      </w:r>
      <w:r>
        <w:rPr>
          <w:rFonts w:ascii="Times New Roman" w:hAnsi="Times New Roman"/>
          <w:color w:val="000000"/>
          <w:sz w:val="20"/>
        </w:rPr>
        <w:t>’</w:t>
      </w:r>
      <w:r>
        <w:rPr>
          <w:rFonts w:ascii="Times New Roman" w:hAnsi="Times New Roman"/>
          <w:color w:val="000000"/>
          <w:sz w:val="18"/>
        </w:rPr>
        <w:t>s production facility in Peterborough, UK, reversal of previously recognized non-cash impairments related to discontinued construction of the Group</w:t>
      </w:r>
      <w:r>
        <w:rPr>
          <w:rFonts w:ascii="Times New Roman" w:hAnsi="Times New Roman"/>
          <w:color w:val="000000"/>
          <w:sz w:val="20"/>
        </w:rPr>
        <w:t>’</w:t>
      </w:r>
      <w:r>
        <w:rPr>
          <w:rFonts w:ascii="Times New Roman" w:hAnsi="Times New Roman"/>
          <w:color w:val="000000"/>
          <w:sz w:val="18"/>
        </w:rPr>
        <w:t>s production facility in Dallas-Fort Worth, Texas, and non-cash impairments related to discontinued construction of the Group</w:t>
      </w:r>
      <w:r>
        <w:rPr>
          <w:rFonts w:ascii="Times New Roman" w:hAnsi="Times New Roman"/>
          <w:color w:val="000000"/>
          <w:sz w:val="20"/>
        </w:rPr>
        <w:t>’</w:t>
      </w:r>
      <w:r>
        <w:rPr>
          <w:rFonts w:ascii="Times New Roman" w:hAnsi="Times New Roman"/>
          <w:color w:val="000000"/>
          <w:sz w:val="18"/>
        </w:rPr>
        <w:t>s second production facility in China (Asia III).</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(5)Expenses related to a new product launch issue.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Reconciliation of Free Cash Flow to Net Cash Flows used in Operating Activities</w:t>
      </w:r>
      <w:r>
        <w:rPr>
          <w:rFonts w:ascii="Times New Roman" w:hAnsi="Times New Roman"/>
          <w:color w:val="000000"/>
          <w:sz w:val="20"/>
        </w:rPr>
        <w:t xml:space="preserve"> </w:t>
      </w:r>
    </w:p>
    <w:tbl>
      <w:tblPr>
        <w:tblW w:w="9486" w:type="dxa"/>
        <w:jc w:val="left"/>
        <w:tblInd w:w="0" w:type="dxa"/>
        <w:tblLayout w:type="fixed"/>
        <w:tblCellMar>
          <w:top w:w="28" w:type="dxa"/>
          <w:left w:w="28" w:type="dxa"/>
          <w:bottom w:w="28" w:type="dxa"/>
          <w:right w:w="28" w:type="dxa"/>
        </w:tblCellMar>
      </w:tblPr>
      <w:tblGrid>
        <w:gridCol w:w="3541"/>
        <w:gridCol w:w="146"/>
        <w:gridCol w:w="192"/>
        <w:gridCol w:w="831"/>
        <w:gridCol w:w="218"/>
        <w:gridCol w:w="192"/>
        <w:gridCol w:w="192"/>
        <w:gridCol w:w="969"/>
        <w:gridCol w:w="166"/>
        <w:gridCol w:w="146"/>
        <w:gridCol w:w="179"/>
        <w:gridCol w:w="906"/>
        <w:gridCol w:w="204"/>
        <w:gridCol w:w="179"/>
        <w:gridCol w:w="179"/>
        <w:gridCol w:w="1035"/>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(7,843</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(38,977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(155,623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7292</Words>
  <Characters>40369</Characters>
  <CharactersWithSpaces>48812</CharactersWithSpaces>
  <Paragraphs>3692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