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83"/>
        </w:trPr>
        <w:tc>
          <w:tcPr>
            <w:tcW w:w="1940" w:type="dxa"/>
            <w:vAlign w:val="bottom"/>
          </w:tcPr>
          <w:p>
            <w:pPr>
              <w:spacing w:after="0"/>
              <w:rPr>
                <w:sz w:val="20"/>
                <w:szCs w:val="20"/>
                <w:color w:val="auto"/>
              </w:rPr>
            </w:pPr>
            <w:r>
              <w:rPr>
                <w:rFonts w:ascii="Times New Roman" w:cs="Times New Roman" w:eastAsia="Times New Roman" w:hAnsi="Times New Roman"/>
                <w:sz w:val="22"/>
                <w:szCs w:val="22"/>
                <w:color w:val="auto"/>
              </w:rPr>
              <w:t>SEC Form 3</w:t>
            </w:r>
          </w:p>
        </w:tc>
        <w:tc>
          <w:tcPr>
            <w:tcW w:w="6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1940" w:type="dxa"/>
            <w:vAlign w:val="bottom"/>
          </w:tcPr>
          <w:p>
            <w:pPr>
              <w:ind w:left="640"/>
              <w:spacing w:after="0" w:line="273" w:lineRule="exact"/>
              <w:rPr>
                <w:sz w:val="20"/>
                <w:szCs w:val="20"/>
                <w:color w:val="auto"/>
              </w:rPr>
            </w:pPr>
            <w:r>
              <w:rPr>
                <w:rFonts w:ascii="Arial" w:cs="Arial" w:eastAsia="Arial" w:hAnsi="Arial"/>
                <w:sz w:val="24"/>
                <w:szCs w:val="24"/>
                <w:b w:val="1"/>
                <w:bCs w:val="1"/>
                <w:color w:val="auto"/>
              </w:rPr>
              <w:t>FORM 3</w:t>
            </w:r>
          </w:p>
        </w:tc>
        <w:tc>
          <w:tcPr>
            <w:tcW w:w="6900" w:type="dxa"/>
            <w:vAlign w:val="bottom"/>
          </w:tcPr>
          <w:p>
            <w:pPr>
              <w:jc w:val="center"/>
              <w:ind w:left="10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4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940" w:type="dxa"/>
            <w:vAlign w:val="bottom"/>
          </w:tcPr>
          <w:p>
            <w:pPr>
              <w:spacing w:after="0"/>
              <w:rPr>
                <w:sz w:val="2"/>
                <w:szCs w:val="2"/>
                <w:color w:val="auto"/>
              </w:rPr>
            </w:pPr>
          </w:p>
        </w:tc>
        <w:tc>
          <w:tcPr>
            <w:tcW w:w="6900" w:type="dxa"/>
            <w:vAlign w:val="bottom"/>
            <w:vMerge w:val="restart"/>
          </w:tcPr>
          <w:p>
            <w:pPr>
              <w:jc w:val="center"/>
              <w:ind w:left="102"/>
              <w:spacing w:after="0" w:line="151"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1940" w:type="dxa"/>
            <w:vAlign w:val="bottom"/>
          </w:tcPr>
          <w:p>
            <w:pPr>
              <w:spacing w:after="0"/>
              <w:rPr>
                <w:sz w:val="8"/>
                <w:szCs w:val="8"/>
                <w:color w:val="auto"/>
              </w:rPr>
            </w:pPr>
          </w:p>
        </w:tc>
        <w:tc>
          <w:tcPr>
            <w:tcW w:w="69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0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1940" w:type="dxa"/>
            <w:vAlign w:val="bottom"/>
          </w:tcPr>
          <w:p>
            <w:pPr>
              <w:spacing w:after="0"/>
              <w:rPr>
                <w:sz w:val="10"/>
                <w:szCs w:val="10"/>
                <w:color w:val="auto"/>
              </w:rPr>
            </w:pPr>
          </w:p>
        </w:tc>
        <w:tc>
          <w:tcPr>
            <w:tcW w:w="69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1940" w:type="dxa"/>
            <w:vAlign w:val="bottom"/>
          </w:tcPr>
          <w:p>
            <w:pPr>
              <w:spacing w:after="0" w:line="20" w:lineRule="exact"/>
              <w:rPr>
                <w:sz w:val="1"/>
                <w:szCs w:val="1"/>
                <w:color w:val="auto"/>
              </w:rPr>
            </w:pPr>
          </w:p>
        </w:tc>
        <w:tc>
          <w:tcPr>
            <w:tcW w:w="6900" w:type="dxa"/>
            <w:vAlign w:val="bottom"/>
            <w:vMerge w:val="restart"/>
          </w:tcPr>
          <w:p>
            <w:pPr>
              <w:jc w:val="center"/>
              <w:ind w:left="102"/>
              <w:spacing w:after="0" w:line="197"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1940" w:type="dxa"/>
            <w:vAlign w:val="bottom"/>
          </w:tcPr>
          <w:p>
            <w:pPr>
              <w:spacing w:after="0"/>
              <w:rPr>
                <w:sz w:val="13"/>
                <w:szCs w:val="13"/>
                <w:color w:val="auto"/>
              </w:rPr>
            </w:pPr>
          </w:p>
        </w:tc>
        <w:tc>
          <w:tcPr>
            <w:tcW w:w="69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1940" w:type="dxa"/>
            <w:vAlign w:val="bottom"/>
          </w:tcPr>
          <w:p>
            <w:pPr>
              <w:spacing w:after="0"/>
              <w:rPr>
                <w:sz w:val="3"/>
                <w:szCs w:val="3"/>
                <w:color w:val="auto"/>
              </w:rPr>
            </w:pPr>
          </w:p>
        </w:tc>
        <w:tc>
          <w:tcPr>
            <w:tcW w:w="69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1940" w:type="dxa"/>
            <w:vAlign w:val="bottom"/>
          </w:tcPr>
          <w:p>
            <w:pPr>
              <w:spacing w:after="0"/>
              <w:rPr>
                <w:sz w:val="16"/>
                <w:szCs w:val="16"/>
                <w:color w:val="auto"/>
              </w:rPr>
            </w:pPr>
          </w:p>
        </w:tc>
        <w:tc>
          <w:tcPr>
            <w:tcW w:w="6900" w:type="dxa"/>
            <w:vAlign w:val="bottom"/>
            <w:vMerge w:val="restart"/>
          </w:tcPr>
          <w:p>
            <w:pPr>
              <w:jc w:val="center"/>
              <w:ind w:left="10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04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1940" w:type="dxa"/>
            <w:vAlign w:val="bottom"/>
          </w:tcPr>
          <w:p>
            <w:pPr>
              <w:spacing w:after="0"/>
              <w:rPr>
                <w:sz w:val="16"/>
                <w:szCs w:val="16"/>
                <w:color w:val="auto"/>
              </w:rPr>
            </w:pPr>
          </w:p>
        </w:tc>
        <w:tc>
          <w:tcPr>
            <w:tcW w:w="69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1940" w:type="dxa"/>
            <w:vAlign w:val="bottom"/>
          </w:tcPr>
          <w:p>
            <w:pPr>
              <w:spacing w:after="0"/>
              <w:rPr>
                <w:sz w:val="3"/>
                <w:szCs w:val="3"/>
                <w:color w:val="auto"/>
              </w:rPr>
            </w:pPr>
          </w:p>
        </w:tc>
        <w:tc>
          <w:tcPr>
            <w:tcW w:w="69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194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6885305</wp:posOffset>
            </wp:positionH>
            <wp:positionV relativeFrom="paragraph">
              <wp:posOffset>-656590</wp:posOffset>
            </wp:positionV>
            <wp:extent cx="59690" cy="6699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9925"/>
                    </a:xfrm>
                    <a:prstGeom prst="rect">
                      <a:avLst/>
                    </a:prstGeom>
                    <a:noFill/>
                  </pic:spPr>
                </pic:pic>
              </a:graphicData>
            </a:graphic>
          </wp:anchor>
        </w:drawing>
        <w:drawing>
          <wp:anchor simplePos="0" relativeHeight="251657728" behindDoc="1" locked="0" layoutInCell="0" allowOverlap="1">
            <wp:simplePos x="0" y="0"/>
            <wp:positionH relativeFrom="column">
              <wp:posOffset>5596255</wp:posOffset>
            </wp:positionH>
            <wp:positionV relativeFrom="paragraph">
              <wp:posOffset>-656590</wp:posOffset>
            </wp:positionV>
            <wp:extent cx="59690" cy="6699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92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6986905" cy="43745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86905" cy="4374515"/>
                    </a:xfrm>
                    <a:prstGeom prst="rect">
                      <a:avLst/>
                    </a:prstGeom>
                    <a:noFill/>
                  </pic:spPr>
                </pic:pic>
              </a:graphicData>
            </a:graphic>
          </wp:anchor>
        </w:drawing>
      </w:r>
    </w:p>
    <w:p>
      <w:pPr>
        <w:sectPr>
          <w:pgSz w:w="11900" w:h="16838" w:orient="portrait"/>
          <w:cols w:equalWidth="0" w:num="1">
            <w:col w:w="10980"/>
          </w:cols>
          <w:pgMar w:left="460" w:top="220" w:right="459" w:bottom="1440" w:gutter="0" w:footer="0" w:header="0"/>
        </w:sectPr>
      </w:pPr>
    </w:p>
    <w:p>
      <w:pPr>
        <w:spacing w:after="0" w:line="33"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14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4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120" w:type="dxa"/>
            <w:vAlign w:val="bottom"/>
            <w:gridSpan w:val="3"/>
            <w:vMerge w:val="restart"/>
          </w:tcPr>
          <w:p>
            <w:pPr>
              <w:ind w:left="40"/>
              <w:spacing w:after="0"/>
              <w:rPr>
                <w:rFonts w:ascii="Times New Roman" w:cs="Times New Roman" w:eastAsia="Times New Roman" w:hAnsi="Times New Roman"/>
                <w:sz w:val="22"/>
                <w:szCs w:val="22"/>
                <w:color w:val="0000EE"/>
              </w:rPr>
            </w:pPr>
            <w:hyperlink r:id="rId11">
              <w:r>
                <w:rPr>
                  <w:rFonts w:ascii="Times New Roman" w:cs="Times New Roman" w:eastAsia="Times New Roman" w:hAnsi="Times New Roman"/>
                  <w:sz w:val="22"/>
                  <w:szCs w:val="22"/>
                  <w:color w:val="0000EE"/>
                </w:rPr>
                <w:t>Broadbent Simon Kenneth James</w:t>
              </w:r>
            </w:hyperlink>
          </w:p>
        </w:tc>
        <w:tc>
          <w:tcPr>
            <w:tcW w:w="1380" w:type="dxa"/>
            <w:vAlign w:val="bottom"/>
          </w:tcPr>
          <w:p>
            <w:pPr>
              <w:ind w:left="140"/>
              <w:spacing w:after="0" w:line="123" w:lineRule="exact"/>
              <w:rPr>
                <w:sz w:val="20"/>
                <w:szCs w:val="20"/>
                <w:color w:val="auto"/>
              </w:rPr>
            </w:pPr>
            <w:r>
              <w:rPr>
                <w:rFonts w:ascii="Arial" w:cs="Arial" w:eastAsia="Arial" w:hAnsi="Arial"/>
                <w:sz w:val="14"/>
                <w:szCs w:val="14"/>
                <w:color w:val="auto"/>
                <w:w w:val="95"/>
              </w:rPr>
              <w:t>Requiring Statement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120" w:type="dxa"/>
            <w:vAlign w:val="bottom"/>
            <w:gridSpan w:val="3"/>
            <w:vMerge w:val="continue"/>
          </w:tcPr>
          <w:p>
            <w:pPr>
              <w:spacing w:after="0"/>
              <w:rPr>
                <w:sz w:val="12"/>
                <w:szCs w:val="12"/>
                <w:color w:val="auto"/>
              </w:rPr>
            </w:pPr>
          </w:p>
        </w:tc>
        <w:tc>
          <w:tcPr>
            <w:tcW w:w="1380" w:type="dxa"/>
            <w:vAlign w:val="bottom"/>
          </w:tcPr>
          <w:p>
            <w:pPr>
              <w:ind w:left="140"/>
              <w:spacing w:after="0" w:line="148"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2880" w:type="dxa"/>
            <w:vAlign w:val="bottom"/>
            <w:tcBorders>
              <w:top w:val="single" w:sz="8" w:color="0000EE"/>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1380" w:type="dxa"/>
            <w:vAlign w:val="bottom"/>
          </w:tcPr>
          <w:p>
            <w:pPr>
              <w:ind w:left="140"/>
              <w:spacing w:after="0" w:line="170" w:lineRule="exact"/>
              <w:rPr>
                <w:sz w:val="20"/>
                <w:szCs w:val="20"/>
                <w:color w:val="auto"/>
              </w:rPr>
            </w:pPr>
            <w:r>
              <w:rPr>
                <w:rFonts w:ascii="Times New Roman" w:cs="Times New Roman" w:eastAsia="Times New Roman" w:hAnsi="Times New Roman"/>
                <w:sz w:val="18"/>
                <w:szCs w:val="18"/>
                <w:color w:val="0000FF"/>
              </w:rPr>
              <w:t>03/18/2026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9"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2" w:lineRule="exact"/>
        <w:rPr>
          <w:sz w:val="24"/>
          <w:szCs w:val="24"/>
          <w:color w:val="auto"/>
        </w:rPr>
      </w:pPr>
    </w:p>
    <w:p>
      <w:pPr>
        <w:spacing w:after="0"/>
        <w:rPr>
          <w:rFonts w:ascii="Times New Roman" w:cs="Times New Roman" w:eastAsia="Times New Roman" w:hAnsi="Times New Roman"/>
          <w:sz w:val="22"/>
          <w:szCs w:val="22"/>
          <w:color w:val="0000EE"/>
        </w:rPr>
      </w:pPr>
      <w:hyperlink r:id="rId12">
        <w:r>
          <w:rPr>
            <w:rFonts w:ascii="Times New Roman" w:cs="Times New Roman" w:eastAsia="Times New Roman" w:hAnsi="Times New Roman"/>
            <w:sz w:val="22"/>
            <w:szCs w:val="22"/>
            <w:u w:val="single" w:color="auto"/>
            <w:color w:val="0000EE"/>
          </w:rPr>
          <w:t>Oatly Group AB</w:t>
        </w:r>
        <w:r>
          <w:rPr>
            <w:rFonts w:ascii="Times New Roman" w:cs="Times New Roman" w:eastAsia="Times New Roman" w:hAnsi="Times New Roman"/>
            <w:sz w:val="22"/>
            <w:szCs w:val="22"/>
            <w:color w:val="0000EE"/>
          </w:rPr>
          <w:t xml:space="preserve"> </w:t>
        </w:r>
      </w:hyperlink>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17"/>
          <w:szCs w:val="17"/>
          <w:color w:val="0000FF"/>
        </w:rPr>
        <w:t>OTLY</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22"/>
          <w:szCs w:val="22"/>
          <w:color w:val="000000"/>
        </w:rPr>
        <w:t>]</w:t>
      </w:r>
    </w:p>
    <w:p>
      <w:pPr>
        <w:spacing w:after="0" w:line="238" w:lineRule="exact"/>
        <w:rPr>
          <w:sz w:val="24"/>
          <w:szCs w:val="24"/>
          <w:color w:val="auto"/>
        </w:rPr>
      </w:pPr>
    </w:p>
    <w:p>
      <w:pPr>
        <w:sectPr>
          <w:pgSz w:w="11900" w:h="16838" w:orient="portrait"/>
          <w:cols w:equalWidth="0" w:num="2">
            <w:col w:w="4600" w:space="400"/>
            <w:col w:w="5980"/>
          </w:cols>
          <w:pgMar w:left="460" w:top="220" w:right="459" w:bottom="1440" w:gutter="0" w:footer="0" w:header="0"/>
          <w:type w:val="continuous"/>
        </w:sectPr>
      </w:pPr>
    </w:p>
    <w:p>
      <w:pPr>
        <w:spacing w:after="0" w:line="149" w:lineRule="exact"/>
        <w:rPr>
          <w:sz w:val="24"/>
          <w:szCs w:val="24"/>
          <w:color w:val="auto"/>
        </w:rPr>
      </w:pPr>
    </w:p>
    <w:tbl>
      <w:tblPr>
        <w:tblLayout w:type="fixed"/>
        <w:tblInd w:w="8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880" w:type="dxa"/>
            <w:vAlign w:val="bottom"/>
          </w:tcPr>
          <w:p>
            <w:pPr>
              <w:ind w:left="40"/>
              <w:spacing w:after="0"/>
              <w:rPr>
                <w:sz w:val="20"/>
                <w:szCs w:val="20"/>
                <w:color w:val="auto"/>
              </w:rPr>
            </w:pPr>
            <w:r>
              <w:rPr>
                <w:rFonts w:ascii="Arial" w:cs="Arial" w:eastAsia="Arial" w:hAnsi="Arial"/>
                <w:sz w:val="14"/>
                <w:szCs w:val="14"/>
                <w:color w:val="auto"/>
              </w:rPr>
              <w:t>(Last)</w:t>
            </w:r>
          </w:p>
        </w:tc>
        <w:tc>
          <w:tcPr>
            <w:tcW w:w="980" w:type="dxa"/>
            <w:vAlign w:val="bottom"/>
          </w:tcPr>
          <w:p>
            <w:pPr>
              <w:ind w:left="180"/>
              <w:spacing w:after="0"/>
              <w:rPr>
                <w:sz w:val="20"/>
                <w:szCs w:val="20"/>
                <w:color w:val="auto"/>
              </w:rPr>
            </w:pPr>
            <w:r>
              <w:rPr>
                <w:rFonts w:ascii="Arial" w:cs="Arial" w:eastAsia="Arial" w:hAnsi="Arial"/>
                <w:sz w:val="14"/>
                <w:szCs w:val="14"/>
                <w:color w:val="auto"/>
              </w:rPr>
              <w:t>(First)</w:t>
            </w:r>
          </w:p>
        </w:tc>
        <w:tc>
          <w:tcPr>
            <w:tcW w:w="1260" w:type="dxa"/>
            <w:vAlign w:val="bottom"/>
          </w:tcPr>
          <w:p>
            <w:pPr>
              <w:ind w:left="240"/>
              <w:spacing w:after="0"/>
              <w:rPr>
                <w:sz w:val="20"/>
                <w:szCs w:val="20"/>
                <w:color w:val="auto"/>
              </w:rPr>
            </w:pPr>
            <w:r>
              <w:rPr>
                <w:rFonts w:ascii="Arial" w:cs="Arial" w:eastAsia="Arial" w:hAnsi="Arial"/>
                <w:sz w:val="14"/>
                <w:szCs w:val="14"/>
                <w:color w:val="auto"/>
              </w:rPr>
              <w:t>(Middle)</w:t>
            </w:r>
          </w:p>
        </w:tc>
      </w:tr>
      <w:tr>
        <w:trPr>
          <w:trHeight w:val="281"/>
        </w:trPr>
        <w:tc>
          <w:tcPr>
            <w:tcW w:w="20" w:type="dxa"/>
            <w:vAlign w:val="bottom"/>
          </w:tcPr>
          <w:p>
            <w:pPr>
              <w:spacing w:after="0"/>
              <w:rPr>
                <w:sz w:val="24"/>
                <w:szCs w:val="24"/>
                <w:color w:val="auto"/>
              </w:rPr>
            </w:pPr>
          </w:p>
        </w:tc>
        <w:tc>
          <w:tcPr>
            <w:tcW w:w="18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ANGFARJEKAJEN 8</w:t>
            </w:r>
          </w:p>
        </w:tc>
        <w:tc>
          <w:tcPr>
            <w:tcW w:w="1260" w:type="dxa"/>
            <w:vAlign w:val="bottom"/>
          </w:tcPr>
          <w:p>
            <w:pPr>
              <w:spacing w:after="0"/>
              <w:rPr>
                <w:sz w:val="24"/>
                <w:szCs w:val="24"/>
                <w:color w:val="auto"/>
              </w:rPr>
            </w:pPr>
          </w:p>
        </w:tc>
      </w:tr>
      <w:tr>
        <w:trPr>
          <w:trHeight w:val="212"/>
        </w:trPr>
        <w:tc>
          <w:tcPr>
            <w:tcW w:w="20" w:type="dxa"/>
            <w:vAlign w:val="bottom"/>
          </w:tcPr>
          <w:p>
            <w:pPr>
              <w:spacing w:after="0"/>
              <w:rPr>
                <w:sz w:val="18"/>
                <w:szCs w:val="18"/>
                <w:color w:val="auto"/>
              </w:rPr>
            </w:pPr>
          </w:p>
        </w:tc>
        <w:tc>
          <w:tcPr>
            <w:tcW w:w="880" w:type="dxa"/>
            <w:vAlign w:val="bottom"/>
            <w:tcBorders>
              <w:bottom w:val="single" w:sz="8" w:color="9A9A9A"/>
            </w:tcBorders>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1260" w:type="dxa"/>
            <w:vAlign w:val="bottom"/>
            <w:tcBorders>
              <w:bottom w:val="single" w:sz="8" w:color="9A9A9A"/>
            </w:tcBorders>
          </w:tcPr>
          <w:p>
            <w:pPr>
              <w:spacing w:after="0"/>
              <w:rPr>
                <w:sz w:val="18"/>
                <w:szCs w:val="18"/>
                <w:color w:val="auto"/>
              </w:rPr>
            </w:pPr>
          </w:p>
        </w:tc>
      </w:tr>
      <w:tr>
        <w:trPr>
          <w:trHeight w:val="272"/>
        </w:trPr>
        <w:tc>
          <w:tcPr>
            <w:tcW w:w="9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8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40"/>
        </w:trPr>
        <w:tc>
          <w:tcPr>
            <w:tcW w:w="20" w:type="dxa"/>
            <w:vAlign w:val="bottom"/>
          </w:tcPr>
          <w:p>
            <w:pPr>
              <w:spacing w:after="0"/>
              <w:rPr>
                <w:sz w:val="20"/>
                <w:szCs w:val="20"/>
                <w:color w:val="auto"/>
              </w:rPr>
            </w:pPr>
          </w:p>
        </w:tc>
        <w:tc>
          <w:tcPr>
            <w:tcW w:w="8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MALMO</w:t>
            </w:r>
          </w:p>
        </w:tc>
        <w:tc>
          <w:tcPr>
            <w:tcW w:w="980" w:type="dxa"/>
            <w:vAlign w:val="bottom"/>
          </w:tcPr>
          <w:p>
            <w:pPr>
              <w:ind w:left="180"/>
              <w:spacing w:after="0"/>
              <w:rPr>
                <w:sz w:val="20"/>
                <w:szCs w:val="20"/>
                <w:color w:val="auto"/>
              </w:rPr>
            </w:pPr>
            <w:r>
              <w:rPr>
                <w:rFonts w:ascii="Times New Roman" w:cs="Times New Roman" w:eastAsia="Times New Roman" w:hAnsi="Times New Roman"/>
                <w:sz w:val="18"/>
                <w:szCs w:val="18"/>
                <w:color w:val="0000FF"/>
              </w:rPr>
              <w:t>V7</w:t>
            </w:r>
          </w:p>
        </w:tc>
        <w:tc>
          <w:tcPr>
            <w:tcW w:w="1260" w:type="dxa"/>
            <w:vAlign w:val="bottom"/>
          </w:tcPr>
          <w:p>
            <w:pPr>
              <w:ind w:left="240"/>
              <w:spacing w:after="0"/>
              <w:rPr>
                <w:sz w:val="20"/>
                <w:szCs w:val="20"/>
                <w:color w:val="auto"/>
              </w:rPr>
            </w:pPr>
            <w:r>
              <w:rPr>
                <w:rFonts w:ascii="Times New Roman" w:cs="Times New Roman" w:eastAsia="Times New Roman" w:hAnsi="Times New Roman"/>
                <w:sz w:val="18"/>
                <w:szCs w:val="18"/>
                <w:color w:val="0000FF"/>
              </w:rPr>
              <w:t>211 19</w:t>
            </w:r>
          </w:p>
        </w:tc>
      </w:tr>
      <w:tr>
        <w:trPr>
          <w:trHeight w:val="158"/>
        </w:trPr>
        <w:tc>
          <w:tcPr>
            <w:tcW w:w="20" w:type="dxa"/>
            <w:vAlign w:val="bottom"/>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r>
      <w:tr>
        <w:trPr>
          <w:trHeight w:val="313"/>
        </w:trPr>
        <w:tc>
          <w:tcPr>
            <w:tcW w:w="20" w:type="dxa"/>
            <w:vAlign w:val="bottom"/>
          </w:tcPr>
          <w:p>
            <w:pPr>
              <w:spacing w:after="0"/>
              <w:rPr>
                <w:sz w:val="24"/>
                <w:szCs w:val="24"/>
                <w:color w:val="auto"/>
              </w:rPr>
            </w:pPr>
          </w:p>
        </w:tc>
        <w:tc>
          <w:tcPr>
            <w:tcW w:w="880" w:type="dxa"/>
            <w:vAlign w:val="bottom"/>
          </w:tcPr>
          <w:p>
            <w:pPr>
              <w:ind w:left="40"/>
              <w:spacing w:after="0"/>
              <w:rPr>
                <w:sz w:val="20"/>
                <w:szCs w:val="20"/>
                <w:color w:val="auto"/>
              </w:rPr>
            </w:pPr>
            <w:r>
              <w:rPr>
                <w:rFonts w:ascii="Arial" w:cs="Arial" w:eastAsia="Arial" w:hAnsi="Arial"/>
                <w:sz w:val="14"/>
                <w:szCs w:val="14"/>
                <w:color w:val="auto"/>
              </w:rPr>
              <w:t>(City)</w:t>
            </w:r>
          </w:p>
        </w:tc>
        <w:tc>
          <w:tcPr>
            <w:tcW w:w="980" w:type="dxa"/>
            <w:vAlign w:val="bottom"/>
          </w:tcPr>
          <w:p>
            <w:pPr>
              <w:ind w:left="180"/>
              <w:spacing w:after="0"/>
              <w:rPr>
                <w:sz w:val="20"/>
                <w:szCs w:val="20"/>
                <w:color w:val="auto"/>
              </w:rPr>
            </w:pPr>
            <w:r>
              <w:rPr>
                <w:rFonts w:ascii="Arial" w:cs="Arial" w:eastAsia="Arial" w:hAnsi="Arial"/>
                <w:sz w:val="14"/>
                <w:szCs w:val="14"/>
                <w:color w:val="auto"/>
              </w:rPr>
              <w:t>(State)</w:t>
            </w:r>
          </w:p>
        </w:tc>
        <w:tc>
          <w:tcPr>
            <w:tcW w:w="1260" w:type="dxa"/>
            <w:vAlign w:val="bottom"/>
          </w:tcPr>
          <w:p>
            <w:pPr>
              <w:ind w:left="2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3" w:right="60" w:firstLine="3"/>
        <w:spacing w:after="0" w:line="245" w:lineRule="auto"/>
        <w:tabs>
          <w:tab w:leader="none" w:pos="148"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10" w:lineRule="exact"/>
        <w:rPr>
          <w:sz w:val="24"/>
          <w:szCs w:val="24"/>
          <w:color w:val="auto"/>
        </w:rPr>
      </w:pPr>
    </w:p>
    <w:p>
      <w:pPr>
        <w:ind w:left="537"/>
        <w:spacing w:after="0"/>
        <w:tabs>
          <w:tab w:leader="none" w:pos="2057" w:val="left"/>
        </w:tabs>
        <w:rPr>
          <w:sz w:val="20"/>
          <w:szCs w:val="20"/>
          <w:color w:val="auto"/>
        </w:rPr>
      </w:pPr>
      <w:r>
        <w:rPr>
          <w:rFonts w:ascii="Arial" w:cs="Arial" w:eastAsia="Arial" w:hAnsi="Arial"/>
          <w:sz w:val="14"/>
          <w:szCs w:val="14"/>
          <w:color w:val="auto"/>
        </w:rPr>
        <w:t>Director</w:t>
      </w:r>
      <w:r>
        <w:rPr>
          <w:sz w:val="20"/>
          <w:szCs w:val="20"/>
          <w:color w:val="auto"/>
        </w:rPr>
        <w:tab/>
      </w:r>
      <w:r>
        <w:rPr>
          <w:rFonts w:ascii="Arial" w:cs="Arial" w:eastAsia="Arial" w:hAnsi="Arial"/>
          <w:sz w:val="14"/>
          <w:szCs w:val="14"/>
          <w:color w:val="auto"/>
        </w:rPr>
        <w:t>10% Owner</w:t>
      </w:r>
    </w:p>
    <w:p>
      <w:pPr>
        <w:spacing w:after="0" w:line="42"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37"/>
        <w:spacing w:after="0"/>
        <w:tabs>
          <w:tab w:leader="none" w:pos="2057"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8" w:lineRule="exact"/>
        <w:rPr>
          <w:sz w:val="24"/>
          <w:szCs w:val="24"/>
          <w:color w:val="auto"/>
        </w:rPr>
      </w:pPr>
    </w:p>
    <w:p>
      <w:pPr>
        <w:ind w:left="717"/>
        <w:spacing w:after="0"/>
        <w:rPr>
          <w:sz w:val="20"/>
          <w:szCs w:val="20"/>
          <w:color w:val="auto"/>
        </w:rPr>
      </w:pPr>
      <w:r>
        <w:rPr>
          <w:rFonts w:ascii="Times New Roman" w:cs="Times New Roman" w:eastAsia="Times New Roman" w:hAnsi="Times New Roman"/>
          <w:sz w:val="18"/>
          <w:szCs w:val="18"/>
          <w:color w:val="0000FF"/>
        </w:rPr>
        <w:t>SVP Operations &amp; Sust.</w:t>
      </w:r>
    </w:p>
    <w:p>
      <w:pPr>
        <w:spacing w:after="0" w:line="20" w:lineRule="exact"/>
        <w:rPr>
          <w:sz w:val="24"/>
          <w:szCs w:val="24"/>
          <w:color w:val="auto"/>
        </w:rPr>
      </w:pPr>
      <w:r>
        <w:rPr>
          <w:sz w:val="24"/>
          <w:szCs w:val="24"/>
          <w:color w:val="auto"/>
        </w:rPr>
        <w:br w:type="column"/>
      </w:r>
    </w:p>
    <w:p>
      <w:pPr>
        <w:ind w:left="2" w:right="360" w:hanging="2"/>
        <w:spacing w:after="0" w:line="245" w:lineRule="auto"/>
        <w:tabs>
          <w:tab w:leader="none" w:pos="152"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12" w:lineRule="exact"/>
        <w:rPr>
          <w:rFonts w:ascii="Arial" w:cs="Arial" w:eastAsia="Arial" w:hAnsi="Arial"/>
          <w:sz w:val="14"/>
          <w:szCs w:val="14"/>
          <w:color w:val="auto"/>
        </w:rPr>
      </w:pPr>
    </w:p>
    <w:p>
      <w:pPr>
        <w:ind w:left="2" w:right="260" w:hanging="2"/>
        <w:spacing w:after="0" w:line="245" w:lineRule="auto"/>
        <w:tabs>
          <w:tab w:leader="none" w:pos="152"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10" w:lineRule="exact"/>
        <w:rPr>
          <w:sz w:val="24"/>
          <w:szCs w:val="24"/>
          <w:color w:val="auto"/>
        </w:rPr>
      </w:pPr>
    </w:p>
    <w:p>
      <w:pPr>
        <w:ind w:left="462" w:right="540"/>
        <w:spacing w:after="0" w:line="245" w:lineRule="auto"/>
        <w:rPr>
          <w:sz w:val="20"/>
          <w:szCs w:val="20"/>
          <w:color w:val="auto"/>
        </w:rPr>
      </w:pPr>
      <w:r>
        <w:rPr>
          <w:rFonts w:ascii="Arial" w:cs="Arial" w:eastAsia="Arial" w:hAnsi="Arial"/>
          <w:sz w:val="14"/>
          <w:szCs w:val="14"/>
          <w:color w:val="auto"/>
        </w:rPr>
        <w:t>Form filed by One Reporting Person</w:t>
      </w:r>
    </w:p>
    <w:p>
      <w:pPr>
        <w:spacing w:after="0" w:line="23" w:lineRule="exact"/>
        <w:rPr>
          <w:sz w:val="24"/>
          <w:szCs w:val="24"/>
          <w:color w:val="auto"/>
        </w:rPr>
      </w:pPr>
    </w:p>
    <w:p>
      <w:pPr>
        <w:ind w:left="462" w:right="520"/>
        <w:spacing w:after="0" w:line="245" w:lineRule="auto"/>
        <w:rPr>
          <w:sz w:val="20"/>
          <w:szCs w:val="20"/>
          <w:color w:val="auto"/>
        </w:rPr>
      </w:pPr>
      <w:r>
        <w:rPr>
          <w:rFonts w:ascii="Arial" w:cs="Arial" w:eastAsia="Arial" w:hAnsi="Arial"/>
          <w:sz w:val="14"/>
          <w:szCs w:val="14"/>
          <w:color w:val="auto"/>
        </w:rPr>
        <w:t>Form filed by More than One Reporting Person</w:t>
      </w:r>
    </w:p>
    <w:p>
      <w:pPr>
        <w:spacing w:after="0" w:line="453" w:lineRule="exact"/>
        <w:rPr>
          <w:sz w:val="24"/>
          <w:szCs w:val="24"/>
          <w:color w:val="auto"/>
        </w:rPr>
      </w:pPr>
    </w:p>
    <w:p>
      <w:pPr>
        <w:sectPr>
          <w:pgSz w:w="11900" w:h="16838" w:orient="portrait"/>
          <w:cols w:equalWidth="0" w:num="3">
            <w:col w:w="4283" w:space="720"/>
            <w:col w:w="2917" w:space="358"/>
            <w:col w:w="2702"/>
          </w:cols>
          <w:pgMar w:left="460" w:top="220" w:right="45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19"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3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500" w:type="dxa"/>
            <w:vAlign w:val="bottom"/>
          </w:tcPr>
          <w:p>
            <w:pPr>
              <w:ind w:left="1540"/>
              <w:spacing w:after="0"/>
              <w:rPr>
                <w:sz w:val="20"/>
                <w:szCs w:val="20"/>
                <w:color w:val="auto"/>
              </w:rPr>
            </w:pPr>
            <w:r>
              <w:rPr>
                <w:rFonts w:ascii="Arial" w:cs="Arial" w:eastAsia="Arial" w:hAnsi="Arial"/>
                <w:sz w:val="14"/>
                <w:szCs w:val="14"/>
                <w:b w:val="1"/>
                <w:bCs w:val="1"/>
                <w:color w:val="auto"/>
              </w:rPr>
              <w:t>2. Amount of Securities</w:t>
            </w:r>
          </w:p>
        </w:tc>
        <w:tc>
          <w:tcPr>
            <w:tcW w:w="1240" w:type="dxa"/>
            <w:vAlign w:val="bottom"/>
          </w:tcPr>
          <w:p>
            <w:pPr>
              <w:ind w:left="140"/>
              <w:spacing w:after="0"/>
              <w:rPr>
                <w:sz w:val="20"/>
                <w:szCs w:val="20"/>
                <w:color w:val="auto"/>
              </w:rPr>
            </w:pPr>
            <w:r>
              <w:rPr>
                <w:rFonts w:ascii="Arial" w:cs="Arial" w:eastAsia="Arial" w:hAnsi="Arial"/>
                <w:sz w:val="14"/>
                <w:szCs w:val="14"/>
                <w:b w:val="1"/>
                <w:bCs w:val="1"/>
                <w:color w:val="auto"/>
              </w:rPr>
              <w:t>3. Ownership</w:t>
            </w:r>
          </w:p>
        </w:tc>
        <w:tc>
          <w:tcPr>
            <w:tcW w:w="2860" w:type="dxa"/>
            <w:vAlign w:val="bottom"/>
          </w:tcPr>
          <w:p>
            <w:pPr>
              <w:ind w:left="80"/>
              <w:spacing w:after="0"/>
              <w:rPr>
                <w:sz w:val="20"/>
                <w:szCs w:val="20"/>
                <w:color w:val="auto"/>
              </w:rPr>
            </w:pPr>
            <w:r>
              <w:rPr>
                <w:rFonts w:ascii="Arial" w:cs="Arial" w:eastAsia="Arial" w:hAnsi="Arial"/>
                <w:sz w:val="14"/>
                <w:szCs w:val="14"/>
                <w:b w:val="1"/>
                <w:bCs w:val="1"/>
                <w:color w:val="auto"/>
                <w:w w:val="99"/>
              </w:rPr>
              <w:t>4. Nature of Indirect Beneficial Ownership</w:t>
            </w:r>
          </w:p>
        </w:tc>
      </w:tr>
      <w:tr>
        <w:trPr>
          <w:trHeight w:val="149"/>
        </w:trPr>
        <w:tc>
          <w:tcPr>
            <w:tcW w:w="3340" w:type="dxa"/>
            <w:vAlign w:val="bottom"/>
          </w:tcPr>
          <w:p>
            <w:pPr>
              <w:spacing w:after="0"/>
              <w:rPr>
                <w:sz w:val="12"/>
                <w:szCs w:val="12"/>
                <w:color w:val="auto"/>
              </w:rPr>
            </w:pPr>
          </w:p>
        </w:tc>
        <w:tc>
          <w:tcPr>
            <w:tcW w:w="3500" w:type="dxa"/>
            <w:vAlign w:val="bottom"/>
          </w:tcPr>
          <w:p>
            <w:pPr>
              <w:ind w:left="15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240" w:type="dxa"/>
            <w:vAlign w:val="bottom"/>
          </w:tcPr>
          <w:p>
            <w:pPr>
              <w:ind w:left="140"/>
              <w:spacing w:after="0" w:line="149" w:lineRule="exact"/>
              <w:rPr>
                <w:sz w:val="20"/>
                <w:szCs w:val="20"/>
                <w:color w:val="auto"/>
              </w:rPr>
            </w:pPr>
            <w:r>
              <w:rPr>
                <w:rFonts w:ascii="Arial" w:cs="Arial" w:eastAsia="Arial" w:hAnsi="Arial"/>
                <w:sz w:val="14"/>
                <w:szCs w:val="14"/>
                <w:b w:val="1"/>
                <w:bCs w:val="1"/>
                <w:color w:val="auto"/>
              </w:rPr>
              <w:t>Form: Direct (D)</w:t>
            </w:r>
          </w:p>
        </w:tc>
        <w:tc>
          <w:tcPr>
            <w:tcW w:w="286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34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240" w:type="dxa"/>
            <w:vAlign w:val="bottom"/>
          </w:tcPr>
          <w:p>
            <w:pPr>
              <w:ind w:left="140"/>
              <w:spacing w:after="0" w:line="149" w:lineRule="exact"/>
              <w:rPr>
                <w:sz w:val="20"/>
                <w:szCs w:val="20"/>
                <w:color w:val="auto"/>
              </w:rPr>
            </w:pPr>
            <w:r>
              <w:rPr>
                <w:rFonts w:ascii="Arial" w:cs="Arial" w:eastAsia="Arial" w:hAnsi="Arial"/>
                <w:sz w:val="14"/>
                <w:szCs w:val="14"/>
                <w:b w:val="1"/>
                <w:bCs w:val="1"/>
                <w:color w:val="auto"/>
              </w:rPr>
              <w:t>or Indirect (I)</w:t>
            </w:r>
          </w:p>
        </w:tc>
        <w:tc>
          <w:tcPr>
            <w:tcW w:w="2860" w:type="dxa"/>
            <w:vAlign w:val="bottom"/>
          </w:tcPr>
          <w:p>
            <w:pPr>
              <w:spacing w:after="0"/>
              <w:rPr>
                <w:sz w:val="12"/>
                <w:szCs w:val="12"/>
                <w:color w:val="auto"/>
              </w:rPr>
            </w:pPr>
          </w:p>
        </w:tc>
      </w:tr>
      <w:tr>
        <w:trPr>
          <w:trHeight w:val="186"/>
        </w:trPr>
        <w:tc>
          <w:tcPr>
            <w:tcW w:w="334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1240" w:type="dxa"/>
            <w:vAlign w:val="bottom"/>
          </w:tcPr>
          <w:p>
            <w:pPr>
              <w:ind w:left="140"/>
              <w:spacing w:after="0"/>
              <w:rPr>
                <w:sz w:val="20"/>
                <w:szCs w:val="20"/>
                <w:color w:val="auto"/>
              </w:rPr>
            </w:pPr>
            <w:r>
              <w:rPr>
                <w:rFonts w:ascii="Arial" w:cs="Arial" w:eastAsia="Arial" w:hAnsi="Arial"/>
                <w:sz w:val="14"/>
                <w:szCs w:val="14"/>
                <w:b w:val="1"/>
                <w:bCs w:val="1"/>
                <w:color w:val="auto"/>
              </w:rPr>
              <w:t>(Instr. 5)</w:t>
            </w:r>
          </w:p>
        </w:tc>
        <w:tc>
          <w:tcPr>
            <w:tcW w:w="2860" w:type="dxa"/>
            <w:vAlign w:val="bottom"/>
          </w:tcPr>
          <w:p>
            <w:pPr>
              <w:spacing w:after="0"/>
              <w:rPr>
                <w:sz w:val="16"/>
                <w:szCs w:val="16"/>
                <w:color w:val="auto"/>
              </w:rPr>
            </w:pPr>
          </w:p>
        </w:tc>
      </w:tr>
      <w:tr>
        <w:trPr>
          <w:trHeight w:val="38"/>
        </w:trPr>
        <w:tc>
          <w:tcPr>
            <w:tcW w:w="3340" w:type="dxa"/>
            <w:vAlign w:val="bottom"/>
            <w:tcBorders>
              <w:bottom w:val="single" w:sz="8" w:color="2C2C2C"/>
            </w:tcBorders>
          </w:tcPr>
          <w:p>
            <w:pPr>
              <w:spacing w:after="0"/>
              <w:rPr>
                <w:sz w:val="3"/>
                <w:szCs w:val="3"/>
                <w:color w:val="auto"/>
              </w:rPr>
            </w:pPr>
          </w:p>
        </w:tc>
        <w:tc>
          <w:tcPr>
            <w:tcW w:w="350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0" w:lineRule="exact"/>
        <w:rPr>
          <w:sz w:val="24"/>
          <w:szCs w:val="24"/>
          <w:color w:val="auto"/>
        </w:rPr>
      </w:pPr>
    </w:p>
    <w:tbl>
      <w:tblPr>
        <w:tblLayout w:type="fixed"/>
        <w:tblInd w:w="0" w:type="dxa"/>
        <w:tblCellMar>
          <w:top w:w="0" w:type="dxa"/>
          <w:left w:w="0" w:type="dxa"/>
          <w:bottom w:w="0" w:type="dxa"/>
          <w:right w:w="0" w:type="dxa"/>
        </w:tblCellMar>
      </w:tblPr>
      <w:tr>
        <w:trPr>
          <w:trHeight w:val="292"/>
        </w:trPr>
        <w:tc>
          <w:tcPr>
            <w:tcW w:w="20" w:type="dxa"/>
            <w:vAlign w:val="bottom"/>
          </w:tcPr>
          <w:p>
            <w:pPr>
              <w:spacing w:after="0"/>
              <w:rPr>
                <w:sz w:val="24"/>
                <w:szCs w:val="24"/>
                <w:color w:val="auto"/>
              </w:rPr>
            </w:pPr>
          </w:p>
        </w:tc>
        <w:tc>
          <w:tcPr>
            <w:tcW w:w="27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8"/>
                <w:szCs w:val="18"/>
                <w:color w:val="0000FF"/>
              </w:rPr>
              <w:t>Ordinary Shares</w:t>
            </w:r>
            <w:r>
              <w:rPr>
                <w:rFonts w:ascii="Times New Roman" w:cs="Times New Roman" w:eastAsia="Times New Roman" w:hAnsi="Times New Roman"/>
                <w:sz w:val="22"/>
                <w:szCs w:val="22"/>
                <w:color w:val="008000"/>
                <w:vertAlign w:val="superscript"/>
              </w:rPr>
              <w:t>(1)</w:t>
            </w:r>
          </w:p>
        </w:tc>
        <w:tc>
          <w:tcPr>
            <w:tcW w:w="6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tcPr>
          <w:p>
            <w:pPr>
              <w:jc w:val="right"/>
              <w:ind w:right="444"/>
              <w:spacing w:after="0"/>
              <w:rPr>
                <w:sz w:val="20"/>
                <w:szCs w:val="20"/>
                <w:color w:val="auto"/>
              </w:rPr>
            </w:pPr>
            <w:r>
              <w:rPr>
                <w:rFonts w:ascii="Times New Roman" w:cs="Times New Roman" w:eastAsia="Times New Roman" w:hAnsi="Times New Roman"/>
                <w:sz w:val="18"/>
                <w:szCs w:val="18"/>
                <w:color w:val="0000FF"/>
              </w:rPr>
              <w:t>381,186</w:t>
            </w:r>
          </w:p>
        </w:tc>
        <w:tc>
          <w:tcPr>
            <w:tcW w:w="980" w:type="dxa"/>
            <w:vAlign w:val="bottom"/>
            <w:tcBorders>
              <w:bottom w:val="single" w:sz="8" w:color="2C2C2C"/>
            </w:tcBorders>
          </w:tcPr>
          <w:p>
            <w:pPr>
              <w:ind w:left="780"/>
              <w:spacing w:after="0"/>
              <w:rPr>
                <w:sz w:val="20"/>
                <w:szCs w:val="20"/>
                <w:color w:val="auto"/>
              </w:rPr>
            </w:pPr>
            <w:r>
              <w:rPr>
                <w:rFonts w:ascii="Times New Roman" w:cs="Times New Roman" w:eastAsia="Times New Roman" w:hAnsi="Times New Roman"/>
                <w:sz w:val="18"/>
                <w:szCs w:val="18"/>
                <w:color w:val="0000FF"/>
              </w:rPr>
              <w:t>D</w:t>
            </w:r>
          </w:p>
        </w:tc>
        <w:tc>
          <w:tcPr>
            <w:tcW w:w="9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7"/>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8"/>
                <w:szCs w:val="18"/>
                <w:color w:val="0000FF"/>
              </w:rPr>
              <w:t>ADSs</w:t>
            </w:r>
            <w:r>
              <w:rPr>
                <w:rFonts w:ascii="Times New Roman" w:cs="Times New Roman" w:eastAsia="Times New Roman" w:hAnsi="Times New Roman"/>
                <w:sz w:val="22"/>
                <w:szCs w:val="22"/>
                <w:color w:val="008000"/>
                <w:vertAlign w:val="superscript"/>
              </w:rPr>
              <w:t>(2)</w:t>
            </w:r>
          </w:p>
        </w:tc>
        <w:tc>
          <w:tcPr>
            <w:tcW w:w="6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tcPr>
          <w:p>
            <w:pPr>
              <w:jc w:val="right"/>
              <w:ind w:right="484"/>
              <w:spacing w:after="0"/>
              <w:rPr>
                <w:sz w:val="20"/>
                <w:szCs w:val="20"/>
                <w:color w:val="auto"/>
              </w:rPr>
            </w:pPr>
            <w:r>
              <w:rPr>
                <w:rFonts w:ascii="Times New Roman" w:cs="Times New Roman" w:eastAsia="Times New Roman" w:hAnsi="Times New Roman"/>
                <w:sz w:val="18"/>
                <w:szCs w:val="18"/>
                <w:color w:val="0000FF"/>
              </w:rPr>
              <w:t>35,840</w:t>
            </w:r>
          </w:p>
        </w:tc>
        <w:tc>
          <w:tcPr>
            <w:tcW w:w="980" w:type="dxa"/>
            <w:vAlign w:val="bottom"/>
            <w:tcBorders>
              <w:bottom w:val="single" w:sz="8" w:color="2C2C2C"/>
            </w:tcBorders>
          </w:tcPr>
          <w:p>
            <w:pPr>
              <w:ind w:left="780"/>
              <w:spacing w:after="0"/>
              <w:rPr>
                <w:sz w:val="20"/>
                <w:szCs w:val="20"/>
                <w:color w:val="auto"/>
              </w:rPr>
            </w:pPr>
            <w:r>
              <w:rPr>
                <w:rFonts w:ascii="Times New Roman" w:cs="Times New Roman" w:eastAsia="Times New Roman" w:hAnsi="Times New Roman"/>
                <w:sz w:val="18"/>
                <w:szCs w:val="18"/>
                <w:color w:val="0000FF"/>
              </w:rPr>
              <w:t>D</w:t>
            </w:r>
          </w:p>
        </w:tc>
        <w:tc>
          <w:tcPr>
            <w:tcW w:w="9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0" w:type="dxa"/>
            <w:vAlign w:val="bottom"/>
            <w:tcBorders>
              <w:top w:val="single" w:sz="8" w:color="808080"/>
            </w:tcBorders>
          </w:tcPr>
          <w:p>
            <w:pPr>
              <w:spacing w:after="0"/>
              <w:rPr>
                <w:sz w:val="19"/>
                <w:szCs w:val="19"/>
                <w:color w:val="auto"/>
              </w:rPr>
            </w:pPr>
          </w:p>
        </w:tc>
        <w:tc>
          <w:tcPr>
            <w:tcW w:w="276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4280" w:type="dxa"/>
            <w:vAlign w:val="bottom"/>
            <w:tcBorders>
              <w:top w:val="single" w:sz="8" w:color="2C2C2C"/>
            </w:tcBorders>
            <w:gridSpan w:val="4"/>
          </w:tcPr>
          <w:p>
            <w:pPr>
              <w:ind w:left="40"/>
              <w:spacing w:after="0"/>
              <w:rPr>
                <w:sz w:val="20"/>
                <w:szCs w:val="20"/>
                <w:color w:val="auto"/>
              </w:rPr>
            </w:pPr>
            <w:r>
              <w:rPr>
                <w:rFonts w:ascii="Arial" w:cs="Arial" w:eastAsia="Arial" w:hAnsi="Arial"/>
                <w:sz w:val="18"/>
                <w:szCs w:val="18"/>
                <w:b w:val="1"/>
                <w:bCs w:val="1"/>
                <w:color w:val="auto"/>
                <w:w w:val="99"/>
              </w:rPr>
              <w:t>Table II - Derivative Securities Beneficially Owned</w:t>
            </w:r>
          </w:p>
        </w:tc>
        <w:tc>
          <w:tcPr>
            <w:tcW w:w="90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15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5780" w:type="dxa"/>
            <w:vAlign w:val="bottom"/>
            <w:gridSpan w:val="6"/>
          </w:tcPr>
          <w:p>
            <w:pPr>
              <w:ind w:left="2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260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76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60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60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90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6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560" w:type="dxa"/>
            <w:vAlign w:val="bottom"/>
            <w:gridSpan w:val="2"/>
          </w:tcPr>
          <w:p>
            <w:pPr>
              <w:ind w:left="8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6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Underlying Derivative Security (Instr.</w:t>
            </w: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6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56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62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4)</w:t>
            </w:r>
          </w:p>
        </w:tc>
        <w:tc>
          <w:tcPr>
            <w:tcW w:w="980" w:type="dxa"/>
            <w:vAlign w:val="bottom"/>
          </w:tcPr>
          <w:p>
            <w:pPr>
              <w:spacing w:after="0"/>
              <w:rPr>
                <w:sz w:val="12"/>
                <w:szCs w:val="12"/>
                <w:color w:val="auto"/>
              </w:rPr>
            </w:pP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6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56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760" w:type="dxa"/>
            <w:vAlign w:val="bottom"/>
          </w:tcPr>
          <w:p>
            <w:pPr>
              <w:spacing w:after="0"/>
              <w:rPr>
                <w:sz w:val="6"/>
                <w:szCs w:val="6"/>
                <w:color w:val="auto"/>
              </w:rPr>
            </w:pPr>
          </w:p>
        </w:tc>
        <w:tc>
          <w:tcPr>
            <w:tcW w:w="6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6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6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5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6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620" w:type="dxa"/>
            <w:vAlign w:val="bottom"/>
          </w:tcPr>
          <w:p>
            <w:pPr>
              <w:spacing w:after="0"/>
              <w:rPr>
                <w:sz w:val="4"/>
                <w:szCs w:val="4"/>
                <w:color w:val="auto"/>
              </w:rPr>
            </w:pPr>
          </w:p>
        </w:tc>
        <w:tc>
          <w:tcPr>
            <w:tcW w:w="980" w:type="dxa"/>
            <w:vAlign w:val="bottom"/>
            <w:vMerge w:val="restart"/>
          </w:tcPr>
          <w:p>
            <w:pPr>
              <w:ind w:left="400"/>
              <w:spacing w:after="0"/>
              <w:rPr>
                <w:sz w:val="20"/>
                <w:szCs w:val="20"/>
                <w:color w:val="auto"/>
              </w:rPr>
            </w:pPr>
            <w:r>
              <w:rPr>
                <w:rFonts w:ascii="Arial" w:cs="Arial" w:eastAsia="Arial" w:hAnsi="Arial"/>
                <w:sz w:val="14"/>
                <w:szCs w:val="14"/>
                <w:b w:val="1"/>
                <w:bCs w:val="1"/>
                <w:color w:val="auto"/>
              </w:rPr>
              <w:t>Amount</w:t>
            </w:r>
          </w:p>
        </w:tc>
        <w:tc>
          <w:tcPr>
            <w:tcW w:w="900" w:type="dxa"/>
            <w:vAlign w:val="bottom"/>
            <w:vMerge w:val="continue"/>
          </w:tcPr>
          <w:p>
            <w:pPr>
              <w:spacing w:after="0"/>
              <w:rPr>
                <w:sz w:val="4"/>
                <w:szCs w:val="4"/>
                <w:color w:val="auto"/>
              </w:rPr>
            </w:pPr>
          </w:p>
        </w:tc>
        <w:tc>
          <w:tcPr>
            <w:tcW w:w="860" w:type="dxa"/>
            <w:vAlign w:val="bottom"/>
            <w:vMerge w:val="continue"/>
          </w:tcPr>
          <w:p>
            <w:pPr>
              <w:spacing w:after="0"/>
              <w:rPr>
                <w:sz w:val="4"/>
                <w:szCs w:val="4"/>
                <w:color w:val="auto"/>
              </w:rPr>
            </w:pPr>
          </w:p>
        </w:tc>
        <w:tc>
          <w:tcPr>
            <w:tcW w:w="15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900" w:type="dxa"/>
            <w:vAlign w:val="bottom"/>
          </w:tcPr>
          <w:p>
            <w:pPr>
              <w:ind w:left="80"/>
              <w:spacing w:after="0" w:line="137" w:lineRule="exact"/>
              <w:rPr>
                <w:sz w:val="20"/>
                <w:szCs w:val="20"/>
                <w:color w:val="auto"/>
              </w:rPr>
            </w:pPr>
            <w:r>
              <w:rPr>
                <w:rFonts w:ascii="Arial" w:cs="Arial" w:eastAsia="Arial" w:hAnsi="Arial"/>
                <w:sz w:val="14"/>
                <w:szCs w:val="14"/>
                <w:b w:val="1"/>
                <w:bCs w:val="1"/>
                <w:color w:val="auto"/>
              </w:rPr>
              <w:t>Derivative</w:t>
            </w:r>
          </w:p>
        </w:tc>
        <w:tc>
          <w:tcPr>
            <w:tcW w:w="860" w:type="dxa"/>
            <w:vAlign w:val="bottom"/>
          </w:tcPr>
          <w:p>
            <w:pPr>
              <w:ind w:left="80"/>
              <w:spacing w:after="0" w:line="137" w:lineRule="exact"/>
              <w:rPr>
                <w:sz w:val="20"/>
                <w:szCs w:val="20"/>
                <w:color w:val="auto"/>
              </w:rPr>
            </w:pPr>
            <w:r>
              <w:rPr>
                <w:rFonts w:ascii="Arial" w:cs="Arial" w:eastAsia="Arial" w:hAnsi="Arial"/>
                <w:sz w:val="14"/>
                <w:szCs w:val="14"/>
                <w:b w:val="1"/>
                <w:bCs w:val="1"/>
                <w:color w:val="auto"/>
              </w:rPr>
              <w:t>or Indirect</w:t>
            </w:r>
          </w:p>
        </w:tc>
        <w:tc>
          <w:tcPr>
            <w:tcW w:w="1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980" w:type="dxa"/>
            <w:vAlign w:val="bottom"/>
          </w:tcPr>
          <w:p>
            <w:pPr>
              <w:ind w:left="400"/>
              <w:spacing w:after="0" w:line="149" w:lineRule="exact"/>
              <w:rPr>
                <w:sz w:val="20"/>
                <w:szCs w:val="20"/>
                <w:color w:val="auto"/>
              </w:rPr>
            </w:pPr>
            <w:r>
              <w:rPr>
                <w:rFonts w:ascii="Arial" w:cs="Arial" w:eastAsia="Arial" w:hAnsi="Arial"/>
                <w:sz w:val="14"/>
                <w:szCs w:val="14"/>
                <w:b w:val="1"/>
                <w:bCs w:val="1"/>
                <w:color w:val="auto"/>
              </w:rPr>
              <w:t>or</w:t>
            </w: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6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8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Date</w:t>
            </w:r>
          </w:p>
        </w:tc>
        <w:tc>
          <w:tcPr>
            <w:tcW w:w="8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Expiration</w:t>
            </w:r>
          </w:p>
        </w:tc>
        <w:tc>
          <w:tcPr>
            <w:tcW w:w="1620" w:type="dxa"/>
            <w:vAlign w:val="bottom"/>
          </w:tcPr>
          <w:p>
            <w:pPr>
              <w:spacing w:after="0"/>
              <w:rPr>
                <w:sz w:val="12"/>
                <w:szCs w:val="12"/>
                <w:color w:val="auto"/>
              </w:rPr>
            </w:pPr>
          </w:p>
        </w:tc>
        <w:tc>
          <w:tcPr>
            <w:tcW w:w="980" w:type="dxa"/>
            <w:vAlign w:val="bottom"/>
          </w:tcPr>
          <w:p>
            <w:pPr>
              <w:ind w:left="400"/>
              <w:spacing w:after="0" w:line="148" w:lineRule="exact"/>
              <w:rPr>
                <w:sz w:val="20"/>
                <w:szCs w:val="20"/>
                <w:color w:val="auto"/>
              </w:rPr>
            </w:pPr>
            <w:r>
              <w:rPr>
                <w:rFonts w:ascii="Arial" w:cs="Arial" w:eastAsia="Arial" w:hAnsi="Arial"/>
                <w:sz w:val="14"/>
                <w:szCs w:val="14"/>
                <w:b w:val="1"/>
                <w:bCs w:val="1"/>
                <w:color w:val="auto"/>
              </w:rPr>
              <w:t>Number</w:t>
            </w:r>
          </w:p>
        </w:tc>
        <w:tc>
          <w:tcPr>
            <w:tcW w:w="9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162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Title</w:t>
            </w:r>
          </w:p>
        </w:tc>
        <w:tc>
          <w:tcPr>
            <w:tcW w:w="980" w:type="dxa"/>
            <w:vAlign w:val="bottom"/>
          </w:tcPr>
          <w:p>
            <w:pPr>
              <w:ind w:left="400"/>
              <w:spacing w:after="0" w:line="149" w:lineRule="exact"/>
              <w:rPr>
                <w:sz w:val="20"/>
                <w:szCs w:val="20"/>
                <w:color w:val="auto"/>
              </w:rPr>
            </w:pPr>
            <w:r>
              <w:rPr>
                <w:rFonts w:ascii="Arial" w:cs="Arial" w:eastAsia="Arial" w:hAnsi="Arial"/>
                <w:sz w:val="14"/>
                <w:szCs w:val="14"/>
                <w:b w:val="1"/>
                <w:bCs w:val="1"/>
                <w:color w:val="auto"/>
              </w:rPr>
              <w:t>of</w:t>
            </w:r>
          </w:p>
        </w:tc>
        <w:tc>
          <w:tcPr>
            <w:tcW w:w="9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620" w:type="dxa"/>
            <w:vAlign w:val="bottom"/>
            <w:vMerge w:val="continue"/>
          </w:tcPr>
          <w:p>
            <w:pPr>
              <w:spacing w:after="0"/>
              <w:rPr>
                <w:sz w:val="16"/>
                <w:szCs w:val="16"/>
                <w:color w:val="auto"/>
              </w:rPr>
            </w:pPr>
          </w:p>
        </w:tc>
        <w:tc>
          <w:tcPr>
            <w:tcW w:w="980" w:type="dxa"/>
            <w:vAlign w:val="bottom"/>
          </w:tcPr>
          <w:p>
            <w:pPr>
              <w:ind w:left="400"/>
              <w:spacing w:after="0"/>
              <w:rPr>
                <w:sz w:val="20"/>
                <w:szCs w:val="20"/>
                <w:color w:val="auto"/>
              </w:rPr>
            </w:pPr>
            <w:r>
              <w:rPr>
                <w:rFonts w:ascii="Arial" w:cs="Arial" w:eastAsia="Arial" w:hAnsi="Arial"/>
                <w:sz w:val="14"/>
                <w:szCs w:val="14"/>
                <w:b w:val="1"/>
                <w:bCs w:val="1"/>
                <w:color w:val="auto"/>
              </w:rPr>
              <w:t>Shares</w:t>
            </w:r>
          </w:p>
        </w:tc>
        <w:tc>
          <w:tcPr>
            <w:tcW w:w="9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6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32"/>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8"/>
                <w:szCs w:val="18"/>
                <w:color w:val="0000FF"/>
              </w:rPr>
              <w:t>Stock Options</w:t>
            </w:r>
            <w:r>
              <w:rPr>
                <w:rFonts w:ascii="Times New Roman" w:cs="Times New Roman" w:eastAsia="Times New Roman" w:hAnsi="Times New Roman"/>
                <w:sz w:val="22"/>
                <w:szCs w:val="22"/>
                <w:color w:val="008000"/>
                <w:vertAlign w:val="superscript"/>
              </w:rPr>
              <w:t>(3)</w:t>
            </w:r>
          </w:p>
        </w:tc>
        <w:tc>
          <w:tcPr>
            <w:tcW w:w="1480" w:type="dxa"/>
            <w:vAlign w:val="bottom"/>
            <w:tcBorders>
              <w:bottom w:val="single" w:sz="8" w:color="2C2C2C"/>
            </w:tcBorders>
            <w:gridSpan w:val="2"/>
          </w:tcPr>
          <w:p>
            <w:pPr>
              <w:jc w:val="right"/>
              <w:ind w:right="289"/>
              <w:spacing w:after="0"/>
              <w:rPr>
                <w:sz w:val="20"/>
                <w:szCs w:val="20"/>
                <w:color w:val="auto"/>
              </w:rPr>
            </w:pPr>
            <w:r>
              <w:rPr>
                <w:rFonts w:ascii="Times New Roman" w:cs="Times New Roman" w:eastAsia="Times New Roman" w:hAnsi="Times New Roman"/>
                <w:sz w:val="11"/>
                <w:szCs w:val="11"/>
                <w:color w:val="008000"/>
              </w:rPr>
              <w:t>(4)</w:t>
            </w:r>
          </w:p>
        </w:tc>
        <w:tc>
          <w:tcPr>
            <w:tcW w:w="800" w:type="dxa"/>
            <w:vAlign w:val="bottom"/>
            <w:tcBorders>
              <w:bottom w:val="single" w:sz="8" w:color="2C2C2C"/>
            </w:tcBorders>
          </w:tcPr>
          <w:p>
            <w:pPr>
              <w:jc w:val="right"/>
              <w:ind w:right="256"/>
              <w:spacing w:after="0"/>
              <w:rPr>
                <w:sz w:val="20"/>
                <w:szCs w:val="20"/>
                <w:color w:val="auto"/>
              </w:rPr>
            </w:pPr>
            <w:r>
              <w:rPr>
                <w:rFonts w:ascii="Times New Roman" w:cs="Times New Roman" w:eastAsia="Times New Roman" w:hAnsi="Times New Roman"/>
                <w:sz w:val="11"/>
                <w:szCs w:val="11"/>
                <w:color w:val="008000"/>
              </w:rPr>
              <w:t>(5)</w:t>
            </w:r>
          </w:p>
        </w:tc>
        <w:tc>
          <w:tcPr>
            <w:tcW w:w="1620" w:type="dxa"/>
            <w:vAlign w:val="bottom"/>
            <w:tcBorders>
              <w:bottom w:val="single" w:sz="8" w:color="2C2C2C"/>
            </w:tcBorders>
          </w:tcPr>
          <w:p>
            <w:pPr>
              <w:ind w:left="780"/>
              <w:spacing w:after="0"/>
              <w:rPr>
                <w:sz w:val="20"/>
                <w:szCs w:val="20"/>
                <w:color w:val="auto"/>
              </w:rPr>
            </w:pPr>
            <w:r>
              <w:rPr>
                <w:rFonts w:ascii="Times New Roman" w:cs="Times New Roman" w:eastAsia="Times New Roman" w:hAnsi="Times New Roman"/>
                <w:sz w:val="18"/>
                <w:szCs w:val="18"/>
                <w:color w:val="0000FF"/>
              </w:rPr>
              <w:t>ADSs</w:t>
            </w:r>
          </w:p>
        </w:tc>
        <w:tc>
          <w:tcPr>
            <w:tcW w:w="98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8"/>
                <w:szCs w:val="18"/>
                <w:color w:val="0000FF"/>
              </w:rPr>
              <w:t>11,666</w:t>
            </w:r>
          </w:p>
        </w:tc>
        <w:tc>
          <w:tcPr>
            <w:tcW w:w="90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8"/>
                <w:szCs w:val="18"/>
                <w:color w:val="0000FF"/>
              </w:rPr>
              <w:t>21.2</w:t>
            </w:r>
          </w:p>
        </w:tc>
        <w:tc>
          <w:tcPr>
            <w:tcW w:w="86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8"/>
                <w:szCs w:val="18"/>
                <w:color w:val="0000FF"/>
              </w:rPr>
              <w:t>D</w:t>
            </w:r>
          </w:p>
        </w:tc>
        <w:tc>
          <w:tcPr>
            <w:tcW w:w="15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76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6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8" w:lineRule="exact"/>
        <w:rPr>
          <w:sz w:val="24"/>
          <w:szCs w:val="24"/>
          <w:color w:val="auto"/>
        </w:rPr>
      </w:pPr>
    </w:p>
    <w:p>
      <w:pPr>
        <w:ind w:left="180" w:hanging="131"/>
        <w:spacing w:after="0"/>
        <w:tabs>
          <w:tab w:leader="none" w:pos="180" w:val="left"/>
        </w:tabs>
        <w:numPr>
          <w:ilvl w:val="0"/>
          <w:numId w:val="3"/>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Ordinary Shares may be converted into ADSs at a conversion ratio of 20-to-1, at the election of the Reporting Person.</w:t>
      </w:r>
    </w:p>
    <w:p>
      <w:pPr>
        <w:spacing w:after="0" w:line="42" w:lineRule="exact"/>
        <w:rPr>
          <w:rFonts w:ascii="Times New Roman" w:cs="Times New Roman" w:eastAsia="Times New Roman" w:hAnsi="Times New Roman"/>
          <w:sz w:val="14"/>
          <w:szCs w:val="14"/>
          <w:color w:val="008000"/>
        </w:rPr>
      </w:pPr>
    </w:p>
    <w:p>
      <w:pPr>
        <w:ind w:left="40" w:right="280" w:firstLine="9"/>
        <w:spacing w:after="0" w:line="242" w:lineRule="auto"/>
        <w:tabs>
          <w:tab w:leader="none" w:pos="175" w:val="left"/>
        </w:tabs>
        <w:numPr>
          <w:ilvl w:val="0"/>
          <w:numId w:val="3"/>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Includes RSUs, each RSU represents a right to receive one ADS in the Issuer. 2,017 RSUs will vest on 5/30/2026, 1,334 RSUs will vest in two equal annual increments beginning 5/30/2026, and 30,504 RSUs will vest in three equal annual increments beginning 5/30/2026. There are no voting or dividend rights prior to vesting.</w:t>
      </w:r>
    </w:p>
    <w:p>
      <w:pPr>
        <w:spacing w:after="0" w:line="27" w:lineRule="exact"/>
        <w:rPr>
          <w:rFonts w:ascii="Times New Roman" w:cs="Times New Roman" w:eastAsia="Times New Roman" w:hAnsi="Times New Roman"/>
          <w:sz w:val="14"/>
          <w:szCs w:val="14"/>
          <w:color w:val="008000"/>
        </w:rPr>
      </w:pPr>
    </w:p>
    <w:p>
      <w:pPr>
        <w:ind w:left="180" w:hanging="131"/>
        <w:spacing w:after="0"/>
        <w:tabs>
          <w:tab w:leader="none" w:pos="180" w:val="left"/>
        </w:tabs>
        <w:numPr>
          <w:ilvl w:val="0"/>
          <w:numId w:val="3"/>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Each stock option represents a right to receive one ADS in the Issuer.</w:t>
      </w:r>
    </w:p>
    <w:p>
      <w:pPr>
        <w:spacing w:after="0" w:line="42" w:lineRule="exact"/>
        <w:rPr>
          <w:rFonts w:ascii="Times New Roman" w:cs="Times New Roman" w:eastAsia="Times New Roman" w:hAnsi="Times New Roman"/>
          <w:sz w:val="14"/>
          <w:szCs w:val="14"/>
          <w:color w:val="008000"/>
        </w:rPr>
      </w:pPr>
    </w:p>
    <w:p>
      <w:pPr>
        <w:ind w:left="180" w:hanging="131"/>
        <w:spacing w:after="0"/>
        <w:tabs>
          <w:tab w:leader="none" w:pos="180" w:val="left"/>
        </w:tabs>
        <w:numPr>
          <w:ilvl w:val="0"/>
          <w:numId w:val="3"/>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The stock options vest in three equal annual increments beginning 5/30/2025.</w:t>
      </w:r>
    </w:p>
    <w:p>
      <w:pPr>
        <w:spacing w:after="0" w:line="42" w:lineRule="exact"/>
        <w:rPr>
          <w:rFonts w:ascii="Times New Roman" w:cs="Times New Roman" w:eastAsia="Times New Roman" w:hAnsi="Times New Roman"/>
          <w:sz w:val="14"/>
          <w:szCs w:val="14"/>
          <w:color w:val="008000"/>
        </w:rPr>
      </w:pPr>
    </w:p>
    <w:p>
      <w:pPr>
        <w:ind w:left="180" w:hanging="131"/>
        <w:spacing w:after="0"/>
        <w:tabs>
          <w:tab w:leader="none" w:pos="180" w:val="left"/>
        </w:tabs>
        <w:numPr>
          <w:ilvl w:val="0"/>
          <w:numId w:val="3"/>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The stock options expire five years after the relevant vesting date.</w:t>
      </w:r>
    </w:p>
    <w:p>
      <w:pPr>
        <w:spacing w:after="0" w:line="51" w:lineRule="exact"/>
        <w:rPr>
          <w:sz w:val="24"/>
          <w:szCs w:val="24"/>
          <w:color w:val="auto"/>
        </w:rPr>
      </w:pPr>
    </w:p>
    <w:tbl>
      <w:tblPr>
        <w:tblLayout w:type="fixed"/>
        <w:tblInd w:w="6600" w:type="dxa"/>
        <w:tblCellMar>
          <w:top w:w="0" w:type="dxa"/>
          <w:left w:w="0" w:type="dxa"/>
          <w:bottom w:w="0" w:type="dxa"/>
          <w:right w:w="0" w:type="dxa"/>
        </w:tblCellMar>
      </w:tblPr>
      <w:tr>
        <w:trPr>
          <w:trHeight w:val="207"/>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FF"/>
                <w:w w:val="96"/>
              </w:rPr>
              <w:t>Timothy Sjovall, pursuant to</w:t>
            </w:r>
          </w:p>
        </w:tc>
        <w:tc>
          <w:tcPr>
            <w:tcW w:w="180" w:type="dxa"/>
            <w:vAlign w:val="bottom"/>
          </w:tcPr>
          <w:p>
            <w:pPr>
              <w:spacing w:after="0"/>
              <w:rPr>
                <w:sz w:val="18"/>
                <w:szCs w:val="18"/>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0000FF"/>
                <w:w w:val="95"/>
              </w:rPr>
              <w:t>03/18/2026</w:t>
            </w:r>
          </w:p>
        </w:tc>
        <w:tc>
          <w:tcPr>
            <w:tcW w:w="0" w:type="dxa"/>
            <w:vAlign w:val="bottom"/>
          </w:tcPr>
          <w:p>
            <w:pPr>
              <w:spacing w:after="0"/>
              <w:rPr>
                <w:sz w:val="1"/>
                <w:szCs w:val="1"/>
                <w:color w:val="auto"/>
              </w:rPr>
            </w:pPr>
          </w:p>
        </w:tc>
      </w:tr>
      <w:tr>
        <w:trPr>
          <w:trHeight w:val="93"/>
        </w:trPr>
        <w:tc>
          <w:tcPr>
            <w:tcW w:w="12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0000FF"/>
                <w:w w:val="96"/>
              </w:rPr>
              <w:t>power of attorney</w:t>
            </w:r>
          </w:p>
        </w:tc>
        <w:tc>
          <w:tcPr>
            <w:tcW w:w="940" w:type="dxa"/>
            <w:vAlign w:val="bottom"/>
            <w:gridSpan w:val="2"/>
            <w:vMerge w:val="restart"/>
          </w:tcPr>
          <w:p>
            <w:pPr>
              <w:spacing w:after="0"/>
              <w:rPr>
                <w:sz w:val="7"/>
                <w:szCs w:val="7"/>
                <w:color w:val="auto"/>
              </w:rPr>
            </w:pPr>
          </w:p>
        </w:tc>
        <w:tc>
          <w:tcPr>
            <w:tcW w:w="80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60" w:type="dxa"/>
            <w:vAlign w:val="bottom"/>
            <w:tcBorders>
              <w:bottom w:val="single" w:sz="8" w:color="auto"/>
            </w:tcBorders>
            <w:vMerge w:val="continue"/>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3000" w:type="dxa"/>
            <w:vAlign w:val="bottom"/>
            <w:gridSpan w:val="4"/>
          </w:tcPr>
          <w:p>
            <w:pPr>
              <w:spacing w:after="0"/>
              <w:rPr>
                <w:sz w:val="20"/>
                <w:szCs w:val="20"/>
                <w:color w:val="auto"/>
              </w:rPr>
            </w:pPr>
            <w:r>
              <w:rPr>
                <w:rFonts w:ascii="Arial" w:cs="Arial" w:eastAsia="Arial" w:hAnsi="Arial"/>
                <w:sz w:val="14"/>
                <w:szCs w:val="14"/>
                <w:color w:val="auto"/>
              </w:rPr>
              <w:t>** Signature of Reporting Person   Date</w:t>
            </w:r>
          </w:p>
        </w:tc>
        <w:tc>
          <w:tcPr>
            <w:tcW w:w="0" w:type="dxa"/>
            <w:vAlign w:val="bottom"/>
          </w:tcPr>
          <w:p>
            <w:pPr>
              <w:spacing w:after="0"/>
              <w:rPr>
                <w:sz w:val="1"/>
                <w:szCs w:val="1"/>
                <w:color w:val="auto"/>
              </w:rPr>
            </w:pPr>
          </w:p>
        </w:tc>
      </w:tr>
    </w:tbl>
    <w:p>
      <w:pPr>
        <w:spacing w:after="0" w:line="27"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120" w:firstLine="9"/>
        <w:spacing w:after="0" w:line="351"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80"/>
          </w:cols>
          <w:pgMar w:left="460" w:top="220" w:right="459" w:bottom="1440" w:gutter="0" w:footer="0" w:header="0"/>
          <w:type w:val="continuous"/>
        </w:sectPr>
      </w:pPr>
    </w:p>
    <w:bookmarkStart w:id="1" w:name="page2"/>
    <w:bookmarkEnd w:id="1"/>
    <w:p>
      <w:pPr>
        <w:jc w:val="center"/>
        <w:ind w:right="-80"/>
        <w:spacing w:after="0"/>
        <w:rPr>
          <w:sz w:val="20"/>
          <w:szCs w:val="20"/>
          <w:color w:val="auto"/>
        </w:rPr>
      </w:pPr>
      <w:r>
        <w:rPr>
          <w:rFonts w:ascii="Times New Roman" w:cs="Times New Roman" w:eastAsia="Times New Roman" w:hAnsi="Times New Roman"/>
          <w:sz w:val="20"/>
          <w:szCs w:val="20"/>
          <w:b w:val="1"/>
          <w:bCs w:val="1"/>
          <w:color w:val="auto"/>
        </w:rPr>
        <w:t>SECTION 16</w:t>
      </w:r>
    </w:p>
    <w:p>
      <w:pPr>
        <w:spacing w:after="0" w:line="2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303" w:lineRule="exact"/>
        <w:rPr>
          <w:sz w:val="20"/>
          <w:szCs w:val="20"/>
          <w:color w:val="auto"/>
        </w:rPr>
      </w:pPr>
    </w:p>
    <w:p>
      <w:pPr>
        <w:jc w:val="both"/>
        <w:ind w:left="320" w:right="259" w:firstLine="410"/>
        <w:spacing w:after="0" w:line="255" w:lineRule="auto"/>
        <w:rPr>
          <w:sz w:val="20"/>
          <w:szCs w:val="20"/>
          <w:color w:val="auto"/>
        </w:rPr>
      </w:pPr>
      <w:r>
        <w:rPr>
          <w:rFonts w:ascii="Times New Roman" w:cs="Times New Roman" w:eastAsia="Times New Roman" w:hAnsi="Times New Roman"/>
          <w:sz w:val="20"/>
          <w:szCs w:val="20"/>
          <w:color w:val="auto"/>
        </w:rPr>
        <w:t>Know all by these presents, that the undersigned hereby constitutes and appoints Pontus Mattsson, Timothy Sjövall, Brian Kearney, Martin Lind, Suzanne Lindstén and Johanna Ståhl, or any of them, the undersigned’s true and lawful attorney-in-fact to:</w:t>
      </w:r>
    </w:p>
    <w:p>
      <w:pPr>
        <w:spacing w:after="0" w:line="174" w:lineRule="exact"/>
        <w:rPr>
          <w:sz w:val="20"/>
          <w:szCs w:val="20"/>
          <w:color w:val="auto"/>
        </w:rPr>
      </w:pPr>
    </w:p>
    <w:p>
      <w:pPr>
        <w:jc w:val="both"/>
        <w:ind w:left="320" w:right="259" w:firstLine="657"/>
        <w:spacing w:after="0" w:line="255" w:lineRule="auto"/>
        <w:tabs>
          <w:tab w:leader="none" w:pos="1366" w:val="left"/>
        </w:tabs>
        <w:numPr>
          <w:ilvl w:val="1"/>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for and on behalf of the undersigned, in the undersigned’s capacity as an officer and/or director of Oatly Group AB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Forms 3, 4, and 5 in accordance with Section 16(a) of the Securities Exchange Act of 1934 (the “</w:t>
      </w:r>
      <w:r>
        <w:rPr>
          <w:rFonts w:ascii="Times New Roman" w:cs="Times New Roman" w:eastAsia="Times New Roman" w:hAnsi="Times New Roman"/>
          <w:sz w:val="20"/>
          <w:szCs w:val="20"/>
          <w:u w:val="single" w:color="auto"/>
          <w:color w:val="auto"/>
        </w:rPr>
        <w:t>Exchange Act</w:t>
      </w:r>
      <w:r>
        <w:rPr>
          <w:rFonts w:ascii="Times New Roman" w:cs="Times New Roman" w:eastAsia="Times New Roman" w:hAnsi="Times New Roman"/>
          <w:sz w:val="20"/>
          <w:szCs w:val="20"/>
          <w:color w:val="auto"/>
        </w:rPr>
        <w:t>”) and the rules thereunder;</w:t>
      </w:r>
    </w:p>
    <w:p>
      <w:pPr>
        <w:spacing w:after="0" w:line="173" w:lineRule="exact"/>
        <w:rPr>
          <w:rFonts w:ascii="Times New Roman" w:cs="Times New Roman" w:eastAsia="Times New Roman" w:hAnsi="Times New Roman"/>
          <w:sz w:val="20"/>
          <w:szCs w:val="20"/>
          <w:color w:val="auto"/>
        </w:rPr>
      </w:pPr>
    </w:p>
    <w:p>
      <w:pPr>
        <w:jc w:val="both"/>
        <w:ind w:left="320" w:right="259" w:firstLine="404"/>
        <w:spacing w:after="0" w:line="255" w:lineRule="auto"/>
        <w:tabs>
          <w:tab w:leader="none" w:pos="1114"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which may be necessary or desirable to complete and execute any such Form 3, 4, or 5 and timely file such form with the U.S. Securities and Exchange Commission and any stock exchange or similar authority; and</w:t>
      </w:r>
    </w:p>
    <w:p>
      <w:pPr>
        <w:spacing w:after="0" w:line="173" w:lineRule="exact"/>
        <w:rPr>
          <w:rFonts w:ascii="Times New Roman" w:cs="Times New Roman" w:eastAsia="Times New Roman" w:hAnsi="Times New Roman"/>
          <w:sz w:val="20"/>
          <w:szCs w:val="20"/>
          <w:color w:val="auto"/>
        </w:rPr>
      </w:pPr>
    </w:p>
    <w:p>
      <w:pPr>
        <w:jc w:val="both"/>
        <w:ind w:left="320" w:right="239" w:firstLine="404"/>
        <w:spacing w:after="0" w:line="247" w:lineRule="auto"/>
        <w:tabs>
          <w:tab w:leader="none" w:pos="1114"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84" w:lineRule="exact"/>
        <w:rPr>
          <w:sz w:val="20"/>
          <w:szCs w:val="20"/>
          <w:color w:val="auto"/>
        </w:rPr>
      </w:pPr>
    </w:p>
    <w:p>
      <w:pPr>
        <w:jc w:val="both"/>
        <w:ind w:left="320" w:right="239" w:firstLine="397"/>
        <w:spacing w:after="0" w:line="243" w:lineRule="auto"/>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192" w:lineRule="exact"/>
        <w:rPr>
          <w:sz w:val="20"/>
          <w:szCs w:val="20"/>
          <w:color w:val="auto"/>
        </w:rPr>
      </w:pPr>
    </w:p>
    <w:p>
      <w:pPr>
        <w:jc w:val="both"/>
        <w:ind w:left="320" w:right="259" w:firstLine="397"/>
        <w:spacing w:after="0" w:line="250"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79" w:lineRule="exact"/>
        <w:rPr>
          <w:sz w:val="20"/>
          <w:szCs w:val="20"/>
          <w:color w:val="auto"/>
        </w:rPr>
      </w:pPr>
    </w:p>
    <w:p>
      <w:pPr>
        <w:jc w:val="both"/>
        <w:ind w:left="320" w:right="239"/>
        <w:spacing w:after="0" w:line="270" w:lineRule="auto"/>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this 16 day of February, 2026.</w:t>
      </w:r>
    </w:p>
    <w:p>
      <w:pPr>
        <w:spacing w:after="0" w:line="376" w:lineRule="exact"/>
        <w:rPr>
          <w:sz w:val="20"/>
          <w:szCs w:val="20"/>
          <w:color w:val="auto"/>
        </w:rPr>
      </w:pPr>
    </w:p>
    <w:tbl>
      <w:tblPr>
        <w:tblLayout w:type="fixed"/>
        <w:tblInd w:w="420" w:type="dxa"/>
        <w:tblCellMar>
          <w:top w:w="0" w:type="dxa"/>
          <w:left w:w="0" w:type="dxa"/>
          <w:bottom w:w="0" w:type="dxa"/>
          <w:right w:w="0" w:type="dxa"/>
        </w:tblCellMar>
      </w:tblPr>
      <w:tr>
        <w:trPr>
          <w:trHeight w:val="253"/>
        </w:trPr>
        <w:tc>
          <w:tcPr>
            <w:tcW w:w="68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24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/s/ Simon Broadbent</w:t>
            </w:r>
          </w:p>
        </w:tc>
      </w:tr>
      <w:tr>
        <w:trPr>
          <w:trHeight w:val="252"/>
        </w:trPr>
        <w:tc>
          <w:tcPr>
            <w:tcW w:w="68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24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Simon Broadbent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-629285</wp:posOffset>
            </wp:positionH>
            <wp:positionV relativeFrom="paragraph">
              <wp:posOffset>2152015</wp:posOffset>
            </wp:positionV>
            <wp:extent cx="70434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7043420" cy="42545"/>
                    </a:xfrm>
                    <a:prstGeom prst="rect">
                      <a:avLst/>
                    </a:prstGeom>
                    <a:noFill/>
                  </pic:spPr>
                </pic:pic>
              </a:graphicData>
            </a:graphic>
          </wp:anchor>
        </w:drawing>
      </w:r>
    </w:p>
    <w:p>
      <w:pPr>
        <w:sectPr>
          <w:pgSz w:w="11900" w:h="16838" w:orient="portrait"/>
          <w:cols w:equalWidth="0" w:num="1">
            <w:col w:w="9019"/>
          </w:cols>
          <w:pgMar w:left="1440" w:top="1412" w:right="1440" w:bottom="1440"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decimal"/>
      <w:start w:val="1"/>
    </w:lvl>
    <w:lvl w:ilvl="1">
      <w:lvlJc w:val="left"/>
      <w:lvlText w:val="(%2)"/>
      <w:numFmt w:val="decimal"/>
      <w:start w:val="1"/>
    </w:lvl>
  </w:abstractNum>
  <w:abstractNum w:abstractNumId="5">
    <w:nsid w:val="507ED7AB"/>
    <w:multiLevelType w:val="hybridMultilevel"/>
    <w:lvl w:ilvl="0">
      <w:lvlJc w:val="left"/>
      <w:lvlText w:val="(%1)"/>
      <w:numFmt w:val="decimal"/>
      <w:start w:val="2"/>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1" Type="http://schemas.openxmlformats.org/officeDocument/2006/relationships/hyperlink" Target="http://www.sec.gov/cgi-bin/browse-edgar?action=getcompany&amp;CIK=0002118257" TargetMode="External"/><Relationship Id="rId12" Type="http://schemas.openxmlformats.org/officeDocument/2006/relationships/hyperlink" Target="http://www.sec.gov/cgi-bin/browse-edgar?action=getcompany&amp;CIK=000184358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2026-03-18T19:06:23Z</dcterms:created>
  <dcterms:modified xsi:type="dcterms:W3CDTF">2026-03-18T19:06:23Z</dcterms:modified>
</cp:coreProperties>
</file>