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404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24, 2024, the Company issued a press release announcing its financial results for the quarter ended June 30, 2024. A copy of the press release is furnished as Exhibit 99.1 to this Report on 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3"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30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of Oatly Group AB, dated July 24, 2024</w:t>
            </w:r>
          </w:p>
        </w:tc>
      </w:tr>
      <w:tr>
        <w:trPr>
          <w:trHeight w:val="101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20" w:type="dxa"/>
            <w:vAlign w:val="bottom"/>
            <w:tcBorders>
              <w:top w:val="single" w:sz="8" w:color="0000FF"/>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83" w:lineRule="exact"/>
        <w:rPr>
          <w:sz w:val="20"/>
          <w:szCs w:val="20"/>
          <w:color w:val="auto"/>
        </w:rPr>
      </w:pPr>
    </w:p>
    <w:p>
      <w:pPr>
        <w:ind w:left="20"/>
        <w:spacing w:after="0"/>
        <w:tabs>
          <w:tab w:leader="none" w:pos="5760" w:val="left"/>
          <w:tab w:leader="none" w:pos="6420" w:val="left"/>
        </w:tabs>
        <w:rPr>
          <w:sz w:val="20"/>
          <w:szCs w:val="20"/>
          <w:color w:val="auto"/>
        </w:rPr>
      </w:pPr>
      <w:r>
        <w:rPr>
          <w:rFonts w:ascii="Times New Roman" w:cs="Times New Roman" w:eastAsia="Times New Roman" w:hAnsi="Times New Roman"/>
          <w:sz w:val="18"/>
          <w:szCs w:val="18"/>
          <w:color w:val="auto"/>
        </w:rPr>
        <w:t>Date: July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Marie-José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26035</wp:posOffset>
            </wp:positionV>
            <wp:extent cx="3060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5780"/>
        <w:spacing w:after="0"/>
        <w:tabs>
          <w:tab w:leader="none" w:pos="6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Marie-José David</w:t>
      </w:r>
    </w:p>
    <w:p>
      <w:pPr>
        <w:spacing w:after="0" w:line="36" w:lineRule="exact"/>
        <w:rPr>
          <w:sz w:val="20"/>
          <w:szCs w:val="20"/>
          <w:color w:val="auto"/>
        </w:rPr>
      </w:pPr>
    </w:p>
    <w:p>
      <w:pPr>
        <w:ind w:left="57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p>
      <w:pPr>
        <w:ind w:left="104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167640</wp:posOffset>
            </wp:positionV>
            <wp:extent cx="160274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27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Oatly Reports Second Quarter 2024 Financial Results</w:t>
      </w:r>
    </w:p>
    <w:p>
      <w:pPr>
        <w:spacing w:after="0" w:line="18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MALMÖ, Sweden, July 24, 2024 – Oatly Group AB (Nasdaq: OTLY) (“Oatly” or the “Company”), the world’s original and largest oat drink company, today announced financial results for the second quarter and six months ended June 30, 2024.</w:t>
      </w:r>
    </w:p>
    <w:p>
      <w:pPr>
        <w:spacing w:after="0" w:line="13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Jean-Christophe Flatin, Oatly’s CEO, commented, “I am pleased to report another quarter of solid progress in strengthening our business. In the second quarter, we grew volumes in every segment, continued to structurally reduce our cost structure, and continued to invest to further strengthen our brand. Overall, we are making good progress on the three strategic pillars that we are focusing on in 2024: to bring the Oatly magic to more people, to continue our work on the calibration of resources, and to focus on execution.”</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Flatin added, “Given our solid performance through the first half of the fiscal year, and an increased confidence in our second-half outlook, we are updating our full-year guidance to be more favorable than our prior outlook. In the second half of the year, our priorities will be completing our work on the calibration of resources, investing in high-return demand generating investments, and maintaining our north star target to drive the business toward structural, consistent profitable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reconcile revenue as reported to revenue on a constant currency basis by segment for the three and six months ended June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0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1"/>
                <w:szCs w:val="11"/>
                <w:color w:val="auto"/>
              </w:rPr>
            </w:pPr>
          </w:p>
        </w:tc>
        <w:tc>
          <w:tcPr>
            <w:tcW w:w="9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1"/>
                <w:szCs w:val="11"/>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020" w:type="dxa"/>
            <w:vAlign w:val="bottom"/>
            <w:vMerge w:val="restart"/>
          </w:tcPr>
          <w:p>
            <w:pPr>
              <w:jc w:val="right"/>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vMerge w:val="restart"/>
          </w:tcPr>
          <w:p>
            <w:pPr>
              <w:jc w:val="right"/>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7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6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1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6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Europe &amp; International</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105,54</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106,15</w:t>
            </w:r>
          </w:p>
        </w:tc>
        <w:tc>
          <w:tcPr>
            <w:tcW w:w="10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5.7 %</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126"/>
        </w:trPr>
        <w:tc>
          <w:tcPr>
            <w:tcW w:w="2660" w:type="dxa"/>
            <w:vAlign w:val="bottom"/>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98,768</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(615 )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3"/>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(915 )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-18.5 %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07"/>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202,19</w:t>
            </w: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203,72</w:t>
            </w:r>
          </w:p>
        </w:tc>
        <w:tc>
          <w:tcPr>
            <w:tcW w:w="10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3.2 %</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3.9 %</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9.6 %</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-5.7 %</w:t>
            </w:r>
          </w:p>
        </w:tc>
        <w:tc>
          <w:tcPr>
            <w:tcW w:w="0" w:type="dxa"/>
            <w:vAlign w:val="bottom"/>
          </w:tcPr>
          <w:p>
            <w:pPr>
              <w:spacing w:after="0"/>
              <w:rPr>
                <w:sz w:val="1"/>
                <w:szCs w:val="1"/>
                <w:color w:val="auto"/>
              </w:rPr>
            </w:pPr>
          </w:p>
        </w:tc>
      </w:tr>
      <w:tr>
        <w:trPr>
          <w:trHeight w:val="144"/>
        </w:trPr>
        <w:tc>
          <w:tcPr>
            <w:tcW w:w="2660" w:type="dxa"/>
            <w:vAlign w:val="bottom"/>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240" w:type="dxa"/>
            <w:vAlign w:val="bottom"/>
            <w:vMerge w:val="restart"/>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195,987</w:t>
            </w:r>
          </w:p>
        </w:tc>
        <w:tc>
          <w:tcPr>
            <w:tcW w:w="240" w:type="dxa"/>
            <w:vAlign w:val="bottom"/>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vMerge w:val="restart"/>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(1,530 )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660" w:type="dxa"/>
            <w:vAlign w:val="bottom"/>
          </w:tcPr>
          <w:p>
            <w:pPr>
              <w:spacing w:after="0"/>
              <w:rPr>
                <w:sz w:val="24"/>
                <w:szCs w:val="24"/>
                <w:color w:val="auto"/>
              </w:rPr>
            </w:pPr>
          </w:p>
        </w:tc>
        <w:tc>
          <w:tcPr>
            <w:tcW w:w="20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1"/>
                <w:szCs w:val="11"/>
                <w:color w:val="auto"/>
              </w:rPr>
            </w:pPr>
          </w:p>
        </w:tc>
        <w:tc>
          <w:tcPr>
            <w:tcW w:w="9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1"/>
                <w:szCs w:val="11"/>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020" w:type="dxa"/>
            <w:vAlign w:val="bottom"/>
            <w:vMerge w:val="restart"/>
          </w:tcPr>
          <w:p>
            <w:pPr>
              <w:jc w:val="right"/>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vMerge w:val="restart"/>
          </w:tcPr>
          <w:p>
            <w:pPr>
              <w:jc w:val="right"/>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7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6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1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6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Europe &amp; International</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215,94</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214,38</w:t>
            </w:r>
          </w:p>
        </w:tc>
        <w:tc>
          <w:tcPr>
            <w:tcW w:w="10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126"/>
        </w:trPr>
        <w:tc>
          <w:tcPr>
            <w:tcW w:w="2660" w:type="dxa"/>
            <w:vAlign w:val="bottom"/>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199,264</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3"/>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10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9.9 %</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126"/>
        </w:trPr>
        <w:tc>
          <w:tcPr>
            <w:tcW w:w="2660" w:type="dxa"/>
            <w:vAlign w:val="bottom"/>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125,873</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3"/>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66,495</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(1,951 )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-23.9 %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07"/>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401,35</w:t>
            </w: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401,73</w:t>
            </w:r>
          </w:p>
        </w:tc>
        <w:tc>
          <w:tcPr>
            <w:tcW w:w="10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2.5 %</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2.6 %</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6.3 %</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-3.7 %</w:t>
            </w:r>
          </w:p>
        </w:tc>
        <w:tc>
          <w:tcPr>
            <w:tcW w:w="0" w:type="dxa"/>
            <w:vAlign w:val="bottom"/>
          </w:tcPr>
          <w:p>
            <w:pPr>
              <w:spacing w:after="0"/>
              <w:rPr>
                <w:sz w:val="1"/>
                <w:szCs w:val="1"/>
                <w:color w:val="auto"/>
              </w:rPr>
            </w:pPr>
          </w:p>
        </w:tc>
      </w:tr>
      <w:tr>
        <w:trPr>
          <w:trHeight w:val="144"/>
        </w:trPr>
        <w:tc>
          <w:tcPr>
            <w:tcW w:w="2660" w:type="dxa"/>
            <w:vAlign w:val="bottom"/>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391,632</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(387 )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89" w:lineRule="exact"/>
        <w:rPr>
          <w:sz w:val="20"/>
          <w:szCs w:val="20"/>
          <w:color w:val="auto"/>
        </w:rPr>
      </w:pPr>
    </w:p>
    <w:p>
      <w:pPr>
        <w:ind w:left="760" w:right="10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revenue of $202.2 million, a 3.2% increase compared to the prior year period, and constant currency revenue increased 3.9% compared to the prior year period, with solid volume growth in each operating segment.</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 the second quarter was 29.2%, which is a 10.0 percentage points increase compared to the prior year period.</w:t>
      </w:r>
    </w:p>
    <w:p>
      <w:pPr>
        <w:spacing w:after="0" w:line="184"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net loss attributable to shareholders of the parent was $30.4 million, which is an improvement of $56.3 million compared to net loss attributable to shareholders of the parent of $86.7 million in the prior year period.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Adjusted EBITDA loss was $11.0 million, which is an improvement of $41.5 million compared to the prior year period.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North America segment reported its first full quarter of positive adjusted EBITDA.</w:t>
      </w:r>
    </w:p>
    <w:p>
      <w:pPr>
        <w:spacing w:after="0" w:line="184"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raising its full year 2024 outlook for constant currency revenue growth and adjusted EBITDA while lowering its guidance for capital expenditures. The Company now expects:</w:t>
      </w:r>
    </w:p>
    <w:p>
      <w:pPr>
        <w:spacing w:after="0" w:line="54" w:lineRule="exact"/>
        <w:rPr>
          <w:sz w:val="20"/>
          <w:szCs w:val="20"/>
          <w:color w:val="auto"/>
        </w:rPr>
      </w:pPr>
    </w:p>
    <w:p>
      <w:pPr>
        <w:ind w:left="1500" w:hanging="369"/>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in the range of 6% to 10%, compared to the prior expectation of 5% to 10%,</w:t>
      </w:r>
    </w:p>
    <w:p>
      <w:pPr>
        <w:sectPr>
          <w:pgSz w:w="11900" w:h="16838" w:orient="portrait"/>
          <w:cols w:equalWidth="0" w:num="1">
            <w:col w:w="11320"/>
          </w:cols>
          <w:pgMar w:left="320" w:top="772" w:right="259" w:bottom="1440" w:gutter="0" w:footer="0" w:header="0"/>
        </w:sectPr>
      </w:pP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772" w:right="259" w:bottom="1440" w:gutter="0" w:footer="0" w:header="0"/>
          <w:type w:val="continuous"/>
        </w:sectPr>
      </w:pPr>
    </w:p>
    <w:bookmarkStart w:id="4" w:name="page5"/>
    <w:bookmarkEnd w:id="4"/>
    <w:p>
      <w:pPr>
        <w:ind w:left="1500" w:hanging="369"/>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in the range of $(35) million to $(50) million, compared to the prior expectation of range of $(35) million to $(60) million, and</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below $70 million, compared to the prior expectation of below $75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Results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increased $6.2 million, or 3.2% to $202.2 million for the second quarter ended June 30, 2024, compared to $196.0 million for the prior year period. Excluding a foreign currency exchange headwind of $1.5 million, revenue for the second quarter was $203.7 million, or an increase of 3.9% compared to the prior year period. The growth in constant currency revenue was primarily driven by the Europe &amp; International and North America segments, partially offset by expected declines in the Greater China segment due to the strategic reset implemented in the third quarter 2023. Sold volume for the second quarter of 2024 increased 9.6% to 137 million liters compared to 125 million liters in the second quarter of 2023. Produced finished goods volume for the second quarter of 2024 was 142 million liters compared to 130 million liters for the second quarter of 2023.</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drove revenue growth in both the retail channel and foodservice channel in the second quarter of 2024 compared to the second quarter of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$59.0 million for the second quarter of 2024 compared to $37.7 million for the second quarter of 2023. Gross profit margin was 29.2% in the second quarter of 2024, an increase of 1,000 basis points compared to the prior year period. The margin improvement compared to the second quarter of 2023 was primarily driven by improvements in supply chain efficiency in the North America and Greater China segments as well as improvements in product mix in the Greater China segment due to the strategic reset implemented in the third quarter of 2023.</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 the second quarter of 2024 increased $5.6 million to $10.9 million compared to $5.3 million in the prior year period. The increase was mainly driven by expenses related to a new product launch in the North America segment after the Company determined the product was not up to its standards.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 the second quarter of 2024 decreased $22.4 million to $84.3 million compared to $106.7 million in the prior year period. The decrease was primarily due to the various cost restructuring activities implemented since early 2023, including $6.6 million reduction in employee-related expenses, $4.7 million reduction in branding, advertising and marketing expenses, $4.3 million reduction in external consultant, legal contractor and other professional fees, and a $1.7 million reduction in corporate insurance expenses.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and (expenses), net for the second quarter of 2024 was an expense of $2.9 million compared to an expense of $1.1 million in the prior year period, comprised primarily of $2.9 million in non-cash impairment charges related to the Group’s discontinued construction of its production facility in Peterborough, UK.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income and (expenses), net for the second quarter of 2024 was an income of $10.4 million comprised primarily of fair value gains on Convertible Notes of $23.9 million, offset by net interest expenses of $13.0 million. The finance income and (expenses), net for the prior year period was an expense of $11.5 million. The improvement was mainly driven by $20.1 million in increased fair value gains on Convertible Notes.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shareholders of the parent was $30.4 million for the second quarter of 2024 compared to $86.7 million in the prior year period. The improvement in net loss was primarily a result of higher gross profit and lower selling, general and administrative expenses across all segments, and an improvement in finance income and (expenses), net.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loss for the second quarter of 2024 was $11.0 million, compared to a loss of $52.5 million in the prior year period. The improvement in Adjusted EBITDA loss was primarily a result of higher gross profit and lower selling, general and administrative expenses.</w:t>
      </w:r>
    </w:p>
    <w:p>
      <w:pPr>
        <w:spacing w:after="0" w:line="11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EBITDA, Adjusted EBITDA loss, and Constant Currency Revenue are non-IFRS financial measures defined under “Non-IFRS financial measures”. Please see above revenue at constant currency table and “Reconciliation of IFRS to Non-IFRS Financial measures” at the end of this press release.</w:t>
      </w:r>
    </w:p>
    <w:p>
      <w:pPr>
        <w:spacing w:after="0" w:line="13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 Adjusted EBITDA, EBITDA and loss before tax for the Company’s three reportable segments for the periods presented.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 w:name="page6"/>
    <w:bookmarkEnd w:id="5"/>
    <w:p>
      <w:pPr>
        <w:spacing w:after="0" w:line="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Segment information for the three and six months ended June 30, 2023 presented below has been updated to reflect previously disclosed changes to our operating segments, which were effective as of January 1, 2024. Please see our press release, dated April 17, 2024, furnished on Form 6-K with the SEC for further information regarding these changes.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(1,814 )</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107,355</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(1,814 )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12,638</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(428 )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(24,373 )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(10,997 )</w:t>
            </w: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(501 )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(2,967 )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(4,179 )</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(769 )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(3,214 )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(2)</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(2,923 )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(2,646 )</w:t>
            </w: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(5,677 )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(5,677 )</w:t>
            </w: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8,359</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(5,235 )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(2,435 )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(27,460 )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(26,771 )</w:t>
            </w: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(12,308 )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(28,690 )</w:t>
            </w:r>
          </w:p>
        </w:tc>
        <w:tc>
          <w:tcPr>
            <w:tcW w:w="0" w:type="dxa"/>
            <w:vAlign w:val="bottom"/>
          </w:tcPr>
          <w:p>
            <w:pPr>
              <w:spacing w:after="0"/>
              <w:rPr>
                <w:sz w:val="1"/>
                <w:szCs w:val="1"/>
                <w:color w:val="auto"/>
              </w:rPr>
            </w:pPr>
          </w:p>
        </w:tc>
      </w:tr>
      <w:tr>
        <w:trPr>
          <w:trHeight w:val="3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98,768</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61,832</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(9,189 )</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107,835</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61,832</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35,509</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(9,189 )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(10,880 )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(18,577 )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(24,305 )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(52,468 )</w:t>
            </w: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(74 )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(808 )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(1,391 )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(2,422 )</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(2,407 )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(5,429 )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(7,972 )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1,194</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(14,249 )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(20,078 )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(29,883 )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(63,016 )</w:t>
            </w: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(11,512 )</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(12,464 )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(86,992 )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(3,778 )</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219,726</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(3,778 )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27,134</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(3,856 )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(48,257 )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(24,201 )</w:t>
            </w: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(879 )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(1,179 )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(5,763 )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(6,794 )</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(769 )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(1,940 )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(3,635 )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(2)</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(2,923 )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(1,762 )</w:t>
            </w: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(5,677 )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(5,677 )</w:t>
            </w: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22,477</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(3,480 )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(7,077 )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(54,091 )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(42,171 )</w:t>
            </w: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(6,988 )</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(25,321 )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(74,480 )</w:t>
            </w:r>
          </w:p>
        </w:tc>
        <w:tc>
          <w:tcPr>
            <w:tcW w:w="0" w:type="dxa"/>
            <w:vAlign w:val="bottom"/>
          </w:tcPr>
          <w:p>
            <w:pPr>
              <w:spacing w:after="0"/>
              <w:rPr>
                <w:sz w:val="1"/>
                <w:szCs w:val="1"/>
                <w:color w:val="auto"/>
              </w:rPr>
            </w:pPr>
          </w:p>
        </w:tc>
      </w:tr>
      <w:tr>
        <w:trPr>
          <w:trHeight w:val="3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2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199,264</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125,873</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66,495</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(19,673 )</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218,815</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125,873</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66,617</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(19,673 )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8,491</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(21,186 )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(35,906 )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(53,740 )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(102,341 )</w:t>
            </w: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(1,119 )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(1,852 )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(2,779 )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(4,719 )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(10,469 )</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(1,034 )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(2,594 )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(5,429 )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(9,167 )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6,338</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(26,007 )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(38,795 )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(63,888 )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(122,352 )</w:t>
            </w:r>
          </w:p>
        </w:tc>
        <w:tc>
          <w:tcPr>
            <w:tcW w:w="0" w:type="dxa"/>
            <w:vAlign w:val="bottom"/>
          </w:tcPr>
          <w:p>
            <w:pPr>
              <w:spacing w:after="0"/>
              <w:rPr>
                <w:sz w:val="1"/>
                <w:szCs w:val="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(13,508 )</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(24,697 )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(160,557 )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 Corporate consists of general overhead costs not allocated to the segments.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Eliminations in 2024 and 2023 primarily refer to intersegment revenue for sales of products from Europe &amp; International to Greater China.</w:t>
      </w:r>
    </w:p>
    <w:p>
      <w:pPr>
        <w:spacing w:after="0" w:line="19"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payments as the Group continues to adjust its organizational structure to the macro environment.</w:t>
      </w:r>
    </w:p>
    <w:p>
      <w:pPr>
        <w:spacing w:after="0" w:line="24" w:lineRule="exact"/>
        <w:rPr>
          <w:rFonts w:ascii="Times New Roman" w:cs="Times New Roman" w:eastAsia="Times New Roman" w:hAnsi="Times New Roman"/>
          <w:sz w:val="16"/>
          <w:szCs w:val="16"/>
          <w:color w:val="auto"/>
        </w:rPr>
      </w:pPr>
    </w:p>
    <w:p>
      <w:pPr>
        <w:ind w:left="380" w:hanging="372"/>
        <w:spacing w:after="0" w:line="269"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a new product launch issue.</w:t>
      </w:r>
    </w:p>
    <w:p>
      <w:pPr>
        <w:spacing w:after="0" w:line="18" w:lineRule="exact"/>
        <w:rPr>
          <w:rFonts w:ascii="Times New Roman" w:cs="Times New Roman" w:eastAsia="Times New Roman" w:hAnsi="Times New Roman"/>
          <w:sz w:val="16"/>
          <w:szCs w:val="16"/>
          <w:color w:val="auto"/>
        </w:rPr>
      </w:pPr>
    </w:p>
    <w:p>
      <w:pPr>
        <w:ind w:left="380" w:hanging="372"/>
        <w:spacing w:after="0" w:line="290"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Relates to the Ya YA Foods USA LLC transaction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YYF Transaction”). See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Forms 6-K filed on January 3, 2023 and March 2, 2023 for further details.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International</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Europe &amp; International revenue increased $6.8 million, or 6.9%, to $105.5 million for the second quarter of 2024, compared to $98.8 million in the prior year period. Excluding a foreign currency exchange headwind of $0.6 million, Europe &amp; International revenue for the second quarter was $106.2 million, or an increase of 7.5%. The increase in revenue was primarily driven by volume growth, and also benefited from price increases introduced during the first part of 2023. Approximately 80% of Europe &amp; International revenue was from the retail channel for the second quarter of 2024 and 2023, respectively. The sold finished goods volume for the three months ended June 30, 2024 and 2023 amounted to 74 and 70 million liters, respectively.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Europe &amp; International Adjusted EBITDA increased $11.3 million to $12.6 million for the second quarter of 2024 compared to $1.3 million in the prior year period. The improvement in Adjusted EBITDA was driven by higher gross profit, and reduction in selling,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North America revenue increased $6.0 million, or 9.7%, to $67.8 million for the second quarter of 2024, compared to $61.8 million in the prior year period. The sold finished goods volume for the three months ended June 30, 2024 and 2023 amounted to 39 million and 36 million liters, respectively. The 8.3% volume increase was due to higher volumes across the retail and foodservice channels as the Company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to expand distribution and launch new products. Approximately 52% of North America revenue was from the retail channel in the second quarter of 2024 compared to 51% in the prior year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North America Adjusted EBITDA improved $12.0 million to $1.2 million compared to a loss of $10.9 million in the prior year period. The improvement in Adjusted EBITDA was primarily due to higher gross profit and lower selling, general and administrative expenses resulting from the cost saving initiatives implemented during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Greater China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Greater China revenue decreased $6.6 million, or 18.5%, to $28.8 million for the second quarter of 2024, compared to $35.4 million in the prior year period. Excluding a foreign currency exchange headwind of $0.9 million, Greater China revenue for the second quarter was $29.8 million, or a decrease of 15.9%. The Greater China segment decline was primarily driven by the prior decision to refocus into the foodservice channel, resulting in discontinuation of certain lower-margin products and customers across the retail and e-commerce channels. These declines were partially offset by sales to a new customer. Approximately 70% of Greater China revenue was from the foodservice channel for the second quarter of 2024 compared to 55% in the prior year period. The sold finished goods volume for the three months ended June 30, 2024 and 2023 amounted to 24 million and 19 million liters, respectively.</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Greater China Adjusted EBITDA improved $18.1 million to a loss of $0.4 million compared to a loss of $18.6 million in the prior year period. The improvement in Adjusted EBITDA was primarily due to higher gross profit and reduction in selling, general and administrative expenses, as the segment executed on its previously-communicated strategic reset.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Overhead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Oatly’s corporate expense, which consists of general overhead costs not allocated to the segments, in the second quarter of 2024 was $27.5 million, a decrease of $2.4 million compared to the prior year period. Adjusted EBITDA in the second quarter of 2024 was a loss of $24.4 million compared to a loss of $24.3 million in the prior 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cash and cash equivalents of $142.7 million and total outstanding debt of $438.5 million consisting of Convertible Notes and liabilities to credit institutions. Net cash used in operating activities was $86.0 million for the six months ended June 30, 2024, compared to $113.1 million during the prior year period, which was primarily driven by improved operating results, partly offset by cash outflow of $25.4 million related to discontinued construction of the Group’s production facilities in Peterborough, UK and Dallas-Fort Worth, Texas, and a cash outflow of $9.3 million related to the settlement of US securities class action litigation.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were $20.4 million for the six months ended June 30, 2024, compared to $41.0 million in the prior year period and, in addition, proceeds from the sale of property, plant and equipment was $20.4 million for the six months ended June 30,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Free cash flow was an outflow of $106.4 million for the six months ended June 30, 2024 compared to an outflow of $154.1 million during the prior year period. The improvement in free cash flow was driven both by decreased net cash flows used in operating activities and lower capital expenditures, partly offset by the above-mentioned cash outflows relating to discontinued construction of the Group’s production facilities in Peterborough, UK and Dallas-Fort Worth, Texas and settlement of US securities class action litigation.</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Free Cash Flow is a non-IFRS liquidity measure defined under “Non-IFRS financial measures.” Please see “Reconciliation of IFRS to Non-IFRS Financial measures” at the end of this press release.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Based on the Company’s assessment of the current operating environment and the actions it is taking, the Company is raising its full year 2024 outlook for constant currency revenue growth and adjusted EBITDA while lowering its guidance for capital expenditures. The Company now expects:</w:t>
      </w:r>
    </w:p>
    <w:p>
      <w:pPr>
        <w:spacing w:after="0" w:line="289" w:lineRule="exact"/>
        <w:rPr>
          <w:sz w:val="20"/>
          <w:szCs w:val="20"/>
          <w:color w:val="auto"/>
        </w:rPr>
      </w:pPr>
    </w:p>
    <w:p>
      <w:pPr>
        <w:ind w:left="1540" w:hanging="514"/>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in the range of 6% to 10%, compared to the prior expectation of 5% to 10%,</w:t>
      </w:r>
    </w:p>
    <w:p>
      <w:pPr>
        <w:spacing w:after="0" w:line="117"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in the range of $(35) million to $(50) million, compared to the prior expectation of range of $(35) million to $(60) million, and</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below $70 million, compared to the prior expectation of below $75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outlook is provided in the context of significant macroeconomic uncertainty and other geopolitical uncertainties.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 w:name="page9"/>
    <w:bookmarkEnd w:id="8"/>
    <w:p>
      <w:pPr>
        <w:spacing w:after="0" w:line="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provide a reconciliation of constant currency revenue growth or Adjusted EBITDA guidance to the nearest comparable corresponding IFRS metric without unreasonable efforts due to difficulty in predicting certain items excluded from these non-IFRS measures. The items necessary to reconcile are not within Oatly’s control, may vary greatly between periods and could significantly impact future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Webcast and Supplemental Presentation Details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 will host a conference call and webcast at 8:30 a.m. ET today to discuss these results. The conference call, simultaneous, live webcast and supplemental presentation can be accessed on Oatly’s Investors website at https://investors.oatly.com under “Events.” The webcast will be archived for 30 days.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Oatly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25 years, we have exclusively focused on developing expertise around oats: a global power crop with inherent properties suited for sustainability and human health. Our commitment to oats has resulted in core technical advancements that enabled us to unlock the breadth of the dairy portfolio, including alternatives to milks, ice cream, yogurt, cooking creams, and spreads. Headquartered in Malmö, Sweden, the Oatly brand is available in more than 20 countries globally.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www.oatly.com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2024, profitability improvement,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our history of losses and inability to achieve or sustain profitability; including due to elevated inflation and increased costs for transportation, energy and materials; reduced or limited availability of oats or other raw materials and ingredients that meet our quality standards; failure to obtain additional financing to achieve our goals or failure to obtain necessary capital when needed on acceptable terms, or at all; failure of the financial institutions in which we hold our deposits; damage or disruption to our production facilities; harm to our brand and reputation as a result of real or perceived quality or food safety issues with our products; food safety and food-borne illness incidents or other safety concerns which may lead to lawsuits, product recalls or regulatory enforcement actions; our ability to successfully compete in our highly competitive markets; reduction in the sales of our oatmilk varieties; failure to effectively navigate our shift to an asset-light business model; failure to successfully achieve any or all of the benefits of the YYF Transaction; failure to meet our existing or new environmental metrics and other risks related to sustainability and corporate social responsibility; litigation, regulatory actions or other legal proceedings including environmental and securities class action lawsuits and settlements; changes to international trade policies, treaties and tariffs; global conflict, including the ongoing wars in Ukraine and Israel; changes in our tax rates or exposure to additional tax liabilities or assessments; supply chain delays, including delays in the receipt of product at factories and ports, and an increase in transportation costs; the impact of rising commodity prices, transportation and labor costs on our cost of goods sold; failure by our logistics providers to deliver our products on time, or at all; our ability to successfully execute our cost reduction activities in accordance with our expectations and the impact of such actions on our company; failure to develop and maintain our brand; our ability to introduce new products or successfully improve existing products; failure to retain our senior management or to attract, train and retain employees; cybersecurity incidents or other technology disruptions; risks associated with our operations in the People’s Republic of China; the success of our strategic reset in Asia; failure to protect our intellectual property and other proprietary rights adequately; our ability to successfully remediate previously disclosed material weaknesses or other future control deficiencies, in our internal control over financial reporting; impairments of the value of our assets; potential delisting from Nasdaq; our status as a foreign private issuer; risks related to the significant influence of our largest shareholder, Nativus Company Limited, entities affiliated with China Resources Verlinvest Health Investment Ltd. has over us, including significant influence over decisions that require the approval of shareholders; and the other important factors discussed under the caption “Risk Factors” in our Annual Report on Form 20-F for the year ended December 31, 2023 filed with the U.S. Securities and Exchange Commission (“SEC”) on March 22, 2024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liquidity measure, and each in our financial communications: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impacts related to discontinued construction of production facilities, expenses related to a new product launch issue, costs related to the YYF Transaction, and non-controlling interests.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4" w:lineRule="exact"/>
        <w:rPr>
          <w:sz w:val="20"/>
          <w:szCs w:val="20"/>
          <w:color w:val="auto"/>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expenses related to a new product launch issue that reduce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YYF Transaction that reduce cash available to us;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believe this information is useful to investors to facilitate comparisons and better identify trends in our business. Above we have provided a reconciliation of revenue as reported to revenue on a constant currency basis for the periods presented.</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from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from operating activities.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from operating activities for the periods presented.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Oatly Group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+1 866-704-0391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investors@oatly.com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press.us@oatly.com</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660" w:type="dxa"/>
            <w:vAlign w:val="bottom"/>
            <w:tcBorders>
              <w:bottom w:val="single" w:sz="8" w:color="auto"/>
            </w:tcBorders>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16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3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p>
      <w:pPr>
        <w:sectPr>
          <w:pgSz w:w="11900" w:h="16838" w:orient="portrait"/>
          <w:cols w:equalWidth="0" w:num="2">
            <w:col w:w="4400" w:space="720"/>
            <w:col w:w="6120"/>
          </w:cols>
          <w:pgMar w:left="320" w:top="1224" w:right="339" w:bottom="1440" w:gutter="0" w:footer="0" w:header="0"/>
        </w:sectPr>
      </w:pPr>
    </w:p>
    <w:tbl>
      <w:tblPr>
        <w:tblLayout w:type="fixed"/>
        <w:tblInd w:w="0" w:type="dxa"/>
        <w:tblCellMar>
          <w:top w:w="0" w:type="dxa"/>
          <w:left w:w="0" w:type="dxa"/>
          <w:bottom w:w="0" w:type="dxa"/>
          <w:right w:w="0" w:type="dxa"/>
        </w:tblCellMar>
      </w:tblPr>
      <w:tr>
        <w:trPr>
          <w:trHeight w:val="23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2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195,987</w:t>
            </w: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391,632</w:t>
            </w:r>
          </w:p>
        </w:tc>
        <w:tc>
          <w:tcPr>
            <w:tcW w:w="100" w:type="dxa"/>
            <w:vAlign w:val="bottom"/>
            <w:shd w:val="clear" w:color="auto" w:fill="CFF0FC"/>
          </w:tcPr>
          <w:p>
            <w:pPr>
              <w:spacing w:after="0"/>
              <w:rPr>
                <w:sz w:val="20"/>
                <w:szCs w:val="20"/>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(143,239 )</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(158,331 )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(288,496 )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(319,888 )</w:t>
            </w:r>
          </w:p>
        </w:tc>
      </w:tr>
      <w:tr>
        <w:trPr>
          <w:trHeight w:val="241"/>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58,956</w:t>
            </w:r>
          </w:p>
        </w:tc>
        <w:tc>
          <w:tcPr>
            <w:tcW w:w="2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37,656</w:t>
            </w: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112,854</w:t>
            </w: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71,744</w:t>
            </w:r>
          </w:p>
        </w:tc>
        <w:tc>
          <w:tcPr>
            <w:tcW w:w="100" w:type="dxa"/>
            <w:vAlign w:val="bottom"/>
            <w:shd w:val="clear" w:color="auto" w:fill="CFF0FC"/>
          </w:tcPr>
          <w:p>
            <w:pPr>
              <w:spacing w:after="0"/>
              <w:rPr>
                <w:sz w:val="20"/>
                <w:szCs w:val="20"/>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(10,898 )</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(5,321 )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(15,540 )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(11,035 )</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(84,261 )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(106,695 )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(163,003 )</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(205,550 )</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(2,876 )</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(1,120 )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(1,803 )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(2,208 )</w:t>
            </w:r>
          </w:p>
        </w:tc>
      </w:tr>
      <w:tr>
        <w:trPr>
          <w:trHeight w:val="20"/>
        </w:trPr>
        <w:tc>
          <w:tcPr>
            <w:tcW w:w="51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(39,079 )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(75,480 )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(67,492 )</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(147,049 )</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(11,512 )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(6,988 )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(13,508 )</w:t>
            </w:r>
          </w:p>
        </w:tc>
      </w:tr>
      <w:tr>
        <w:trPr>
          <w:trHeight w:val="20"/>
        </w:trPr>
        <w:tc>
          <w:tcPr>
            <w:tcW w:w="51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(28,690 )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(86,992 )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(74,480 )</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(160,557 )</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(1,751 )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(1,805 )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(1,739 )</w:t>
            </w:r>
          </w:p>
        </w:tc>
      </w:tr>
      <w:tr>
        <w:trPr>
          <w:trHeight w:val="20"/>
        </w:trPr>
        <w:tc>
          <w:tcPr>
            <w:tcW w:w="51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(30,441 )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(86,719 )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(76,285 )</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(162,296 )</w:t>
            </w:r>
          </w:p>
        </w:tc>
      </w:tr>
      <w:tr>
        <w:trPr>
          <w:trHeight w:val="222"/>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Attributable to:</w:t>
            </w:r>
          </w:p>
        </w:tc>
        <w:tc>
          <w:tcPr>
            <w:tcW w:w="16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(30,384 )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(86,719 )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(76,183 )</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(162,296 )</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(57 )</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1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(0.15 )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(0.13 )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(0.27 )</w:t>
            </w:r>
          </w:p>
        </w:tc>
      </w:tr>
      <w:tr>
        <w:trPr>
          <w:trHeight w:val="20"/>
        </w:trPr>
        <w:tc>
          <w:tcPr>
            <w:tcW w:w="5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596,242,505</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593,189,505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595,654,647</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592,757,116</w:t>
            </w:r>
          </w:p>
        </w:tc>
        <w:tc>
          <w:tcPr>
            <w:tcW w:w="10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-1156970</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-1139190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-1156970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-1139190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-1156970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-1139190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121,180</w:t>
            </w: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130,326</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342,470</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360,286</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57,030</w:t>
            </w: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88,393</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44,444</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44,378</w:t>
            </w:r>
          </w:p>
        </w:tc>
        <w:tc>
          <w:tcPr>
            <w:tcW w:w="100" w:type="dxa"/>
            <w:vAlign w:val="bottom"/>
          </w:tcPr>
          <w:p>
            <w:pPr>
              <w:spacing w:after="0"/>
              <w:rPr>
                <w:sz w:val="20"/>
                <w:szCs w:val="20"/>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28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570,541</w:t>
            </w:r>
          </w:p>
        </w:tc>
        <w:tc>
          <w:tcPr>
            <w:tcW w:w="280" w:type="dxa"/>
            <w:vAlign w:val="bottom"/>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633,586</w:t>
            </w:r>
          </w:p>
        </w:tc>
        <w:tc>
          <w:tcPr>
            <w:tcW w:w="100" w:type="dxa"/>
            <w:vAlign w:val="bottom"/>
          </w:tcPr>
          <w:p>
            <w:pPr>
              <w:spacing w:after="0"/>
              <w:rPr>
                <w:sz w:val="20"/>
                <w:szCs w:val="20"/>
                <w:color w:val="auto"/>
              </w:rPr>
            </w:pPr>
          </w:p>
        </w:tc>
      </w:tr>
      <w:tr>
        <w:trPr>
          <w:trHeight w:val="23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79,816</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67,882</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103,678</w:t>
            </w: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112,951</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tax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33,820</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100" w:type="dxa"/>
            <w:vAlign w:val="bottom"/>
          </w:tcPr>
          <w:p>
            <w:pPr>
              <w:spacing w:after="0"/>
              <w:rPr>
                <w:sz w:val="20"/>
                <w:szCs w:val="20"/>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142,728</w:t>
            </w:r>
          </w:p>
        </w:tc>
        <w:tc>
          <w:tcPr>
            <w:tcW w:w="28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361,318</w:t>
            </w:r>
          </w:p>
        </w:tc>
        <w:tc>
          <w:tcPr>
            <w:tcW w:w="280" w:type="dxa"/>
            <w:vAlign w:val="bottom"/>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483,385</w:t>
            </w:r>
          </w:p>
        </w:tc>
        <w:tc>
          <w:tcPr>
            <w:tcW w:w="100" w:type="dxa"/>
            <w:vAlign w:val="bottom"/>
          </w:tcPr>
          <w:p>
            <w:pPr>
              <w:spacing w:after="0"/>
              <w:rPr>
                <w:sz w:val="20"/>
                <w:szCs w:val="20"/>
                <w:color w:val="auto"/>
              </w:rPr>
            </w:pPr>
          </w:p>
        </w:tc>
      </w:tr>
      <w:tr>
        <w:trPr>
          <w:trHeight w:val="27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931,859</w:t>
            </w:r>
          </w:p>
        </w:tc>
        <w:tc>
          <w:tcPr>
            <w:tcW w:w="280" w:type="dxa"/>
            <w:vAlign w:val="bottom"/>
            <w:tcBorders>
              <w:bottom w:val="single" w:sz="8" w:color="CFF0FC"/>
            </w:tcBorders>
            <w:shd w:val="clear" w:color="auto" w:fill="CFF0FC"/>
          </w:tcPr>
          <w:p>
            <w:pPr>
              <w:spacing w:after="0"/>
              <w:rPr>
                <w:sz w:val="24"/>
                <w:szCs w:val="24"/>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1,116,971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2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(0 )</w:t>
            </w: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contributed capital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1,628,045</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1,628,045</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reserves</w:t>
            </w:r>
          </w:p>
        </w:tc>
        <w:tc>
          <w:tcPr>
            <w:tcW w:w="2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(253,648 )</w:t>
            </w: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(233,204 )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(1,130,341 )</w:t>
            </w: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(1,060,952 )</w:t>
            </w: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244,162</w:t>
            </w:r>
          </w:p>
        </w:tc>
        <w:tc>
          <w:tcPr>
            <w:tcW w:w="280" w:type="dxa"/>
            <w:vAlign w:val="bottom"/>
            <w:shd w:val="clear" w:color="auto" w:fill="CFF0FC"/>
          </w:tcPr>
          <w:p>
            <w:pPr>
              <w:spacing w:after="0"/>
              <w:rPr>
                <w:sz w:val="20"/>
                <w:szCs w:val="20"/>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333,994</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80" w:type="dxa"/>
            <w:vAlign w:val="bottom"/>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0"/>
                <w:szCs w:val="20"/>
                <w:color w:val="auto"/>
              </w:rPr>
            </w:pPr>
          </w:p>
        </w:tc>
      </w:tr>
      <w:tr>
        <w:trPr>
          <w:trHeight w:val="23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245,831</w:t>
            </w:r>
          </w:p>
        </w:tc>
        <w:tc>
          <w:tcPr>
            <w:tcW w:w="280" w:type="dxa"/>
            <w:vAlign w:val="bottom"/>
            <w:tcBorders>
              <w:bottom w:val="single" w:sz="8" w:color="CFF0FC"/>
            </w:tcBorders>
            <w:shd w:val="clear" w:color="auto" w:fill="CFF0FC"/>
          </w:tcPr>
          <w:p>
            <w:pPr>
              <w:spacing w:after="0"/>
              <w:rPr>
                <w:sz w:val="20"/>
                <w:szCs w:val="20"/>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335,781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37,734</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72,570</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115,486</w:t>
            </w: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114,249</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80" w:type="dxa"/>
            <w:vAlign w:val="bottom"/>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100" w:type="dxa"/>
            <w:vAlign w:val="bottom"/>
          </w:tcPr>
          <w:p>
            <w:pPr>
              <w:spacing w:after="0"/>
              <w:rPr>
                <w:sz w:val="20"/>
                <w:szCs w:val="20"/>
                <w:color w:val="auto"/>
              </w:rPr>
            </w:pPr>
          </w:p>
        </w:tc>
      </w:tr>
      <w:tr>
        <w:trPr>
          <w:trHeight w:val="281"/>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154,779</w:t>
            </w:r>
          </w:p>
        </w:tc>
        <w:tc>
          <w:tcPr>
            <w:tcW w:w="280" w:type="dxa"/>
            <w:vAlign w:val="bottom"/>
            <w:tcBorders>
              <w:bottom w:val="single" w:sz="8" w:color="CFF0FC"/>
            </w:tcBorders>
            <w:shd w:val="clear" w:color="auto" w:fill="CFF0FC"/>
          </w:tcPr>
          <w:p>
            <w:pPr>
              <w:spacing w:after="0"/>
              <w:rPr>
                <w:sz w:val="24"/>
                <w:szCs w:val="24"/>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197,535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317,047</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323,528</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47,163</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64,368</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liabilities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125,205</w:t>
            </w:r>
          </w:p>
        </w:tc>
        <w:tc>
          <w:tcPr>
            <w:tcW w:w="2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121,338</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280" w:type="dxa"/>
            <w:vAlign w:val="bottom"/>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100" w:type="dxa"/>
            <w:vAlign w:val="bottom"/>
          </w:tcPr>
          <w:p>
            <w:pPr>
              <w:spacing w:after="0"/>
              <w:rPr>
                <w:sz w:val="20"/>
                <w:szCs w:val="20"/>
                <w:color w:val="auto"/>
              </w:rPr>
            </w:pPr>
          </w:p>
        </w:tc>
      </w:tr>
      <w:tr>
        <w:trPr>
          <w:trHeight w:val="23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531,249</w:t>
            </w:r>
          </w:p>
        </w:tc>
        <w:tc>
          <w:tcPr>
            <w:tcW w:w="280" w:type="dxa"/>
            <w:vAlign w:val="bottom"/>
            <w:tcBorders>
              <w:bottom w:val="single" w:sz="8" w:color="CFF0FC"/>
            </w:tcBorders>
            <w:shd w:val="clear" w:color="auto" w:fill="CFF0FC"/>
          </w:tcPr>
          <w:p>
            <w:pPr>
              <w:spacing w:after="0"/>
              <w:rPr>
                <w:sz w:val="20"/>
                <w:szCs w:val="20"/>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583,655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686,028</w:t>
            </w:r>
          </w:p>
        </w:tc>
        <w:tc>
          <w:tcPr>
            <w:tcW w:w="280" w:type="dxa"/>
            <w:vAlign w:val="bottom"/>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781,190</w:t>
            </w:r>
          </w:p>
        </w:tc>
        <w:tc>
          <w:tcPr>
            <w:tcW w:w="100" w:type="dxa"/>
            <w:vAlign w:val="bottom"/>
          </w:tcPr>
          <w:p>
            <w:pPr>
              <w:spacing w:after="0"/>
              <w:rPr>
                <w:sz w:val="20"/>
                <w:szCs w:val="20"/>
                <w:color w:val="auto"/>
              </w:rPr>
            </w:pPr>
          </w:p>
        </w:tc>
      </w:tr>
      <w:tr>
        <w:trPr>
          <w:trHeight w:val="27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931,859</w:t>
            </w:r>
          </w:p>
        </w:tc>
        <w:tc>
          <w:tcPr>
            <w:tcW w:w="280" w:type="dxa"/>
            <w:vAlign w:val="bottom"/>
            <w:tcBorders>
              <w:bottom w:val="single" w:sz="8" w:color="CFF0FC"/>
            </w:tcBorders>
            <w:shd w:val="clear" w:color="auto" w:fill="CFF0FC"/>
          </w:tcPr>
          <w:p>
            <w:pPr>
              <w:spacing w:after="0"/>
              <w:rPr>
                <w:sz w:val="24"/>
                <w:szCs w:val="24"/>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1,116,971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-6034405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-6034405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-4782820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-4782820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-4457065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-4439920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-4457065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-2870835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-1927860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-1910715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-351155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8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(76,285 )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(162,296 )</w:t>
            </w:r>
          </w:p>
        </w:tc>
      </w:tr>
      <w:tr>
        <w:trPr>
          <w:trHeight w:val="24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1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of property, plant and equipment and right-of-use assets and</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100" w:type="dxa"/>
            <w:vAlign w:val="bottom"/>
          </w:tcPr>
          <w:p>
            <w:pPr>
              <w:spacing w:after="0"/>
              <w:rPr>
                <w:sz w:val="20"/>
                <w:szCs w:val="20"/>
                <w:color w:val="auto"/>
              </w:rPr>
            </w:pPr>
          </w:p>
        </w:tc>
      </w:tr>
      <w:tr>
        <w:trPr>
          <w:trHeight w:val="250"/>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loss/(gain) on trade receivables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(268 )</w:t>
            </w: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—Movements in provisions</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(35,507 )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related to discontinued construction of production facilities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(815 )</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(13,002 )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(7,657 )</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paid</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(3,767 )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(12,191 )</w:t>
            </w:r>
          </w:p>
        </w:tc>
      </w:tr>
      <w:tr>
        <w:trPr>
          <w:trHeight w:val="24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—(Increase)/decrease in inventories</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(14,151 )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—Decrease/(increase) in trade receivables, other current receivables, prepaid expenses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2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(1,934 )</w:t>
            </w: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—(Decrease)/increase in trade payables, other current liabilities, accrued expenses</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(9,786 )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tcPr>
          <w:p>
            <w:pPr>
              <w:spacing w:after="0"/>
              <w:rPr>
                <w:sz w:val="20"/>
                <w:szCs w:val="20"/>
                <w:color w:val="auto"/>
              </w:rPr>
            </w:pPr>
          </w:p>
        </w:tc>
      </w:tr>
      <w:tr>
        <w:trPr>
          <w:trHeight w:val="20"/>
        </w:trPr>
        <w:tc>
          <w:tcPr>
            <w:tcW w:w="79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(86,013 )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(113,090 )</w:t>
            </w:r>
          </w:p>
        </w:tc>
      </w:tr>
      <w:tr>
        <w:trPr>
          <w:trHeight w:val="236"/>
        </w:trPr>
        <w:tc>
          <w:tcPr>
            <w:tcW w:w="7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(773 )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(1,569 )</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(19,647 )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(39,465 )</w:t>
            </w:r>
          </w:p>
        </w:tc>
      </w:tr>
      <w:tr>
        <w:trPr>
          <w:trHeight w:val="24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financial assets</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(1,651 )</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22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assets held for sale</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43,998</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from investing activities</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2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324,950</w:t>
            </w: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liabilities to credit institutions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176,956</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(1,360 )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(97,680 )</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(4,965 )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(31,815 )</w:t>
            </w:r>
          </w:p>
        </w:tc>
      </w:tr>
      <w:tr>
        <w:trPr>
          <w:trHeight w:val="243"/>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(13,888 )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(5,102 )</w:t>
            </w:r>
          </w:p>
        </w:tc>
      </w:tr>
      <w:tr>
        <w:trPr>
          <w:trHeight w:val="20"/>
        </w:trPr>
        <w:tc>
          <w:tcPr>
            <w:tcW w:w="796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in)/from financing activities</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(20,213 )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367,309</w:t>
            </w:r>
          </w:p>
        </w:tc>
        <w:tc>
          <w:tcPr>
            <w:tcW w:w="100" w:type="dxa"/>
            <w:vAlign w:val="bottom"/>
          </w:tcPr>
          <w:p>
            <w:pPr>
              <w:spacing w:after="0"/>
              <w:rPr>
                <w:sz w:val="20"/>
                <w:szCs w:val="20"/>
                <w:color w:val="auto"/>
              </w:rPr>
            </w:pPr>
          </w:p>
        </w:tc>
      </w:tr>
      <w:tr>
        <w:trPr>
          <w:trHeight w:val="20"/>
        </w:trPr>
        <w:tc>
          <w:tcPr>
            <w:tcW w:w="79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(105,368 )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255,532</w:t>
            </w:r>
          </w:p>
        </w:tc>
        <w:tc>
          <w:tcPr>
            <w:tcW w:w="100" w:type="dxa"/>
            <w:vAlign w:val="bottom"/>
            <w:shd w:val="clear" w:color="auto" w:fill="CFF0FC"/>
          </w:tcPr>
          <w:p>
            <w:pPr>
              <w:spacing w:after="0"/>
              <w:rPr>
                <w:sz w:val="20"/>
                <w:szCs w:val="20"/>
                <w:color w:val="auto"/>
              </w:rPr>
            </w:pPr>
          </w:p>
        </w:tc>
      </w:tr>
      <w:tr>
        <w:trPr>
          <w:trHeight w:val="235"/>
        </w:trPr>
        <w:tc>
          <w:tcPr>
            <w:tcW w:w="7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220" w:type="dxa"/>
            <w:vAlign w:val="bottom"/>
            <w:tcBorders>
              <w:top w:val="single" w:sz="8" w:color="CFF0FC"/>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82,644</w:t>
            </w:r>
          </w:p>
        </w:tc>
        <w:tc>
          <w:tcPr>
            <w:tcW w:w="100" w:type="dxa"/>
            <w:vAlign w:val="bottom"/>
            <w:tcBorders>
              <w:top w:val="single" w:sz="8" w:color="CFF0FC"/>
            </w:tcBorders>
          </w:tcPr>
          <w:p>
            <w:pPr>
              <w:spacing w:after="0"/>
              <w:rPr>
                <w:sz w:val="20"/>
                <w:szCs w:val="20"/>
                <w:color w:val="auto"/>
              </w:rPr>
            </w:pPr>
          </w:p>
        </w:tc>
      </w:tr>
      <w:tr>
        <w:trPr>
          <w:trHeight w:val="254"/>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(1,203 )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FF0FC"/>
          </w:tcPr>
          <w:p>
            <w:pPr>
              <w:spacing w:after="0"/>
              <w:rPr>
                <w:sz w:val="22"/>
                <w:szCs w:val="22"/>
                <w:color w:val="auto"/>
              </w:rPr>
            </w:pPr>
          </w:p>
        </w:tc>
      </w:tr>
      <w:tr>
        <w:trPr>
          <w:trHeight w:val="243"/>
        </w:trPr>
        <w:tc>
          <w:tcPr>
            <w:tcW w:w="7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142,728</w:t>
            </w:r>
          </w:p>
        </w:tc>
        <w:tc>
          <w:tcPr>
            <w:tcW w:w="220" w:type="dxa"/>
            <w:vAlign w:val="bottom"/>
            <w:tcBorders>
              <w:top w:val="single" w:sz="8" w:color="CFF0FC"/>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340,730</w:t>
            </w:r>
          </w:p>
        </w:tc>
        <w:tc>
          <w:tcPr>
            <w:tcW w:w="100" w:type="dxa"/>
            <w:vAlign w:val="bottom"/>
            <w:tcBorders>
              <w:top w:val="single" w:sz="8" w:color="CFF0FC"/>
            </w:tcBorders>
          </w:tcPr>
          <w:p>
            <w:pPr>
              <w:spacing w:after="0"/>
              <w:rPr>
                <w:sz w:val="21"/>
                <w:szCs w:val="21"/>
                <w:color w:val="auto"/>
              </w:rPr>
            </w:pPr>
          </w:p>
        </w:tc>
      </w:tr>
      <w:tr>
        <w:trPr>
          <w:trHeight w:val="20"/>
        </w:trPr>
        <w:tc>
          <w:tcPr>
            <w:tcW w:w="7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-3025140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-1773555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-839470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-513715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Reconciliation of IFRS to Non-IFRS Financial measures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 to loss for the period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8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6"/>
              </w:rPr>
              <w:t>(30,441 )</w:t>
            </w:r>
          </w:p>
        </w:tc>
        <w:tc>
          <w:tcPr>
            <w:tcW w:w="9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(86,719 )</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(76,285 )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(162,296 )</w:t>
            </w: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8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6"/>
              </w:rPr>
              <w:t>(10,389 )</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00" w:type="dxa"/>
            <w:vAlign w:val="bottom"/>
            <w:shd w:val="clear" w:color="auto" w:fill="CFF0FC"/>
          </w:tcPr>
          <w:p>
            <w:pPr>
              <w:spacing w:after="0"/>
              <w:rPr>
                <w:sz w:val="21"/>
                <w:szCs w:val="2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100" w:type="dxa"/>
            <w:vAlign w:val="bottom"/>
          </w:tcPr>
          <w:p>
            <w:pPr>
              <w:spacing w:after="0"/>
              <w:rPr>
                <w:sz w:val="20"/>
                <w:szCs w:val="20"/>
                <w:color w:val="auto"/>
              </w:rPr>
            </w:pPr>
          </w:p>
        </w:tc>
      </w:tr>
      <w:tr>
        <w:trPr>
          <w:trHeight w:val="241"/>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8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(26,771 )</w:t>
            </w:r>
          </w:p>
        </w:tc>
        <w:tc>
          <w:tcPr>
            <w:tcW w:w="9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(63,016 )</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(42,171 )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(122,352 )</w:t>
            </w: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shd w:val="clear" w:color="auto" w:fill="CFF0FC"/>
          </w:tcPr>
          <w:p>
            <w:pPr>
              <w:spacing w:after="0"/>
              <w:rPr>
                <w:sz w:val="21"/>
                <w:szCs w:val="2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(2)</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2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(3)</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(4)</w:t>
            </w:r>
          </w:p>
        </w:tc>
        <w:tc>
          <w:tcPr>
            <w:tcW w:w="880" w:type="dxa"/>
            <w:vAlign w:val="bottom"/>
          </w:tcPr>
          <w:p>
            <w:pPr>
              <w:spacing w:after="0"/>
              <w:rPr>
                <w:sz w:val="21"/>
                <w:szCs w:val="21"/>
                <w:color w:val="auto"/>
              </w:rPr>
            </w:pPr>
          </w:p>
        </w:tc>
        <w:tc>
          <w:tcPr>
            <w:tcW w:w="1720" w:type="dxa"/>
            <w:vAlign w:val="bottom"/>
            <w:gridSpan w:val="3"/>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r>
      <w:tr>
        <w:trPr>
          <w:trHeight w:val="239"/>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(10,997 )</w:t>
            </w:r>
          </w:p>
        </w:tc>
        <w:tc>
          <w:tcPr>
            <w:tcW w:w="9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(52,468 )</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(24,201 )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(102,341 )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-162560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-162560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-162560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0</wp:posOffset>
            </wp:positionV>
            <wp:extent cx="41402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7"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payments as the Group continues to adjust its organizational structure to the macro environment.</w:t>
      </w:r>
    </w:p>
    <w:p>
      <w:pPr>
        <w:spacing w:after="0" w:line="32" w:lineRule="exact"/>
        <w:rPr>
          <w:rFonts w:ascii="Times New Roman" w:cs="Times New Roman" w:eastAsia="Times New Roman" w:hAnsi="Times New Roman"/>
          <w:sz w:val="16"/>
          <w:szCs w:val="16"/>
          <w:color w:val="auto"/>
        </w:rPr>
      </w:pPr>
    </w:p>
    <w:p>
      <w:pPr>
        <w:ind w:left="380" w:hanging="372"/>
        <w:spacing w:after="0" w:line="269"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a new product launch issue.</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the YYF Transaction. See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Forms 6-K filed on January 3, 2023 and March 2, 2023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-650875</wp:posOffset>
            </wp:positionV>
            <wp:extent cx="41402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Flows used in Operating Activities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8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0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(46,935 )</w:t>
            </w:r>
          </w:p>
        </w:tc>
        <w:tc>
          <w:tcPr>
            <w:tcW w:w="10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(41,878 )</w:t>
            </w:r>
          </w:p>
        </w:tc>
        <w:tc>
          <w:tcPr>
            <w:tcW w:w="9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(86,013 )</w:t>
            </w:r>
          </w:p>
        </w:tc>
        <w:tc>
          <w:tcPr>
            <w:tcW w:w="9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3"/>
              </w:rPr>
              <w:t>(113,090 )</w:t>
            </w: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(14,226 )</w:t>
            </w:r>
          </w:p>
        </w:tc>
        <w:tc>
          <w:tcPr>
            <w:tcW w:w="10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(12,912 )</w:t>
            </w:r>
          </w:p>
        </w:tc>
        <w:tc>
          <w:tcPr>
            <w:tcW w:w="9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(20,420 )</w:t>
            </w:r>
          </w:p>
        </w:tc>
        <w:tc>
          <w:tcPr>
            <w:tcW w:w="9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(41,034 )</w:t>
            </w:r>
          </w:p>
        </w:tc>
      </w:tr>
      <w:tr>
        <w:trPr>
          <w:trHeight w:val="20"/>
        </w:trPr>
        <w:tc>
          <w:tcPr>
            <w:tcW w:w="3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(61,161 )</w:t>
            </w:r>
          </w:p>
        </w:tc>
        <w:tc>
          <w:tcPr>
            <w:tcW w:w="100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(54,790 )</w:t>
            </w:r>
          </w:p>
        </w:tc>
        <w:tc>
          <w:tcPr>
            <w:tcW w:w="96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3"/>
              </w:rPr>
              <w:t>(106,433 )</w:t>
            </w:r>
          </w:p>
        </w:tc>
        <w:tc>
          <w:tcPr>
            <w:tcW w:w="9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3"/>
              </w:rPr>
              <w:t>(154,124 )</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-24765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2024-07-24T06:09:35Z</dcterms:created>
  <dcterms:modified xsi:type="dcterms:W3CDTF">2024-07-24T06:09:35Z</dcterms:modified>
</cp:coreProperties>
</file>