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RATHKE FRANCES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COFFEE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WATERBURY</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VT 05676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23,656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35,846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9,726 RSUs vested on May 31, 2026, and the remainder of the RSUs vest in connection with the Issuer's next annual general meeting. Each RSU represents a right to receive one ADS in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13,930 RSUs will vest in full on the date of the Issuer's next annual general meeting, subject to the Reporting Person's continued service as a director through such vesting date.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Frances Rathke</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Frances Rathke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26477"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2026-06-02T18:23:17Z</dcterms:created>
  <dcterms:modified xsi:type="dcterms:W3CDTF">2026-06-02T18:23:17Z</dcterms:modified>
</cp:coreProperties>
</file>