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13a-16 OR 15d-16</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June, 2022</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Oatly Group AB</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7"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Jagaregatan 4</w:t>
      </w:r>
    </w:p>
    <w:p>
      <w:pPr>
        <w:spacing w:after="0" w:line="20"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Sweden</w:t>
      </w: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3" w:lineRule="exact"/>
        <w:rPr>
          <w:sz w:val="24"/>
          <w:szCs w:val="24"/>
          <w:color w:val="auto"/>
        </w:rPr>
      </w:pPr>
    </w:p>
    <w:p>
      <w:pPr>
        <w:ind w:left="4040"/>
        <w:spacing w:after="0" w:line="207" w:lineRule="exact"/>
        <w:tabs>
          <w:tab w:leader="none" w:pos="61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1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June 23, 2022, Oatly Group AB (the “Company”) and its subsidiaries Cereal Base CEBA Aktiebolag and Oatly AB issued a sustainable incremental facility notice (the “Incremental Facility Notice”) under the existing Sustainable Revolving Credit Facility Agreement dated April 14, 2021, as amended on March 28, 2022 (the “SRCF Agreement”), between the Company, Oatly AB as Original Borrower, BNP Paribas SA, Bankfilial Sverige, Cooperative Rabobank U.A., Nordea Bank Abp, filial i Sverige and Skandinaviska Enskilda Banken AB (publ) as Bookrunning Mandated Lead Arrangers, Barclays Bank Ireland PLC, J.P. Morgan AG and Morgan Stanley Bank International Limited as Mandated Lead Arrangers, Credit Suisse (Deutschland) Aktiengesellschaft as Lead Arranger and Skandinaviska Enskilda Banken AB (publ) as Agent and Security Agent. Pursuant to the Incremental Facility Notice, the Company exercised the SEK 850 million (equivalent of $83.98 million) accordion option under the SRCF Agreement, which is in addition to the existing SEK 3.6 billion (equivalent of $355.68 million) committed facility made available under the SRCF Agreement (the “Existing Facility”). The following lenders have committed to provide and participate in the SEK 850 million incremental facility with Oatly AB as borrower (the “Incremental Facility): Morgan Stanley Senior Funding, Inc., J.P. Morgan SE, BNP Paribas SA, Bankfilial Sverige, Nordea Bank Abp, filial i Sverige, and Coöperatieve Rabobank U.A.</w:t>
      </w:r>
    </w:p>
    <w:p>
      <w:pPr>
        <w:spacing w:after="0" w:line="18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Incremental Facility are substantially similar to those of the Existing Facility, including as regards margin, commitment fee and termination date.</w:t>
      </w:r>
    </w:p>
    <w:p>
      <w:pPr>
        <w:spacing w:after="0" w:line="162"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Incremental Facility Notice stipulates that drawdowns under the Incremental Facility are subject to the Company notifying the Agent under the SRCF Agreement that the group has successfully raised capital (whether in the form of equity and/or debt) of at least $400 million by December 31, 2022, and if this has not occurred by December 31, 2022, the Incremental Facility will be cancelled.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Incremental Facility is qualified in its entirety by the terms of such agreement, which is filed hereto as Exhibit 4.1 and incorporated herein by reference.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than as indicated below, the information in this Report of Foreign Private Issuer on Form 6-K (including in Exhibit 4.1)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Report of Foreign Private Issuer on Form 6-K is hereby incorporated by reference into the Company’s registration statement on Form S-8, as amended (File No. 333-256316).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color w:val="auto"/>
              </w:rPr>
              <w:t>Exhibit No.</w:t>
            </w:r>
          </w:p>
        </w:tc>
        <w:tc>
          <w:tcPr>
            <w:tcW w:w="100" w:type="dxa"/>
            <w:vAlign w:val="bottom"/>
          </w:tcPr>
          <w:p>
            <w:pPr>
              <w:spacing w:after="0"/>
              <w:rPr>
                <w:sz w:val="16"/>
                <w:szCs w:val="16"/>
                <w:color w:val="auto"/>
              </w:rPr>
            </w:pPr>
          </w:p>
        </w:tc>
        <w:tc>
          <w:tcPr>
            <w:tcW w:w="10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291"/>
        </w:trPr>
        <w:tc>
          <w:tcPr>
            <w:tcW w:w="114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Incremental Facility Notice dated June 23, 2022</w:t>
            </w:r>
          </w:p>
        </w:tc>
      </w:tr>
      <w:tr>
        <w:trPr>
          <w:trHeight w:val="338"/>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520" w:type="dxa"/>
            <w:vAlign w:val="bottom"/>
            <w:tcBorders>
              <w:top w:val="single" w:sz="8" w:color="0000FF"/>
              <w:bottom w:val="single" w:sz="8" w:color="9A9A9A"/>
            </w:tcBorders>
          </w:tcPr>
          <w:p>
            <w:pPr>
              <w:spacing w:after="0"/>
              <w:rPr>
                <w:sz w:val="24"/>
                <w:szCs w:val="24"/>
                <w:color w:val="auto"/>
              </w:rPr>
            </w:pPr>
          </w:p>
        </w:tc>
        <w:tc>
          <w:tcPr>
            <w:tcW w:w="6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Oatly Group AB</w:t>
      </w:r>
    </w:p>
    <w:p>
      <w:pPr>
        <w:spacing w:after="0" w:line="229" w:lineRule="exact"/>
        <w:rPr>
          <w:sz w:val="20"/>
          <w:szCs w:val="20"/>
          <w:color w:val="auto"/>
        </w:rPr>
      </w:pPr>
    </w:p>
    <w:p>
      <w:pPr>
        <w:ind w:left="20"/>
        <w:spacing w:after="0"/>
        <w:tabs>
          <w:tab w:leader="none" w:pos="5740" w:val="left"/>
          <w:tab w:leader="none" w:pos="6180" w:val="left"/>
        </w:tabs>
        <w:rPr>
          <w:sz w:val="20"/>
          <w:szCs w:val="20"/>
          <w:color w:val="auto"/>
        </w:rPr>
      </w:pPr>
      <w:r>
        <w:rPr>
          <w:rFonts w:ascii="Times New Roman" w:cs="Times New Roman" w:eastAsia="Times New Roman" w:hAnsi="Times New Roman"/>
          <w:sz w:val="18"/>
          <w:szCs w:val="18"/>
          <w:color w:val="auto"/>
        </w:rPr>
        <w:t>Date: June 24, 2022</w:t>
      </w:r>
      <w:r>
        <w:rPr>
          <w:sz w:val="20"/>
          <w:szCs w:val="20"/>
          <w:color w:val="auto"/>
        </w:rPr>
        <w:tab/>
      </w:r>
      <w:r>
        <w:rPr>
          <w:rFonts w:ascii="Times New Roman" w:cs="Times New Roman" w:eastAsia="Times New Roman" w:hAnsi="Times New Roman"/>
          <w:sz w:val="18"/>
          <w:szCs w:val="18"/>
          <w:color w:val="auto"/>
        </w:rPr>
        <w:t>By:</w:t>
        <w:tab/>
        <w:t>/s/ Christian Hanke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Christian Hanke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Sustainable Incremental Facility Notice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To: </w:t>
      </w:r>
      <w:r>
        <w:rPr>
          <w:rFonts w:ascii="Times New Roman" w:cs="Times New Roman" w:eastAsia="Times New Roman" w:hAnsi="Times New Roman"/>
          <w:sz w:val="20"/>
          <w:szCs w:val="20"/>
          <w:b w:val="1"/>
          <w:bCs w:val="1"/>
          <w:color w:val="auto"/>
        </w:rPr>
        <w:t>Skandinaviska Enskilda Banken AB (publ)</w:t>
      </w:r>
      <w:r>
        <w:rPr>
          <w:rFonts w:ascii="Times New Roman" w:cs="Times New Roman" w:eastAsia="Times New Roman" w:hAnsi="Times New Roman"/>
          <w:sz w:val="20"/>
          <w:szCs w:val="20"/>
          <w:color w:val="auto"/>
        </w:rPr>
        <w:t xml:space="preserve"> as Agent</w:t>
      </w:r>
    </w:p>
    <w:p>
      <w:pPr>
        <w:spacing w:after="0" w:line="148" w:lineRule="exact"/>
        <w:rPr>
          <w:sz w:val="20"/>
          <w:szCs w:val="20"/>
          <w:color w:val="auto"/>
        </w:rPr>
      </w:pPr>
    </w:p>
    <w:p>
      <w:pPr>
        <w:ind w:right="5080"/>
        <w:spacing w:after="0" w:line="311" w:lineRule="auto"/>
        <w:rPr>
          <w:sz w:val="20"/>
          <w:szCs w:val="20"/>
          <w:color w:val="auto"/>
        </w:rPr>
      </w:pPr>
      <w:r>
        <w:rPr>
          <w:rFonts w:ascii="Times New Roman" w:cs="Times New Roman" w:eastAsia="Times New Roman" w:hAnsi="Times New Roman"/>
          <w:sz w:val="19"/>
          <w:szCs w:val="19"/>
          <w:color w:val="auto"/>
        </w:rPr>
        <w:t xml:space="preserve">From: </w:t>
      </w:r>
      <w:r>
        <w:rPr>
          <w:rFonts w:ascii="Times New Roman" w:cs="Times New Roman" w:eastAsia="Times New Roman" w:hAnsi="Times New Roman"/>
          <w:sz w:val="19"/>
          <w:szCs w:val="19"/>
          <w:b w:val="1"/>
          <w:bCs w:val="1"/>
          <w:color w:val="auto"/>
        </w:rPr>
        <w:t>Oatly Group AB (publ)</w:t>
      </w:r>
      <w:r>
        <w:rPr>
          <w:rFonts w:ascii="Times New Roman" w:cs="Times New Roman" w:eastAsia="Times New Roman" w:hAnsi="Times New Roman"/>
          <w:sz w:val="19"/>
          <w:szCs w:val="19"/>
          <w:color w:val="auto"/>
        </w:rPr>
        <w:t xml:space="preserve"> (reg. no. 559081-1989) as the Company; </w:t>
      </w:r>
      <w:r>
        <w:rPr>
          <w:rFonts w:ascii="Times New Roman" w:cs="Times New Roman" w:eastAsia="Times New Roman" w:hAnsi="Times New Roman"/>
          <w:sz w:val="19"/>
          <w:szCs w:val="19"/>
          <w:b w:val="1"/>
          <w:bCs w:val="1"/>
          <w:color w:val="auto"/>
        </w:rPr>
        <w:t xml:space="preserve">Oatly AB </w:t>
      </w:r>
      <w:r>
        <w:rPr>
          <w:rFonts w:ascii="Times New Roman" w:cs="Times New Roman" w:eastAsia="Times New Roman" w:hAnsi="Times New Roman"/>
          <w:sz w:val="19"/>
          <w:szCs w:val="19"/>
          <w:color w:val="auto"/>
        </w:rPr>
        <w:t>(reg. no. 556446-1043) as Original Borrower and Obligors’ Agent;</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Cereal Base CEBA Aktiebolag </w:t>
      </w:r>
      <w:r>
        <w:rPr>
          <w:rFonts w:ascii="Times New Roman" w:cs="Times New Roman" w:eastAsia="Times New Roman" w:hAnsi="Times New Roman"/>
          <w:sz w:val="20"/>
          <w:szCs w:val="20"/>
          <w:color w:val="auto"/>
        </w:rPr>
        <w:t>(reg. no. 556482-2988) as pledgor (the “</w:t>
      </w:r>
      <w:r>
        <w:rPr>
          <w:rFonts w:ascii="Times New Roman" w:cs="Times New Roman" w:eastAsia="Times New Roman" w:hAnsi="Times New Roman"/>
          <w:sz w:val="20"/>
          <w:szCs w:val="20"/>
          <w:b w:val="1"/>
          <w:bCs w:val="1"/>
          <w:color w:val="auto"/>
        </w:rPr>
        <w:t>Pledgor</w:t>
      </w:r>
      <w:r>
        <w:rPr>
          <w:rFonts w:ascii="Times New Roman" w:cs="Times New Roman" w:eastAsia="Times New Roman" w:hAnsi="Times New Roman"/>
          <w:sz w:val="20"/>
          <w:szCs w:val="20"/>
          <w:color w:val="auto"/>
        </w:rPr>
        <w:t>”); and</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b w:val="1"/>
          <w:bCs w:val="1"/>
          <w:color w:val="auto"/>
        </w:rPr>
        <w:t xml:space="preserve">the entities listed in the Schedule </w:t>
      </w:r>
      <w:r>
        <w:rPr>
          <w:rFonts w:ascii="Times New Roman" w:cs="Times New Roman" w:eastAsia="Times New Roman" w:hAnsi="Times New Roman"/>
          <w:sz w:val="19"/>
          <w:szCs w:val="19"/>
          <w:color w:val="auto"/>
        </w:rPr>
        <w:t>as Sustainable Incremental Facility Lenders (the “</w:t>
      </w:r>
      <w:r>
        <w:rPr>
          <w:rFonts w:ascii="Times New Roman" w:cs="Times New Roman" w:eastAsia="Times New Roman" w:hAnsi="Times New Roman"/>
          <w:sz w:val="19"/>
          <w:szCs w:val="19"/>
          <w:b w:val="1"/>
          <w:bCs w:val="1"/>
          <w:color w:val="auto"/>
        </w:rPr>
        <w:t>Sustainable Incremental Facility Lenders</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Dated: </w:t>
      </w:r>
      <w:r>
        <w:rPr>
          <w:rFonts w:ascii="Times New Roman" w:cs="Times New Roman" w:eastAsia="Times New Roman" w:hAnsi="Times New Roman"/>
          <w:sz w:val="20"/>
          <w:szCs w:val="20"/>
          <w:u w:val="single" w:color="auto"/>
          <w:color w:val="auto"/>
        </w:rPr>
        <w:t>23</w:t>
      </w:r>
      <w:r>
        <w:rPr>
          <w:rFonts w:ascii="Times New Roman" w:cs="Times New Roman" w:eastAsia="Times New Roman" w:hAnsi="Times New Roman"/>
          <w:sz w:val="20"/>
          <w:szCs w:val="20"/>
          <w:color w:val="auto"/>
        </w:rPr>
        <w:t xml:space="preserve"> June 2022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Oatly Group AB (publ) – SEK 3,600,000,000 Sustainable Revolving Credit Facility Agreement</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originally dated 14 April 2021 (as amended and restated by an amendment and restatement agreement dated 14 July 2021 and as</w:t>
      </w:r>
    </w:p>
    <w:p>
      <w:pPr>
        <w:jc w:val="center"/>
        <w:spacing w:after="0"/>
        <w:rPr>
          <w:sz w:val="20"/>
          <w:szCs w:val="20"/>
          <w:color w:val="auto"/>
        </w:rPr>
      </w:pPr>
      <w:r>
        <w:rPr>
          <w:rFonts w:ascii="Times New Roman" w:cs="Times New Roman" w:eastAsia="Times New Roman" w:hAnsi="Times New Roman"/>
          <w:sz w:val="20"/>
          <w:szCs w:val="20"/>
          <w:b w:val="1"/>
          <w:bCs w:val="1"/>
          <w:color w:val="auto"/>
        </w:rPr>
        <w:t>further amended by an amendment letter dated 28 March 2022) (the “Agreement”)</w:t>
      </w:r>
    </w:p>
    <w:p>
      <w:pPr>
        <w:spacing w:after="0" w:line="140" w:lineRule="exact"/>
        <w:rPr>
          <w:sz w:val="20"/>
          <w:szCs w:val="20"/>
          <w:color w:val="auto"/>
        </w:rPr>
      </w:pPr>
    </w:p>
    <w:p>
      <w:pPr>
        <w:jc w:val="both"/>
        <w:ind w:left="760" w:hanging="752"/>
        <w:spacing w:after="0" w:line="24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refer to the Agreement. This is a Sustainable Incremental Facility Notice. This Sustainable Incremental Facility Notice shall take effect as a Sustainable Incremental Facility Notice for the purposes of the Agreement. Terms defined in the Agreement have the same meaning in this Sustainable Incremental Facility Notice unless given a different meaning in this Sustainable Incremental Facility Notice.</w:t>
      </w:r>
    </w:p>
    <w:p>
      <w:pPr>
        <w:spacing w:after="0" w:line="121"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refer to clause 8 (</w:t>
      </w:r>
      <w:r>
        <w:rPr>
          <w:rFonts w:ascii="Times New Roman" w:cs="Times New Roman" w:eastAsia="Times New Roman" w:hAnsi="Times New Roman"/>
          <w:sz w:val="20"/>
          <w:szCs w:val="20"/>
          <w:i w:val="1"/>
          <w:iCs w:val="1"/>
          <w:color w:val="auto"/>
        </w:rPr>
        <w:t>Establishment of Incremental Facilities</w:t>
      </w:r>
      <w:r>
        <w:rPr>
          <w:rFonts w:ascii="Times New Roman" w:cs="Times New Roman" w:eastAsia="Times New Roman" w:hAnsi="Times New Roman"/>
          <w:sz w:val="20"/>
          <w:szCs w:val="20"/>
          <w:color w:val="auto"/>
        </w:rPr>
        <w:t>) of the Agreement.</w:t>
      </w:r>
    </w:p>
    <w:p>
      <w:pPr>
        <w:spacing w:after="0" w:line="152"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request the establishment of a Sustainable Incremental Facility with the following Sustainable Incremental Facility Terms:</w:t>
      </w:r>
    </w:p>
    <w:p>
      <w:pPr>
        <w:spacing w:after="0" w:line="161"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 Currency: SEK.</w:t>
      </w:r>
    </w:p>
    <w:p>
      <w:pPr>
        <w:spacing w:after="0" w:line="161"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Optional Currencies: Same as for the Sustainable Revolving Facility.</w:t>
      </w:r>
    </w:p>
    <w:p>
      <w:pPr>
        <w:spacing w:after="0" w:line="161"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Sustainable Incremental Facility Commitments: SEK 850,000,000.</w:t>
      </w:r>
    </w:p>
    <w:p>
      <w:pPr>
        <w:spacing w:after="0" w:line="161" w:lineRule="exact"/>
        <w:rPr>
          <w:rFonts w:ascii="Times New Roman" w:cs="Times New Roman" w:eastAsia="Times New Roman" w:hAnsi="Times New Roman"/>
          <w:sz w:val="20"/>
          <w:szCs w:val="20"/>
          <w:color w:val="auto"/>
        </w:rPr>
      </w:pPr>
    </w:p>
    <w:p>
      <w:pPr>
        <w:jc w:val="both"/>
        <w:ind w:left="1500" w:hanging="743"/>
        <w:spacing w:after="0" w:line="247" w:lineRule="auto"/>
        <w:tabs>
          <w:tab w:leader="none" w:pos="150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Margin: Same as for the Sustainable Revolving Facility (for the avoidance of doubt, thereby also subject to the provisions of the definition of “Margin” set out in clause 1.1 (</w:t>
      </w:r>
      <w:r>
        <w:rPr>
          <w:rFonts w:ascii="Times New Roman" w:cs="Times New Roman" w:eastAsia="Times New Roman" w:hAnsi="Times New Roman"/>
          <w:sz w:val="20"/>
          <w:szCs w:val="20"/>
          <w:i w:val="1"/>
          <w:iCs w:val="1"/>
          <w:color w:val="auto"/>
        </w:rPr>
        <w:t>Definitions</w:t>
      </w:r>
      <w:r>
        <w:rPr>
          <w:rFonts w:ascii="Times New Roman" w:cs="Times New Roman" w:eastAsia="Times New Roman" w:hAnsi="Times New Roman"/>
          <w:sz w:val="20"/>
          <w:szCs w:val="20"/>
          <w:color w:val="auto"/>
        </w:rPr>
        <w:t>), clause 12.3 (</w:t>
      </w:r>
      <w:r>
        <w:rPr>
          <w:rFonts w:ascii="Times New Roman" w:cs="Times New Roman" w:eastAsia="Times New Roman" w:hAnsi="Times New Roman"/>
          <w:sz w:val="20"/>
          <w:szCs w:val="20"/>
          <w:i w:val="1"/>
          <w:iCs w:val="1"/>
          <w:color w:val="auto"/>
        </w:rPr>
        <w:t>Sustainability Adjustments</w:t>
      </w:r>
      <w:r>
        <w:rPr>
          <w:rFonts w:ascii="Times New Roman" w:cs="Times New Roman" w:eastAsia="Times New Roman" w:hAnsi="Times New Roman"/>
          <w:sz w:val="20"/>
          <w:szCs w:val="20"/>
          <w:color w:val="auto"/>
        </w:rPr>
        <w:t>) and clause 12.4 (</w:t>
      </w:r>
      <w:r>
        <w:rPr>
          <w:rFonts w:ascii="Times New Roman" w:cs="Times New Roman" w:eastAsia="Times New Roman" w:hAnsi="Times New Roman"/>
          <w:sz w:val="20"/>
          <w:szCs w:val="20"/>
          <w:i w:val="1"/>
          <w:iCs w:val="1"/>
          <w:color w:val="auto"/>
        </w:rPr>
        <w:t>Margin premium for Loans and Unpaid Sums in USD and GBP</w:t>
      </w:r>
      <w:r>
        <w:rPr>
          <w:rFonts w:ascii="Times New Roman" w:cs="Times New Roman" w:eastAsia="Times New Roman" w:hAnsi="Times New Roman"/>
          <w:sz w:val="20"/>
          <w:szCs w:val="20"/>
          <w:color w:val="auto"/>
        </w:rPr>
        <w:t>) of the Agreement).</w:t>
      </w:r>
    </w:p>
    <w:p>
      <w:pPr>
        <w:spacing w:after="0" w:line="126"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Commitment fee: Same as for the Sustainable Revolving Facility (for the avoidance of doubt, commencing from and including the Establishment Date).</w:t>
      </w:r>
    </w:p>
    <w:p>
      <w:pPr>
        <w:spacing w:after="0" w:line="10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to which the Sustainable Incremental Facility is to be made available: Oatly AB.</w:t>
      </w:r>
    </w:p>
    <w:p>
      <w:pPr>
        <w:spacing w:after="0" w:line="161"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Purpose(s) for which all amounts borrowed under the Sustainable Incremental Facility shall be applied pursuant to clause 3.1 (</w:t>
      </w:r>
      <w:r>
        <w:rPr>
          <w:rFonts w:ascii="Times New Roman" w:cs="Times New Roman" w:eastAsia="Times New Roman" w:hAnsi="Times New Roman"/>
          <w:sz w:val="20"/>
          <w:szCs w:val="20"/>
          <w:i w:val="1"/>
          <w:iCs w:val="1"/>
          <w:color w:val="auto"/>
        </w:rPr>
        <w:t>Purpose</w:t>
      </w:r>
      <w:r>
        <w:rPr>
          <w:rFonts w:ascii="Times New Roman" w:cs="Times New Roman" w:eastAsia="Times New Roman" w:hAnsi="Times New Roman"/>
          <w:sz w:val="20"/>
          <w:szCs w:val="20"/>
          <w:color w:val="auto"/>
        </w:rPr>
        <w:t>) of the Agreement: Same as for the Sustainable Revolving Facility.</w:t>
      </w:r>
    </w:p>
    <w:p>
      <w:pPr>
        <w:spacing w:after="0" w:line="91"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Availability Period: Until the date falling one (1) month from the Termination Date applicable to the Sustainable Incremental Facility.</w:t>
      </w:r>
    </w:p>
    <w:p>
      <w:pPr>
        <w:spacing w:after="0" w:line="10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Sustainable Incremental Facility Conditions Precedent: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EMEA 138285255</w:t>
      </w:r>
    </w:p>
    <w:p>
      <w:pPr>
        <w:spacing w:after="0" w:line="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2260" w:hanging="755"/>
        <w:spacing w:after="0"/>
        <w:tabs>
          <w:tab w:leader="none" w:pos="2260"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duly executed copy of the Fee Letter relating to the Sustainable Incremental Facility;</w:t>
      </w:r>
    </w:p>
    <w:p>
      <w:pPr>
        <w:spacing w:after="0" w:line="161"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the constitutional documents of the Company, the Original Borrower and the Pledgor;</w:t>
      </w:r>
    </w:p>
    <w:p>
      <w:pPr>
        <w:spacing w:after="0" w:line="161"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a resolution of the board of directors of the Original Borrower and the Pledgor;</w:t>
      </w:r>
    </w:p>
    <w:p>
      <w:pPr>
        <w:spacing w:after="0" w:line="161" w:lineRule="exact"/>
        <w:rPr>
          <w:rFonts w:ascii="Times New Roman" w:cs="Times New Roman" w:eastAsia="Times New Roman" w:hAnsi="Times New Roman"/>
          <w:sz w:val="20"/>
          <w:szCs w:val="20"/>
          <w:color w:val="auto"/>
        </w:rPr>
      </w:pPr>
    </w:p>
    <w:p>
      <w:pPr>
        <w:ind w:left="3000" w:hanging="746"/>
        <w:spacing w:after="0" w:line="269" w:lineRule="auto"/>
        <w:tabs>
          <w:tab w:leader="none" w:pos="3000" w:val="left"/>
        </w:tabs>
        <w:numPr>
          <w:ilvl w:val="3"/>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the terms of, and the transactions contemplated by, this Sustainable Incremental Facility Notice and resolving that it execute, deliver and perform the Sustainable Incremental Facility Notice;</w:t>
      </w:r>
    </w:p>
    <w:p>
      <w:pPr>
        <w:spacing w:after="0" w:line="105" w:lineRule="exact"/>
        <w:rPr>
          <w:rFonts w:ascii="Times New Roman" w:cs="Times New Roman" w:eastAsia="Times New Roman" w:hAnsi="Times New Roman"/>
          <w:sz w:val="20"/>
          <w:szCs w:val="20"/>
          <w:color w:val="auto"/>
        </w:rPr>
      </w:pPr>
    </w:p>
    <w:p>
      <w:pPr>
        <w:ind w:left="3000" w:hanging="746"/>
        <w:spacing w:after="0" w:line="255" w:lineRule="auto"/>
        <w:tabs>
          <w:tab w:leader="none" w:pos="3000" w:val="left"/>
        </w:tabs>
        <w:numPr>
          <w:ilvl w:val="3"/>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authorising a specified person or persons to execute this Sustainable Incremental Facility Notice on its behalf; and</w:t>
      </w:r>
    </w:p>
    <w:p>
      <w:pPr>
        <w:spacing w:after="0" w:line="118" w:lineRule="exact"/>
        <w:rPr>
          <w:rFonts w:ascii="Times New Roman" w:cs="Times New Roman" w:eastAsia="Times New Roman" w:hAnsi="Times New Roman"/>
          <w:sz w:val="20"/>
          <w:szCs w:val="20"/>
          <w:color w:val="auto"/>
        </w:rPr>
      </w:pPr>
    </w:p>
    <w:p>
      <w:pPr>
        <w:jc w:val="both"/>
        <w:ind w:left="3000" w:hanging="746"/>
        <w:spacing w:after="0" w:line="254" w:lineRule="auto"/>
        <w:tabs>
          <w:tab w:leader="none" w:pos="3000" w:val="left"/>
        </w:tabs>
        <w:numPr>
          <w:ilvl w:val="3"/>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authorising a specified person or persons, on its behalf, to sign and/or despatch all documents and notices to be signed and/or despatched by it under or in connection with the Sustainable Incremental Facility Notice;</w:t>
      </w:r>
    </w:p>
    <w:p>
      <w:pPr>
        <w:spacing w:after="0" w:line="120" w:lineRule="exact"/>
        <w:rPr>
          <w:rFonts w:ascii="Times New Roman" w:cs="Times New Roman" w:eastAsia="Times New Roman" w:hAnsi="Times New Roman"/>
          <w:sz w:val="20"/>
          <w:szCs w:val="20"/>
          <w:color w:val="auto"/>
        </w:rPr>
      </w:pPr>
    </w:p>
    <w:p>
      <w:pPr>
        <w:jc w:val="both"/>
        <w:ind w:left="2260" w:hanging="755"/>
        <w:spacing w:after="0" w:line="247" w:lineRule="auto"/>
        <w:tabs>
          <w:tab w:leader="none" w:pos="2260"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a passport, identity card or driver’s license (each of which includes a copy of the signature) or a specimen of the signature of, in each case, each person that is authorised by the resolution referred to in paragraph (iii) above in relation to this Sustainable Incremental Facility Notice; and</w:t>
      </w:r>
    </w:p>
    <w:p>
      <w:pPr>
        <w:spacing w:after="0" w:line="126" w:lineRule="exact"/>
        <w:rPr>
          <w:rFonts w:ascii="Times New Roman" w:cs="Times New Roman" w:eastAsia="Times New Roman" w:hAnsi="Times New Roman"/>
          <w:sz w:val="20"/>
          <w:szCs w:val="20"/>
          <w:color w:val="auto"/>
        </w:rPr>
      </w:pPr>
    </w:p>
    <w:p>
      <w:pPr>
        <w:jc w:val="both"/>
        <w:ind w:left="2260" w:hanging="755"/>
        <w:spacing w:after="0" w:line="249" w:lineRule="auto"/>
        <w:tabs>
          <w:tab w:leader="none" w:pos="2260"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an authorised signatory of the Original Borrower and the Pledgor certifying that each copy document relating to it specified in paragraphs (ii) to (iv) above is a correct and complete copy of the original and in full force and effect and has not been amended or superseded as at a date no earlier than the date of this Sustainable Incremental Facility Notice.</w:t>
      </w:r>
    </w:p>
    <w:p>
      <w:pPr>
        <w:spacing w:after="0" w:line="12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Date: Same as for the Sustainable Revolving Facility as at the date of this letter.</w:t>
      </w:r>
    </w:p>
    <w:p>
      <w:pPr>
        <w:spacing w:after="0" w:line="161"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facility: Revolving credit facility.</w:t>
      </w:r>
    </w:p>
    <w:p>
      <w:pPr>
        <w:spacing w:after="0" w:line="148" w:lineRule="exact"/>
        <w:rPr>
          <w:rFonts w:ascii="Times New Roman" w:cs="Times New Roman" w:eastAsia="Times New Roman" w:hAnsi="Times New Roman"/>
          <w:sz w:val="20"/>
          <w:szCs w:val="20"/>
          <w:color w:val="auto"/>
        </w:rPr>
      </w:pPr>
    </w:p>
    <w:p>
      <w:pPr>
        <w:ind w:left="760" w:hanging="752"/>
        <w:spacing w:after="0" w:line="269"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proposed Establishment Date is the date falling two (2) Business Days after the date of this Sustainable Incremental Facility Notice.</w:t>
      </w:r>
    </w:p>
    <w:p>
      <w:pPr>
        <w:spacing w:after="0" w:line="105" w:lineRule="exact"/>
        <w:rPr>
          <w:rFonts w:ascii="Times New Roman" w:cs="Times New Roman" w:eastAsia="Times New Roman" w:hAnsi="Times New Roman"/>
          <w:sz w:val="20"/>
          <w:szCs w:val="20"/>
          <w:color w:val="auto"/>
        </w:rPr>
      </w:pPr>
    </w:p>
    <w:p>
      <w:pPr>
        <w:jc w:val="both"/>
        <w:ind w:left="760" w:hanging="752"/>
        <w:spacing w:after="0" w:line="249"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acknowledges that the Majority Lenders have agreed to waive the 15 Business Days’ notice requirement set out in paragraph (a) of clause 8.2 (</w:t>
      </w:r>
      <w:r>
        <w:rPr>
          <w:rFonts w:ascii="Times New Roman" w:cs="Times New Roman" w:eastAsia="Times New Roman" w:hAnsi="Times New Roman"/>
          <w:sz w:val="20"/>
          <w:szCs w:val="20"/>
          <w:i w:val="1"/>
          <w:iCs w:val="1"/>
          <w:color w:val="auto"/>
        </w:rPr>
        <w:t>Delivery of a Sustainable Incremental Facility Notice</w:t>
      </w:r>
      <w:r>
        <w:rPr>
          <w:rFonts w:ascii="Times New Roman" w:cs="Times New Roman" w:eastAsia="Times New Roman" w:hAnsi="Times New Roman"/>
          <w:sz w:val="20"/>
          <w:szCs w:val="20"/>
          <w:color w:val="auto"/>
        </w:rPr>
        <w:t>) of the Agreement, provided that this Sustainable Incremental Facility Notice is duly completed and delivered to the Agent not later than 2 Business Days prior to the proposed Establishment Date specified in this Sustainable Incremental Facility Notice.</w:t>
      </w:r>
    </w:p>
    <w:p>
      <w:pPr>
        <w:spacing w:after="0" w:line="112"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confirms that:</w:t>
      </w:r>
    </w:p>
    <w:p>
      <w:pPr>
        <w:spacing w:after="0" w:line="161"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w:t>
      </w:r>
    </w:p>
    <w:p>
      <w:pPr>
        <w:spacing w:after="0" w:line="161"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Sustainable Incremental Facility Terms set out above;</w:t>
      </w:r>
    </w:p>
    <w:p>
      <w:pPr>
        <w:spacing w:after="0" w:line="161"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Margin applicable to the Sustainable Incremental Facility;</w:t>
      </w:r>
    </w:p>
    <w:p>
      <w:pPr>
        <w:spacing w:after="0" w:line="161"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fees payable to any arranger of the Sustainable Incremental Facility; and</w:t>
      </w:r>
    </w:p>
    <w:p>
      <w:pPr>
        <w:spacing w:after="0" w:line="161"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Date,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EMEA 138285255</w:t>
      </w:r>
    </w:p>
    <w:p>
      <w:pPr>
        <w:spacing w:after="0" w:line="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ind w:left="1500"/>
        <w:spacing w:after="0"/>
        <w:rPr>
          <w:sz w:val="20"/>
          <w:szCs w:val="20"/>
          <w:color w:val="auto"/>
        </w:rPr>
      </w:pPr>
      <w:r>
        <w:rPr>
          <w:rFonts w:ascii="Times New Roman" w:cs="Times New Roman" w:eastAsia="Times New Roman" w:hAnsi="Times New Roman"/>
          <w:sz w:val="20"/>
          <w:szCs w:val="20"/>
          <w:color w:val="auto"/>
        </w:rPr>
        <w:t>comply with clause 8.5 (</w:t>
      </w:r>
      <w:r>
        <w:rPr>
          <w:rFonts w:ascii="Times New Roman" w:cs="Times New Roman" w:eastAsia="Times New Roman" w:hAnsi="Times New Roman"/>
          <w:sz w:val="20"/>
          <w:szCs w:val="20"/>
          <w:i w:val="1"/>
          <w:iCs w:val="1"/>
          <w:color w:val="auto"/>
        </w:rPr>
        <w:t>Restrictions on Sustainable Incremental Facility Terms and fees</w:t>
      </w:r>
      <w:r>
        <w:rPr>
          <w:rFonts w:ascii="Times New Roman" w:cs="Times New Roman" w:eastAsia="Times New Roman" w:hAnsi="Times New Roman"/>
          <w:sz w:val="20"/>
          <w:szCs w:val="20"/>
          <w:color w:val="auto"/>
        </w:rPr>
        <w:t>) of the Agreement;</w:t>
      </w:r>
    </w:p>
    <w:p>
      <w:pPr>
        <w:spacing w:after="0" w:line="166" w:lineRule="exact"/>
        <w:rPr>
          <w:sz w:val="20"/>
          <w:szCs w:val="20"/>
          <w:color w:val="auto"/>
        </w:rPr>
      </w:pPr>
    </w:p>
    <w:p>
      <w:pPr>
        <w:ind w:left="1500" w:hanging="743"/>
        <w:spacing w:after="0" w:line="269" w:lineRule="auto"/>
        <w:tabs>
          <w:tab w:leader="none" w:pos="15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Sustainable Incremental Facility Lenders set out in this Sustainable Incremental Facility Notice comply with clause 8.1 (</w:t>
      </w:r>
      <w:r>
        <w:rPr>
          <w:rFonts w:ascii="Times New Roman" w:cs="Times New Roman" w:eastAsia="Times New Roman" w:hAnsi="Times New Roman"/>
          <w:sz w:val="20"/>
          <w:szCs w:val="20"/>
          <w:i w:val="1"/>
          <w:iCs w:val="1"/>
          <w:color w:val="auto"/>
        </w:rPr>
        <w:t>Sustainable Incremental Facility Lenders</w:t>
      </w:r>
      <w:r>
        <w:rPr>
          <w:rFonts w:ascii="Times New Roman" w:cs="Times New Roman" w:eastAsia="Times New Roman" w:hAnsi="Times New Roman"/>
          <w:sz w:val="20"/>
          <w:szCs w:val="20"/>
          <w:color w:val="auto"/>
        </w:rPr>
        <w:t>) of the Agreement;</w:t>
      </w:r>
    </w:p>
    <w:p>
      <w:pPr>
        <w:spacing w:after="0" w:line="101" w:lineRule="exact"/>
        <w:rPr>
          <w:rFonts w:ascii="Times New Roman" w:cs="Times New Roman" w:eastAsia="Times New Roman" w:hAnsi="Times New Roman"/>
          <w:sz w:val="20"/>
          <w:szCs w:val="20"/>
          <w:color w:val="auto"/>
        </w:rPr>
      </w:pPr>
    </w:p>
    <w:p>
      <w:pPr>
        <w:ind w:left="1500" w:hanging="743"/>
        <w:spacing w:after="0" w:line="273" w:lineRule="auto"/>
        <w:tabs>
          <w:tab w:leader="none" w:pos="15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condition specified in paragraph (e)(i) of clause 8.6 (</w:t>
      </w:r>
      <w:r>
        <w:rPr>
          <w:rFonts w:ascii="Times New Roman" w:cs="Times New Roman" w:eastAsia="Times New Roman" w:hAnsi="Times New Roman"/>
          <w:sz w:val="20"/>
          <w:szCs w:val="20"/>
          <w:i w:val="1"/>
          <w:iCs w:val="1"/>
          <w:color w:val="auto"/>
        </w:rPr>
        <w:t>Conditions to establishment</w:t>
      </w:r>
      <w:r>
        <w:rPr>
          <w:rFonts w:ascii="Times New Roman" w:cs="Times New Roman" w:eastAsia="Times New Roman" w:hAnsi="Times New Roman"/>
          <w:sz w:val="20"/>
          <w:szCs w:val="20"/>
          <w:color w:val="auto"/>
        </w:rPr>
        <w:t>) of the Agreement is satisfied on the date of this Sustainable Incremental Facility Notice; and</w:t>
      </w:r>
    </w:p>
    <w:p>
      <w:pPr>
        <w:spacing w:after="0" w:line="101" w:lineRule="exact"/>
        <w:rPr>
          <w:rFonts w:ascii="Times New Roman" w:cs="Times New Roman" w:eastAsia="Times New Roman" w:hAnsi="Times New Roman"/>
          <w:sz w:val="20"/>
          <w:szCs w:val="20"/>
          <w:color w:val="auto"/>
        </w:rPr>
      </w:pPr>
    </w:p>
    <w:p>
      <w:pPr>
        <w:ind w:left="1500" w:hanging="743"/>
        <w:spacing w:after="0" w:line="255" w:lineRule="auto"/>
        <w:tabs>
          <w:tab w:leader="none" w:pos="15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complied with the conditions specified in paragraph (a) and (where applicable) paragraph (b) of clause 8.6 (</w:t>
      </w:r>
      <w:r>
        <w:rPr>
          <w:rFonts w:ascii="Times New Roman" w:cs="Times New Roman" w:eastAsia="Times New Roman" w:hAnsi="Times New Roman"/>
          <w:sz w:val="20"/>
          <w:szCs w:val="20"/>
          <w:i w:val="1"/>
          <w:iCs w:val="1"/>
          <w:color w:val="auto"/>
        </w:rPr>
        <w:t>Conditions to establishment</w:t>
      </w:r>
      <w:r>
        <w:rPr>
          <w:rFonts w:ascii="Times New Roman" w:cs="Times New Roman" w:eastAsia="Times New Roman" w:hAnsi="Times New Roman"/>
          <w:sz w:val="20"/>
          <w:szCs w:val="20"/>
          <w:color w:val="auto"/>
        </w:rPr>
        <w:t>) of the Agreement.</w:t>
      </w:r>
    </w:p>
    <w:p>
      <w:pPr>
        <w:spacing w:after="0" w:line="118"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the Original Borrower and (with respect to paragraph (b) below only) the Pledgor confirm that:</w:t>
      </w:r>
    </w:p>
    <w:p>
      <w:pPr>
        <w:spacing w:after="0" w:line="157" w:lineRule="exact"/>
        <w:rPr>
          <w:rFonts w:ascii="Times New Roman" w:cs="Times New Roman" w:eastAsia="Times New Roman" w:hAnsi="Times New Roman"/>
          <w:sz w:val="20"/>
          <w:szCs w:val="20"/>
          <w:color w:val="auto"/>
        </w:rPr>
      </w:pPr>
    </w:p>
    <w:p>
      <w:pPr>
        <w:jc w:val="both"/>
        <w:ind w:left="1500" w:hanging="743"/>
        <w:spacing w:after="0" w:line="256" w:lineRule="auto"/>
        <w:tabs>
          <w:tab w:leader="none" w:pos="15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and indemnity contained in clause 21 (</w:t>
      </w:r>
      <w:r>
        <w:rPr>
          <w:rFonts w:ascii="Times New Roman" w:cs="Times New Roman" w:eastAsia="Times New Roman" w:hAnsi="Times New Roman"/>
          <w:sz w:val="20"/>
          <w:szCs w:val="20"/>
          <w:i w:val="1"/>
          <w:iCs w:val="1"/>
          <w:color w:val="auto"/>
        </w:rPr>
        <w:t>Guarantee and Indemnity</w:t>
      </w:r>
      <w:r>
        <w:rPr>
          <w:rFonts w:ascii="Times New Roman" w:cs="Times New Roman" w:eastAsia="Times New Roman" w:hAnsi="Times New Roman"/>
          <w:sz w:val="20"/>
          <w:szCs w:val="20"/>
          <w:color w:val="auto"/>
        </w:rPr>
        <w:t>) of the Agreement shall continue in full force and effect and extend to the liabilities and obligations of each of the Obligors under the Finance Documents (including, for the avoidance of doubt, the Sustainable Incremental Facility); and</w:t>
      </w:r>
    </w:p>
    <w:p>
      <w:pPr>
        <w:spacing w:after="0" w:line="118" w:lineRule="exact"/>
        <w:rPr>
          <w:rFonts w:ascii="Times New Roman" w:cs="Times New Roman" w:eastAsia="Times New Roman" w:hAnsi="Times New Roman"/>
          <w:sz w:val="20"/>
          <w:szCs w:val="20"/>
          <w:color w:val="auto"/>
        </w:rPr>
      </w:pPr>
    </w:p>
    <w:p>
      <w:pPr>
        <w:jc w:val="both"/>
        <w:ind w:left="1500" w:hanging="743"/>
        <w:spacing w:after="0" w:line="244" w:lineRule="auto"/>
        <w:tabs>
          <w:tab w:leader="none" w:pos="15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security interests created under any Transaction Security Documents shall continue in full force and effect as security for the payment or discharge of all present and future obligations and liabilities (whether actual or contingent and whether owed jointly or severally or in any other capacity whatsoever) of the relevant Obligor to the Secured Parties under the Finance Documents (including, for the avoidance of doubt, the Sustainable Incremental Facility),</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subject in each case to any limitations set out in the relevant Finance Documents.</w:t>
      </w:r>
    </w:p>
    <w:p>
      <w:pPr>
        <w:spacing w:after="0" w:line="162" w:lineRule="exact"/>
        <w:rPr>
          <w:sz w:val="20"/>
          <w:szCs w:val="20"/>
          <w:color w:val="auto"/>
        </w:rPr>
      </w:pPr>
    </w:p>
    <w:p>
      <w:pPr>
        <w:ind w:left="760" w:hanging="752"/>
        <w:spacing w:after="0" w:line="269" w:lineRule="auto"/>
        <w:tabs>
          <w:tab w:leader="none" w:pos="7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undertakes that it shall, by no later than the date falling 14 days after the date of this Sustainable Incremental Facility Notice, deliver to the Agent:</w:t>
      </w:r>
    </w:p>
    <w:p>
      <w:pPr>
        <w:spacing w:after="0" w:line="10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a resolution of the board of directors of the Company;</w:t>
      </w:r>
    </w:p>
    <w:p>
      <w:pPr>
        <w:spacing w:after="0" w:line="148"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2"/>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ratifying the terms of, and the transactions contemplated by, this Sustainable Incremental Facility Notice and resolving that it execute, deliver and perform the Sustainable Incremental Facility Notice and the Fee Letter relating thereto;</w:t>
      </w:r>
    </w:p>
    <w:p>
      <w:pPr>
        <w:spacing w:after="0" w:line="120"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2"/>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ratifying the execution of this Sustainable Incremental Facility Notice and the Fee Letter relating thereto on its behalf; and</w:t>
      </w:r>
    </w:p>
    <w:p>
      <w:pPr>
        <w:spacing w:after="0" w:line="105" w:lineRule="exact"/>
        <w:rPr>
          <w:rFonts w:ascii="Times New Roman" w:cs="Times New Roman" w:eastAsia="Times New Roman" w:hAnsi="Times New Roman"/>
          <w:sz w:val="20"/>
          <w:szCs w:val="20"/>
          <w:color w:val="auto"/>
        </w:rPr>
      </w:pPr>
    </w:p>
    <w:p>
      <w:pPr>
        <w:jc w:val="both"/>
        <w:ind w:left="2260" w:hanging="755"/>
        <w:spacing w:after="0" w:line="247" w:lineRule="auto"/>
        <w:tabs>
          <w:tab w:leader="none" w:pos="2260" w:val="left"/>
        </w:tabs>
        <w:numPr>
          <w:ilvl w:val="2"/>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authorising a specified person or persons, on its behalf, to sign and/or despatch all documents and notices to be signed and/or despatched by it under or in connection with the Sustainable Incremental Facility Notice and the Fee Letter relating thereto;</w:t>
      </w:r>
    </w:p>
    <w:p>
      <w:pPr>
        <w:spacing w:after="0" w:line="127" w:lineRule="exact"/>
        <w:rPr>
          <w:sz w:val="20"/>
          <w:szCs w:val="20"/>
          <w:color w:val="auto"/>
        </w:rPr>
      </w:pPr>
    </w:p>
    <w:p>
      <w:pPr>
        <w:jc w:val="both"/>
        <w:ind w:left="1500" w:right="20" w:hanging="743"/>
        <w:spacing w:after="0" w:line="254" w:lineRule="auto"/>
        <w:tabs>
          <w:tab w:leader="none" w:pos="15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a passport, identity card or driver's license (each of which includes a copy of the signature) or a specimen of the signature of, in each case, each person that is authorised by the resolution referred to in paragraph (a) above in relation to this Sustainable Incremental Facility Notice and the Fee Letter relating hereto; and</w:t>
      </w:r>
    </w:p>
    <w:p>
      <w:pPr>
        <w:spacing w:after="0" w:line="120" w:lineRule="exact"/>
        <w:rPr>
          <w:rFonts w:ascii="Times New Roman" w:cs="Times New Roman" w:eastAsia="Times New Roman" w:hAnsi="Times New Roman"/>
          <w:sz w:val="20"/>
          <w:szCs w:val="20"/>
          <w:color w:val="auto"/>
        </w:rPr>
      </w:pPr>
    </w:p>
    <w:p>
      <w:pPr>
        <w:ind w:left="1500" w:hanging="743"/>
        <w:spacing w:after="0" w:line="255" w:lineRule="auto"/>
        <w:tabs>
          <w:tab w:leader="none" w:pos="15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an authorised signatory of the Company certifying that each copy document relating to it specified in paragraphs (a) to (b) above is a correct and complete copy of the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EMEA 138285255</w:t>
      </w:r>
    </w:p>
    <w:p>
      <w:pPr>
        <w:spacing w:after="0" w:line="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7" w:name="page8"/>
    <w:bookmarkEnd w:id="7"/>
    <w:p>
      <w:pPr>
        <w:ind w:left="1500"/>
        <w:spacing w:after="0" w:line="269" w:lineRule="auto"/>
        <w:rPr>
          <w:sz w:val="20"/>
          <w:szCs w:val="20"/>
          <w:color w:val="auto"/>
        </w:rPr>
      </w:pPr>
      <w:r>
        <w:rPr>
          <w:rFonts w:ascii="Times New Roman" w:cs="Times New Roman" w:eastAsia="Times New Roman" w:hAnsi="Times New Roman"/>
          <w:sz w:val="20"/>
          <w:szCs w:val="20"/>
          <w:color w:val="auto"/>
        </w:rPr>
        <w:t>original and in full force and effect and has not been amended or superseded as at a date no earlier than the date of such certificate.</w:t>
      </w:r>
    </w:p>
    <w:p>
      <w:pPr>
        <w:spacing w:after="0" w:line="101" w:lineRule="exact"/>
        <w:rPr>
          <w:sz w:val="20"/>
          <w:szCs w:val="20"/>
          <w:color w:val="auto"/>
        </w:rPr>
      </w:pPr>
    </w:p>
    <w:p>
      <w:pPr>
        <w:jc w:val="both"/>
        <w:ind w:left="760" w:hanging="752"/>
        <w:spacing w:after="0" w:line="241"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Sustainable Incremental Facility Lenders will only be obliged to comply with Clause 5.4 (</w:t>
      </w:r>
      <w:r>
        <w:rPr>
          <w:rFonts w:ascii="Times New Roman" w:cs="Times New Roman" w:eastAsia="Times New Roman" w:hAnsi="Times New Roman"/>
          <w:sz w:val="20"/>
          <w:szCs w:val="20"/>
          <w:i w:val="1"/>
          <w:iCs w:val="1"/>
          <w:color w:val="auto"/>
        </w:rPr>
        <w:t>Lenders’ Participation</w:t>
      </w:r>
      <w:r>
        <w:rPr>
          <w:rFonts w:ascii="Times New Roman" w:cs="Times New Roman" w:eastAsia="Times New Roman" w:hAnsi="Times New Roman"/>
          <w:sz w:val="20"/>
          <w:szCs w:val="20"/>
          <w:color w:val="auto"/>
        </w:rPr>
        <w:t>) in relation to any Sustainable Incremental Facility Loan under the Sustainable Incremental Facility established pursuant to this Sustainable Incremental Facility Notice if, on or before the Utilisation Date for that Loan, the Company has notified the Agent that the Group has received, on or prior to 31 December 2022, additional capital (whether in the form of equity and/or debt, provided that the incurrence of any such debt is permitted under the Finance Documents) in an amount which is not less than USD 400,000,000 (or its equivalent in any other currency or currencies) (the “</w:t>
      </w:r>
      <w:r>
        <w:rPr>
          <w:rFonts w:ascii="Times New Roman" w:cs="Times New Roman" w:eastAsia="Times New Roman" w:hAnsi="Times New Roman"/>
          <w:sz w:val="20"/>
          <w:szCs w:val="20"/>
          <w:b w:val="1"/>
          <w:bCs w:val="1"/>
          <w:color w:val="auto"/>
        </w:rPr>
        <w:t>Capital Raise Notice</w:t>
      </w:r>
      <w:r>
        <w:rPr>
          <w:rFonts w:ascii="Times New Roman" w:cs="Times New Roman" w:eastAsia="Times New Roman" w:hAnsi="Times New Roman"/>
          <w:sz w:val="20"/>
          <w:szCs w:val="20"/>
          <w:color w:val="auto"/>
        </w:rPr>
        <w:t>”). If the Company has not delivered the Capital Raise Notice to the Agent on or prior to 31 December 2022, the Sustainable Incremental Facility Commitments established pursuant to this Sustainable Incremental Facility Notice shall be immediately cancelled and, without prejudice to any commitment fee in respect of the Sustainable Incremental Facility that has accrued up until (but excluding) such date, the commitment fee in respect of the Sustainable Incremental Facility shall cease to accrue and be payable.</w:t>
      </w:r>
    </w:p>
    <w:p>
      <w:pPr>
        <w:spacing w:after="0" w:line="124" w:lineRule="exact"/>
        <w:rPr>
          <w:rFonts w:ascii="Times New Roman" w:cs="Times New Roman" w:eastAsia="Times New Roman" w:hAnsi="Times New Roman"/>
          <w:sz w:val="20"/>
          <w:szCs w:val="20"/>
          <w:color w:val="auto"/>
        </w:rPr>
      </w:pPr>
    </w:p>
    <w:p>
      <w:pPr>
        <w:jc w:val="both"/>
        <w:ind w:left="760" w:hanging="752"/>
        <w:spacing w:after="0" w:line="254"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Sustainable Incremental Facility Lender agrees to assume and will assume all of the obligations corresponding to the Sustainable Incremental Facility Commitment set opposite its name in the Schedule as if it had been an Original Lender under the Agreement in respect of that Sustainable Incremental Facility Commitment.</w:t>
      </w:r>
    </w:p>
    <w:p>
      <w:pPr>
        <w:spacing w:after="0" w:line="120" w:lineRule="exact"/>
        <w:rPr>
          <w:rFonts w:ascii="Times New Roman" w:cs="Times New Roman" w:eastAsia="Times New Roman" w:hAnsi="Times New Roman"/>
          <w:sz w:val="20"/>
          <w:szCs w:val="20"/>
          <w:color w:val="auto"/>
        </w:rPr>
      </w:pPr>
    </w:p>
    <w:p>
      <w:pPr>
        <w:ind w:left="760" w:hanging="752"/>
        <w:spacing w:after="0" w:line="269"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Establishment Date, each Sustainable Incremental Facility Lender becomes party to the relevant Finance Documents as a Lender.</w:t>
      </w:r>
    </w:p>
    <w:p>
      <w:pPr>
        <w:spacing w:after="0" w:line="105" w:lineRule="exact"/>
        <w:rPr>
          <w:rFonts w:ascii="Times New Roman" w:cs="Times New Roman" w:eastAsia="Times New Roman" w:hAnsi="Times New Roman"/>
          <w:sz w:val="20"/>
          <w:szCs w:val="20"/>
          <w:color w:val="auto"/>
        </w:rPr>
      </w:pPr>
    </w:p>
    <w:p>
      <w:pPr>
        <w:ind w:left="760" w:hanging="752"/>
        <w:spacing w:after="0" w:line="269"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Sustainable Incremental Facility Lender expressly acknowledges the limitations on the Lenders’ obligations referred to in clause 8.12 (</w:t>
      </w:r>
      <w:r>
        <w:rPr>
          <w:rFonts w:ascii="Times New Roman" w:cs="Times New Roman" w:eastAsia="Times New Roman" w:hAnsi="Times New Roman"/>
          <w:sz w:val="20"/>
          <w:szCs w:val="20"/>
          <w:i w:val="1"/>
          <w:iCs w:val="1"/>
          <w:color w:val="auto"/>
        </w:rPr>
        <w:t>Limitation of responsibility</w:t>
      </w:r>
      <w:r>
        <w:rPr>
          <w:rFonts w:ascii="Times New Roman" w:cs="Times New Roman" w:eastAsia="Times New Roman" w:hAnsi="Times New Roman"/>
          <w:sz w:val="20"/>
          <w:szCs w:val="20"/>
          <w:color w:val="auto"/>
        </w:rPr>
        <w:t>) of the Agreement.</w:t>
      </w:r>
    </w:p>
    <w:p>
      <w:pPr>
        <w:spacing w:after="0" w:line="91" w:lineRule="exact"/>
        <w:rPr>
          <w:rFonts w:ascii="Times New Roman" w:cs="Times New Roman" w:eastAsia="Times New Roman" w:hAnsi="Times New Roman"/>
          <w:sz w:val="20"/>
          <w:szCs w:val="20"/>
          <w:color w:val="auto"/>
        </w:rPr>
      </w:pPr>
    </w:p>
    <w:p>
      <w:pPr>
        <w:jc w:val="both"/>
        <w:ind w:left="760" w:hanging="752"/>
        <w:spacing w:after="0" w:line="254"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Sustainable Incremental Facility Lender undertakes towards the Company and the Agent to deliver a duly completed and executed Sustainable Incremental Facility Lender Certificate to the Agent as soon as possible after the date of this Sustainable Incremental Facility Notice and in any event no later than by the Establishment Date.</w:t>
      </w:r>
    </w:p>
    <w:p>
      <w:pPr>
        <w:spacing w:after="0" w:line="120"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Sustainable Incremental Facility Notice is irrevocable and unconditional.</w:t>
      </w:r>
    </w:p>
    <w:p>
      <w:pPr>
        <w:spacing w:after="0" w:line="161" w:lineRule="exact"/>
        <w:rPr>
          <w:rFonts w:ascii="Times New Roman" w:cs="Times New Roman" w:eastAsia="Times New Roman" w:hAnsi="Times New Roman"/>
          <w:sz w:val="20"/>
          <w:szCs w:val="20"/>
          <w:color w:val="auto"/>
        </w:rPr>
      </w:pPr>
    </w:p>
    <w:p>
      <w:pPr>
        <w:ind w:left="760" w:hanging="752"/>
        <w:spacing w:after="0" w:line="269"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Obligor and the Pledgor agrees and acknowledges that, save as expressly provided under the terms of this Sustainable Incremental Facility Notice, the Agreement and each other Finance Document remains and shall continue in full force and effect.</w:t>
      </w:r>
    </w:p>
    <w:p>
      <w:pPr>
        <w:spacing w:after="0" w:line="145" w:lineRule="exact"/>
        <w:rPr>
          <w:rFonts w:ascii="Times New Roman" w:cs="Times New Roman" w:eastAsia="Times New Roman" w:hAnsi="Times New Roman"/>
          <w:sz w:val="20"/>
          <w:szCs w:val="20"/>
          <w:color w:val="auto"/>
        </w:rPr>
      </w:pPr>
    </w:p>
    <w:p>
      <w:pPr>
        <w:ind w:left="760" w:right="20" w:hanging="752"/>
        <w:spacing w:after="0" w:line="269"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Sustainable Incremental Facility Notice may be executed in any number of counterparts and this has the same effect as if the signatures on the counterparts were on a single copy of this Sustainable Incremental Facility Notice.</w:t>
      </w:r>
    </w:p>
    <w:p>
      <w:pPr>
        <w:spacing w:after="0" w:line="91" w:lineRule="exact"/>
        <w:rPr>
          <w:rFonts w:ascii="Times New Roman" w:cs="Times New Roman" w:eastAsia="Times New Roman" w:hAnsi="Times New Roman"/>
          <w:sz w:val="20"/>
          <w:szCs w:val="20"/>
          <w:color w:val="auto"/>
        </w:rPr>
      </w:pPr>
    </w:p>
    <w:p>
      <w:pPr>
        <w:ind w:left="760" w:hanging="752"/>
        <w:spacing w:after="0" w:line="269"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Sustainable Incremental Facility Notice and any non-contractual obligations arising out of or in connection with it are governed by English law.</w:t>
      </w:r>
    </w:p>
    <w:p>
      <w:pPr>
        <w:spacing w:after="0" w:line="105" w:lineRule="exact"/>
        <w:rPr>
          <w:rFonts w:ascii="Times New Roman" w:cs="Times New Roman" w:eastAsia="Times New Roman" w:hAnsi="Times New Roman"/>
          <w:sz w:val="20"/>
          <w:szCs w:val="20"/>
          <w:color w:val="auto"/>
        </w:rPr>
      </w:pPr>
    </w:p>
    <w:p>
      <w:pPr>
        <w:jc w:val="both"/>
        <w:ind w:left="760" w:hanging="752"/>
        <w:spacing w:after="0" w:line="243"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courts of England have exclusive jurisdiction to settle any dispute arising out of or in connection with this Sustainable Incremental Facility Notice (including a dispute relating to the existence, validity or termination of this Sustainable Incremental Facility Notice or any non-contractual obligations arising out of or in connection with this Sustainable Incremental Facility Notice) (a “</w:t>
      </w:r>
      <w:r>
        <w:rPr>
          <w:rFonts w:ascii="Times New Roman" w:cs="Times New Roman" w:eastAsia="Times New Roman" w:hAnsi="Times New Roman"/>
          <w:sz w:val="20"/>
          <w:szCs w:val="20"/>
          <w:b w:val="1"/>
          <w:bCs w:val="1"/>
          <w:color w:val="auto"/>
        </w:rPr>
        <w:t>Dispute</w:t>
      </w:r>
      <w:r>
        <w:rPr>
          <w:rFonts w:ascii="Times New Roman" w:cs="Times New Roman" w:eastAsia="Times New Roman" w:hAnsi="Times New Roman"/>
          <w:sz w:val="20"/>
          <w:szCs w:val="20"/>
          <w:color w:val="auto"/>
        </w:rPr>
        <w:t>”). The parties to this Sustainable Incremental Facility Notice (each being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agree that the courts of England are the most appropriate and convenient courts to settle Disputes and accordingly no Party will argue to the contrary.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EMEA 138285255</w:t>
      </w:r>
    </w:p>
    <w:p>
      <w:pPr>
        <w:spacing w:after="0" w:line="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p>
      <w:pPr>
        <w:ind w:left="760" w:hanging="752"/>
        <w:spacing w:after="0" w:line="269" w:lineRule="auto"/>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Sustainable Incremental Facility Notice has been entered into on the date stated at the beginning of this Sustainable Incremental Facility Notice.</w:t>
      </w:r>
    </w:p>
    <w:p>
      <w:pPr>
        <w:spacing w:after="0" w:line="101" w:lineRule="exact"/>
        <w:rPr>
          <w:sz w:val="20"/>
          <w:szCs w:val="20"/>
          <w:color w:val="auto"/>
        </w:rPr>
      </w:pPr>
    </w:p>
    <w:tbl>
      <w:tblPr>
        <w:tblLayout w:type="fixed"/>
        <w:tblInd w:w="820" w:type="dxa"/>
        <w:tblCellMar>
          <w:top w:w="0" w:type="dxa"/>
          <w:left w:w="0" w:type="dxa"/>
          <w:bottom w:w="0" w:type="dxa"/>
          <w:right w:w="0" w:type="dxa"/>
        </w:tblCellMar>
      </w:tblPr>
      <w:tr>
        <w:trPr>
          <w:trHeight w:val="262"/>
        </w:trPr>
        <w:tc>
          <w:tcPr>
            <w:tcW w:w="4200" w:type="dxa"/>
            <w:vAlign w:val="bottom"/>
          </w:tcPr>
          <w:p>
            <w:pPr>
              <w:spacing w:after="0"/>
              <w:rPr>
                <w:sz w:val="22"/>
                <w:szCs w:val="22"/>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The Schedule</w:t>
            </w:r>
          </w:p>
        </w:tc>
      </w:tr>
      <w:tr>
        <w:trPr>
          <w:trHeight w:val="486"/>
        </w:trPr>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Name of Sustainable Incremental Facility Lender</w:t>
            </w:r>
          </w:p>
        </w:tc>
        <w:tc>
          <w:tcPr>
            <w:tcW w:w="4560" w:type="dxa"/>
            <w:vAlign w:val="bottom"/>
          </w:tcPr>
          <w:p>
            <w:pPr>
              <w:jc w:val="center"/>
              <w:ind w:left="541"/>
              <w:spacing w:after="0"/>
              <w:rPr>
                <w:sz w:val="20"/>
                <w:szCs w:val="20"/>
                <w:color w:val="auto"/>
              </w:rPr>
            </w:pPr>
            <w:r>
              <w:rPr>
                <w:rFonts w:ascii="Times New Roman" w:cs="Times New Roman" w:eastAsia="Times New Roman" w:hAnsi="Times New Roman"/>
                <w:sz w:val="20"/>
                <w:szCs w:val="20"/>
                <w:b w:val="1"/>
                <w:bCs w:val="1"/>
                <w:color w:val="auto"/>
                <w:w w:val="98"/>
              </w:rPr>
              <w:t>Sustainable Incremental Facility Commitment</w:t>
            </w:r>
          </w:p>
        </w:tc>
      </w:tr>
      <w:tr>
        <w:trPr>
          <w:trHeight w:val="419"/>
        </w:trPr>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Morgan Stanley Senior Funding, Inc</w:t>
            </w:r>
          </w:p>
        </w:tc>
        <w:tc>
          <w:tcPr>
            <w:tcW w:w="4560" w:type="dxa"/>
            <w:vAlign w:val="bottom"/>
          </w:tcPr>
          <w:p>
            <w:pPr>
              <w:jc w:val="center"/>
              <w:ind w:left="541"/>
              <w:spacing w:after="0"/>
              <w:rPr>
                <w:sz w:val="20"/>
                <w:szCs w:val="20"/>
                <w:color w:val="auto"/>
              </w:rPr>
            </w:pPr>
            <w:r>
              <w:rPr>
                <w:rFonts w:ascii="Times New Roman" w:cs="Times New Roman" w:eastAsia="Times New Roman" w:hAnsi="Times New Roman"/>
                <w:sz w:val="20"/>
                <w:szCs w:val="20"/>
                <w:color w:val="auto"/>
                <w:w w:val="98"/>
              </w:rPr>
              <w:t>SEK 328,250,000</w:t>
            </w:r>
          </w:p>
        </w:tc>
      </w:tr>
      <w:tr>
        <w:trPr>
          <w:trHeight w:val="418"/>
        </w:trPr>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J.P. Morgan SE</w:t>
            </w:r>
          </w:p>
        </w:tc>
        <w:tc>
          <w:tcPr>
            <w:tcW w:w="4560" w:type="dxa"/>
            <w:vAlign w:val="bottom"/>
          </w:tcPr>
          <w:p>
            <w:pPr>
              <w:jc w:val="center"/>
              <w:ind w:left="541"/>
              <w:spacing w:after="0"/>
              <w:rPr>
                <w:sz w:val="20"/>
                <w:szCs w:val="20"/>
                <w:color w:val="auto"/>
              </w:rPr>
            </w:pPr>
            <w:r>
              <w:rPr>
                <w:rFonts w:ascii="Times New Roman" w:cs="Times New Roman" w:eastAsia="Times New Roman" w:hAnsi="Times New Roman"/>
                <w:sz w:val="20"/>
                <w:szCs w:val="20"/>
                <w:color w:val="auto"/>
                <w:w w:val="98"/>
              </w:rPr>
              <w:t>SEK 231,500,000</w:t>
            </w:r>
          </w:p>
        </w:tc>
      </w:tr>
      <w:tr>
        <w:trPr>
          <w:trHeight w:val="418"/>
        </w:trPr>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BNP Paribas SA, Bankfilial Sverige</w:t>
            </w:r>
          </w:p>
        </w:tc>
        <w:tc>
          <w:tcPr>
            <w:tcW w:w="4560" w:type="dxa"/>
            <w:vAlign w:val="bottom"/>
          </w:tcPr>
          <w:p>
            <w:pPr>
              <w:jc w:val="center"/>
              <w:ind w:left="541"/>
              <w:spacing w:after="0"/>
              <w:rPr>
                <w:sz w:val="20"/>
                <w:szCs w:val="20"/>
                <w:color w:val="auto"/>
              </w:rPr>
            </w:pPr>
            <w:r>
              <w:rPr>
                <w:rFonts w:ascii="Times New Roman" w:cs="Times New Roman" w:eastAsia="Times New Roman" w:hAnsi="Times New Roman"/>
                <w:sz w:val="20"/>
                <w:szCs w:val="20"/>
                <w:color w:val="auto"/>
                <w:w w:val="99"/>
              </w:rPr>
              <w:t>SEK 96,750,000</w:t>
            </w:r>
          </w:p>
        </w:tc>
      </w:tr>
      <w:tr>
        <w:trPr>
          <w:trHeight w:val="418"/>
        </w:trPr>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Nordea Bank Abp, filial i Sverige</w:t>
            </w:r>
          </w:p>
        </w:tc>
        <w:tc>
          <w:tcPr>
            <w:tcW w:w="4560" w:type="dxa"/>
            <w:vAlign w:val="bottom"/>
          </w:tcPr>
          <w:p>
            <w:pPr>
              <w:jc w:val="center"/>
              <w:ind w:left="541"/>
              <w:spacing w:after="0"/>
              <w:rPr>
                <w:sz w:val="20"/>
                <w:szCs w:val="20"/>
                <w:color w:val="auto"/>
              </w:rPr>
            </w:pPr>
            <w:r>
              <w:rPr>
                <w:rFonts w:ascii="Times New Roman" w:cs="Times New Roman" w:eastAsia="Times New Roman" w:hAnsi="Times New Roman"/>
                <w:sz w:val="20"/>
                <w:szCs w:val="20"/>
                <w:color w:val="auto"/>
                <w:w w:val="99"/>
              </w:rPr>
              <w:t>SEK 96,750,000</w:t>
            </w:r>
          </w:p>
        </w:tc>
      </w:tr>
      <w:tr>
        <w:trPr>
          <w:trHeight w:val="418"/>
        </w:trPr>
        <w:tc>
          <w:tcPr>
            <w:tcW w:w="4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Coöperatieve Rabobank U.A.</w:t>
            </w:r>
          </w:p>
        </w:tc>
        <w:tc>
          <w:tcPr>
            <w:tcW w:w="4560" w:type="dxa"/>
            <w:vAlign w:val="bottom"/>
          </w:tcPr>
          <w:p>
            <w:pPr>
              <w:jc w:val="center"/>
              <w:ind w:left="541"/>
              <w:spacing w:after="0"/>
              <w:rPr>
                <w:sz w:val="20"/>
                <w:szCs w:val="20"/>
                <w:color w:val="auto"/>
              </w:rPr>
            </w:pPr>
            <w:r>
              <w:rPr>
                <w:rFonts w:ascii="Times New Roman" w:cs="Times New Roman" w:eastAsia="Times New Roman" w:hAnsi="Times New Roman"/>
                <w:sz w:val="20"/>
                <w:szCs w:val="20"/>
                <w:color w:val="auto"/>
                <w:w w:val="99"/>
              </w:rPr>
              <w:t>SEK 96,750,000</w:t>
            </w:r>
          </w:p>
        </w:tc>
      </w:tr>
    </w:tbl>
    <w:p>
      <w:pPr>
        <w:spacing w:after="0" w:line="1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 xml:space="preserve">Total: SEK </w:t>
      </w:r>
      <w:r>
        <w:rPr>
          <w:rFonts w:ascii="Times New Roman" w:cs="Times New Roman" w:eastAsia="Times New Roman" w:hAnsi="Times New Roman"/>
          <w:sz w:val="20"/>
          <w:szCs w:val="20"/>
          <w:b w:val="1"/>
          <w:bCs w:val="1"/>
          <w:u w:val="single" w:color="auto"/>
          <w:color w:val="auto"/>
        </w:rPr>
        <w:t>850,000,000</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EMEA 138285255</w:t>
      </w:r>
    </w:p>
    <w:p>
      <w:pPr>
        <w:spacing w:after="0" w:line="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9" w:name="page10"/>
    <w:bookmarkEnd w:id="9"/>
    <w:p>
      <w:pPr>
        <w:ind w:left="760"/>
        <w:spacing w:after="0"/>
        <w:rPr>
          <w:sz w:val="20"/>
          <w:szCs w:val="20"/>
          <w:color w:val="auto"/>
        </w:rPr>
      </w:pPr>
      <w:r>
        <w:rPr>
          <w:rFonts w:ascii="Times New Roman" w:cs="Times New Roman" w:eastAsia="Times New Roman" w:hAnsi="Times New Roman"/>
          <w:sz w:val="20"/>
          <w:szCs w:val="20"/>
          <w:b w:val="1"/>
          <w:bCs w:val="1"/>
          <w:color w:val="auto"/>
        </w:rPr>
        <w:t>OATLY GROUP AB (PUBL)</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as the Company</w:t>
      </w:r>
    </w:p>
    <w:p>
      <w:pPr>
        <w:spacing w:after="0" w:line="200" w:lineRule="exact"/>
        <w:rPr>
          <w:sz w:val="20"/>
          <w:szCs w:val="20"/>
          <w:color w:val="auto"/>
        </w:rPr>
      </w:pPr>
    </w:p>
    <w:p>
      <w:pPr>
        <w:spacing w:after="0" w:line="3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/s/ Toni Petersson</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Name: Toni Petersson</w:t>
      </w:r>
    </w:p>
    <w:p>
      <w:pPr>
        <w:ind w:left="760"/>
        <w:spacing w:after="0"/>
        <w:rPr>
          <w:sz w:val="20"/>
          <w:szCs w:val="20"/>
          <w:color w:val="auto"/>
        </w:rPr>
      </w:pPr>
      <w:r>
        <w:rPr>
          <w:rFonts w:ascii="Times New Roman" w:cs="Times New Roman" w:eastAsia="Times New Roman" w:hAnsi="Times New Roman"/>
          <w:sz w:val="20"/>
          <w:szCs w:val="20"/>
          <w:color w:val="auto"/>
        </w:rPr>
        <w:t>Capacity: Authorised signatory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OATLY AB</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b w:val="1"/>
          <w:bCs w:val="1"/>
          <w:color w:val="auto"/>
        </w:rPr>
        <w:t>as Original Borrower and Obligors’ Agent</w:t>
      </w:r>
    </w:p>
    <w:p>
      <w:pPr>
        <w:spacing w:after="0" w:line="200" w:lineRule="exact"/>
        <w:rPr>
          <w:sz w:val="20"/>
          <w:szCs w:val="20"/>
          <w:color w:val="auto"/>
        </w:rPr>
      </w:pPr>
    </w:p>
    <w:p>
      <w:pPr>
        <w:spacing w:after="0" w:line="3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/s/ Toni Petersson</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Name: Toni Petersson</w:t>
      </w:r>
    </w:p>
    <w:p>
      <w:pPr>
        <w:ind w:left="760"/>
        <w:spacing w:after="0"/>
        <w:rPr>
          <w:sz w:val="20"/>
          <w:szCs w:val="20"/>
          <w:color w:val="auto"/>
        </w:rPr>
      </w:pPr>
      <w:r>
        <w:rPr>
          <w:rFonts w:ascii="Times New Roman" w:cs="Times New Roman" w:eastAsia="Times New Roman" w:hAnsi="Times New Roman"/>
          <w:sz w:val="20"/>
          <w:szCs w:val="20"/>
          <w:color w:val="auto"/>
        </w:rPr>
        <w:t>Capacity: Authorised signatory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CEREAL BASE CEBA AKTIEBOLAG</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as Pledgor</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Toni Petersson</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Name: Toni Petersson</w:t>
      </w:r>
    </w:p>
    <w:p>
      <w:pPr>
        <w:ind w:left="760"/>
        <w:spacing w:after="0"/>
        <w:rPr>
          <w:sz w:val="20"/>
          <w:szCs w:val="20"/>
          <w:color w:val="auto"/>
        </w:rPr>
      </w:pPr>
      <w:r>
        <w:rPr>
          <w:rFonts w:ascii="Times New Roman" w:cs="Times New Roman" w:eastAsia="Times New Roman" w:hAnsi="Times New Roman"/>
          <w:sz w:val="20"/>
          <w:szCs w:val="20"/>
          <w:color w:val="auto"/>
        </w:rPr>
        <w:t>Capacity: Authorised signatory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EMEA 138285255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5" w:right="1440" w:bottom="1440" w:gutter="0" w:footer="0" w:header="0"/>
        </w:sectPr>
      </w:pPr>
    </w:p>
    <w:bookmarkStart w:id="10" w:name="page11"/>
    <w:bookmarkEnd w:id="10"/>
    <w:p>
      <w:pPr>
        <w:ind w:left="760"/>
        <w:spacing w:after="0"/>
        <w:rPr>
          <w:sz w:val="20"/>
          <w:szCs w:val="20"/>
          <w:color w:val="auto"/>
        </w:rPr>
      </w:pPr>
      <w:r>
        <w:rPr>
          <w:rFonts w:ascii="Times New Roman" w:cs="Times New Roman" w:eastAsia="Times New Roman" w:hAnsi="Times New Roman"/>
          <w:sz w:val="20"/>
          <w:szCs w:val="20"/>
          <w:b w:val="1"/>
          <w:bCs w:val="1"/>
          <w:color w:val="auto"/>
        </w:rPr>
        <w:t>MORGAN STANLEY SENIOR FUNDING, INC</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/s/ Michael King</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By: Michael King, Vice President By:</w:t>
      </w:r>
    </w:p>
    <w:p>
      <w:pPr>
        <w:spacing w:after="0" w:line="200" w:lineRule="exact"/>
        <w:rPr>
          <w:sz w:val="20"/>
          <w:szCs w:val="20"/>
          <w:color w:val="auto"/>
        </w:rPr>
      </w:pPr>
    </w:p>
    <w:p>
      <w:pPr>
        <w:spacing w:after="0" w:line="3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J.P. MORGAN 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Nia Douglas /s/ Lea Marie Burek</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By: Nia Douglas, Executive Director By: Lea Marie Burek, Vice President</w:t>
      </w:r>
    </w:p>
    <w:p>
      <w:pPr>
        <w:spacing w:after="0" w:line="200" w:lineRule="exact"/>
        <w:rPr>
          <w:sz w:val="20"/>
          <w:szCs w:val="20"/>
          <w:color w:val="auto"/>
        </w:rPr>
      </w:pPr>
    </w:p>
    <w:p>
      <w:pPr>
        <w:spacing w:after="0" w:line="3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BNP PARIBAS SA, BANKFILIAL SVERIGE</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/s/ Sebastian Frisk /s/ Tanguy Bret</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By: Sebastian Frisk By: Tanguy Bret, COO Nordic Region</w:t>
      </w:r>
    </w:p>
    <w:p>
      <w:pPr>
        <w:spacing w:after="0" w:line="200" w:lineRule="exact"/>
        <w:rPr>
          <w:sz w:val="20"/>
          <w:szCs w:val="20"/>
          <w:color w:val="auto"/>
        </w:rPr>
      </w:pPr>
    </w:p>
    <w:p>
      <w:pPr>
        <w:spacing w:after="0" w:line="3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NORDEA BANK ABP, FILIAL I SVERIGE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Einar Erici /s/ Oskar Hjärpe</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By: Einar Erici, Director By: Oskar Hjärpe, Senior Legal Counsel</w:t>
      </w:r>
    </w:p>
    <w:p>
      <w:pPr>
        <w:spacing w:after="0" w:line="200" w:lineRule="exact"/>
        <w:rPr>
          <w:sz w:val="20"/>
          <w:szCs w:val="20"/>
          <w:color w:val="auto"/>
        </w:rPr>
      </w:pPr>
    </w:p>
    <w:p>
      <w:pPr>
        <w:spacing w:after="0" w:line="3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COÖPERATIEVE RABOBANK U.A.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B. Fransen /s/ P.V. Heck</w:t>
      </w:r>
    </w:p>
    <w:p>
      <w:pPr>
        <w:spacing w:after="0" w:line="22"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20"/>
          <w:szCs w:val="20"/>
          <w:color w:val="auto"/>
        </w:rPr>
        <w:t>By: B. Fransen, Executive Director, Proxy AB By: P.V. Heck, Director, Proxy B</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EMEA 138285255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93" w:right="1440" w:bottom="1440" w:gutter="0" w:footer="0" w:header="0"/>
        </w:sectPr>
      </w:pPr>
    </w:p>
    <w:bookmarkStart w:id="11" w:name="page12"/>
    <w:bookmarkEnd w:id="11"/>
    <w:p>
      <w:pPr>
        <w:ind w:left="760"/>
        <w:spacing w:after="0" w:line="255" w:lineRule="auto"/>
        <w:rPr>
          <w:sz w:val="20"/>
          <w:szCs w:val="20"/>
          <w:color w:val="auto"/>
        </w:rPr>
      </w:pPr>
      <w:r>
        <w:rPr>
          <w:rFonts w:ascii="Times New Roman" w:cs="Times New Roman" w:eastAsia="Times New Roman" w:hAnsi="Times New Roman"/>
          <w:sz w:val="20"/>
          <w:szCs w:val="20"/>
          <w:color w:val="auto"/>
        </w:rPr>
        <w:t xml:space="preserve">This document is accepted as a Sustainable Incremental Facility Notice for the purposes of the Agreement by the Agent and the Establishment Date is confirmed as </w:t>
      </w:r>
      <w:r>
        <w:rPr>
          <w:rFonts w:ascii="Times New Roman" w:cs="Times New Roman" w:eastAsia="Times New Roman" w:hAnsi="Times New Roman"/>
          <w:sz w:val="20"/>
          <w:szCs w:val="20"/>
          <w:u w:val="single" w:color="auto"/>
          <w:color w:val="auto"/>
        </w:rPr>
        <w:t>28 June</w:t>
      </w:r>
      <w:r>
        <w:rPr>
          <w:rFonts w:ascii="Times New Roman" w:cs="Times New Roman" w:eastAsia="Times New Roman" w:hAnsi="Times New Roman"/>
          <w:sz w:val="20"/>
          <w:szCs w:val="20"/>
          <w:color w:val="auto"/>
        </w:rPr>
        <w:t xml:space="preserve"> 2022.</w:t>
      </w:r>
    </w:p>
    <w:p>
      <w:pPr>
        <w:spacing w:after="0" w:line="1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SKANDINAVISKA ENSKILDA BANKEN AB (PUBL)</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Penny Neville-Park /s/ Andrew Moore</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By: Penny Neville-Park By: Andrew Moore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EMEA 138285255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6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lvl w:ilvl="1">
      <w:lvlJc w:val="left"/>
      <w:lvlText w:val="(%2)"/>
      <w:numFmt w:val="lowerLetter"/>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
    <w:nsid w:val="2EB141F2"/>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upperLetter"/>
      <w:start w:val="1"/>
    </w:lvl>
  </w:abstractNum>
  <w:abstractNum w:abstractNumId="3">
    <w:nsid w:val="41B71EF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
    <w:nsid w:val="79E2A9E3"/>
    <w:multiLevelType w:val="hybridMultilevel"/>
    <w:lvl w:ilvl="0">
      <w:lvlJc w:val="left"/>
      <w:lvlText w:val="%1"/>
      <w:numFmt w:val="decimal"/>
      <w:start w:val="1"/>
    </w:lvl>
    <w:lvl w:ilvl="1">
      <w:lvlJc w:val="left"/>
      <w:lvlText w:val="(%2)"/>
      <w:numFmt w:val="lowerLetter"/>
      <w:start w:val="3"/>
    </w:lvl>
  </w:abstractNum>
  <w:abstractNum w:abstractNumId="5">
    <w:nsid w:val="7545E146"/>
    <w:multiLevelType w:val="hybridMultilevel"/>
    <w:lvl w:ilvl="0">
      <w:lvlJc w:val="left"/>
      <w:lvlText w:val="%1."/>
      <w:numFmt w:val="decimal"/>
      <w:start w:val="7"/>
    </w:lvl>
    <w:lvl w:ilvl="1">
      <w:lvlJc w:val="left"/>
      <w:lvlText w:val="(%2)"/>
      <w:numFmt w:val="lowerLetter"/>
      <w:start w:val="1"/>
    </w:lvl>
  </w:abstractNum>
  <w:abstractNum w:abstractNumId="6">
    <w:nsid w:val="515F007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
    <w:nsid w:val="5BD062C2"/>
    <w:multiLevelType w:val="hybridMultilevel"/>
    <w:lvl w:ilvl="0">
      <w:lvlJc w:val="left"/>
      <w:lvlText w:val="(%1)"/>
      <w:numFmt w:val="lowerLetter"/>
      <w:start w:val="12"/>
    </w:lvl>
  </w:abstractNum>
  <w:abstractNum w:abstractNumId="8">
    <w:nsid w:val="12200854"/>
    <w:multiLevelType w:val="hybridMultilevel"/>
    <w:lvl w:ilvl="0">
      <w:lvlJc w:val="left"/>
      <w:lvlText w:val="%1."/>
      <w:numFmt w:val="decimal"/>
      <w:start w:val="9"/>
    </w:lvl>
  </w:abstractNum>
  <w:abstractNum w:abstractNumId="9">
    <w:nsid w:val="4DB127F8"/>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2022-06-24T06:32:12Z</dcterms:created>
  <dcterms:modified xsi:type="dcterms:W3CDTF">2022-06-24T06:32:12Z</dcterms:modified>
</cp:coreProperties>
</file>