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40"/>
        <w:spacing w:after="0" w:line="207" w:lineRule="exact"/>
        <w:tabs>
          <w:tab w:leader="none" w:pos="61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July 23, 2025, the Company issued a press release announcing its financial results for the quarter ended June 30, 2025. A copy of the press release is furnished as Exhibit 99.1 to this Report on Form 6-K.</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Departure of Directors; Appointment of New Directors</w:t>
      </w:r>
    </w:p>
    <w:p>
      <w:pPr>
        <w:spacing w:after="0" w:line="229"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July 22, 2025, the board of directors of the Company (the “Board”) received notice from two of its directors, Xin Wang and Lai Shu Tuen-Muk, that they would each step down as members of the Board, effective July 22, 2025. Mr. Wang’s and Mr. Tuen-Muk’s decisions were not due to any disagreement with the Company’s management or Board. The Board thanks both Mr. Wang and Mr. Tuen-Muk for their service.</w:t>
      </w:r>
    </w:p>
    <w:p>
      <w:pPr>
        <w:spacing w:after="0" w:line="17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Nan Li was appointed to the Board, also effective July 22, 2025, by the Company’s shareholder, China Resources (Holdings) Company Limited (“China Resources”), to replace Mr. Wang. Mr. Li will serve as a director until the close of the annual general meeting to be held in 2027 and until his successor is duly elected and qualified (or his earlier death, resignation or removal).</w:t>
      </w:r>
    </w:p>
    <w:p>
      <w:pPr>
        <w:spacing w:after="0" w:line="176"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Mr. Li is Vice President of China Resources Enterprise, Limited. He is also Chairman of Pacific Coffee (Hong Kong and Overseas). He has also served as the Deputy General Manager at China Resources Property Co., Ltd, and has served as the General Manager of Hong Kong Kapok Hotel Apartments. Mr. Li holds a bachelor’s degree in construction management from the Department of Civil Engineering of Tsinghua University, China. He joined China Resources Group in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3" w:right="459" w:bottom="1440" w:gutter="0" w:footer="0" w:header="0"/>
        </w:sectPr>
      </w:pPr>
    </w:p>
    <w:bookmarkStart w:id="1" w:name="page2"/>
    <w:bookmarkEnd w:id="1"/>
    <w:p>
      <w:pPr>
        <w:ind w:right="60"/>
        <w:spacing w:after="0" w:line="312" w:lineRule="auto"/>
        <w:rPr>
          <w:sz w:val="20"/>
          <w:szCs w:val="20"/>
          <w:color w:val="auto"/>
        </w:rPr>
      </w:pPr>
      <w:r>
        <w:rPr>
          <w:rFonts w:ascii="Times New Roman" w:cs="Times New Roman" w:eastAsia="Times New Roman" w:hAnsi="Times New Roman"/>
          <w:sz w:val="17"/>
          <w:szCs w:val="17"/>
          <w:color w:val="auto"/>
        </w:rPr>
        <w:t>Wenjie Ma was appointed to the Board, also effective July 22, 2025, by China Resources, to replace Mr. Tuen-Muk. Mr. Ma will serve as a director until the close of the annual general meeting to be held in 2027 and until his successor is duly elected and qualified (or his earlier death, resignation or removal).</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Ma has served as the Chief Financial Officer of China Resources Enterprise Limited since April 2025. Mr. Ma joined China Resources in 2010 where he served as the Deputy General Manager in the Finance Department from February 2019 to April 2025. Mr. Ma previously served on the boards of directors of China Resources Microelectronics Limited from April 2019 to September 2021, and CR Verlinvest Health Investment Limited from April 2019 to December 2022. Mr. Ma has extensive experience in auditing and financial management. Mr. Ma received a Master’s degree in International Relations from University of Hong Kong in 2017. He is also a chartered financial analyst and certified public accountant.</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Each of Mr. Li and Mr. Ma were appointed pursuant to China Resources’ board appointment rights, which are described under “Appointment Rights” in Item 6.A of the Company’s annual report on Form 20-F (the “Form 20-F”) filed with the Securities and Exchange Commission (the “SEC”) on March 13, 2025.</w:t>
      </w:r>
    </w:p>
    <w:p>
      <w:pPr>
        <w:spacing w:after="0" w:line="17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As previously announced, the Board has been working with Verlinvest S.A. (“Verlinvest”) to appoint a successor for Bernard Hours. Verlinvest has appointment rights as described under “Appointment Rights” in Item 6.A of the Form 20-F. On July 22, 2025, Verlinvest appointed Benjamin Black to the Board to replace Mr. Hours. Mr. Hours’ resignation is now effective following the appointment of Mr. Black. Mr. Black will serve as a director until the close of the annual general meeting to be held in 2027 and until his successor is duly elected and qualified (or his earlier death, resignation or removal).</w:t>
      </w:r>
    </w:p>
    <w:p>
      <w:pPr>
        <w:spacing w:after="0" w:line="1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Mr. Black is a member of the Executive Leadership team of Verlinvest. Mr. Black has broad experience in UK Corporate Finance and M&amp;A across Private Equity transactions (buy-side &amp; sell-side roles), refinancings, IPOs and strategic reviews. He sits on Verlinvest’s Investment Committee and Management Committee, and the Investment Committee of Verlinvest’s Venture arm, V3 Ventures. He is responsible for Verlinvest’s global FMCG practice and European Growth investment activities, and serves as a Director or Observer on the boards of directors of Tony’s Chocolonely since March 2020, Who Gives a Crap since September 2021 and The Climbing Hangar since October 2024. Mr. Black holds a first class BA degree in History from King’s College London.</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than with respect to China Resources’ and Verlinvest’s board appointment rights, there are no transactions in which Mr. Li, Mr. Ma or Mr. Black has an interest requiring disclosure under Item 7.B of the Form 20-F. Additionally, neither Mr. Li, Mr. Ma, nor Mr. Black have any family relationship with any director or executive officer of the Company or any person nominated or chosen by the Company to become a director or executive officer. Mr. Li, Mr. Ma and Mr. Black will be entitled to standard compensation available to all non-employee directors (as described under “Executive Officer, Non-Executive Director and Key Management Compensation” in Item 6.B of the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1161415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6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2"/>
                <w:szCs w:val="22"/>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of Oatly Group AB, dated July 23, 2025</w:t>
            </w:r>
          </w:p>
        </w:tc>
      </w:tr>
      <w:tr>
        <w:trPr>
          <w:trHeight w:val="1000"/>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940" w:type="dxa"/>
            <w:vAlign w:val="bottom"/>
            <w:tcBorders>
              <w:top w:val="single" w:sz="8" w:color="0000FF"/>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Oatly Group AB</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2025</w:t>
            </w:r>
          </w:p>
        </w:tc>
        <w:tc>
          <w:tcPr>
            <w:tcW w:w="28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191"/>
        </w:trPr>
        <w:tc>
          <w:tcPr>
            <w:tcW w:w="3580" w:type="dxa"/>
            <w:vAlign w:val="bottom"/>
          </w:tcPr>
          <w:p>
            <w:pPr>
              <w:spacing w:after="0"/>
              <w:rPr>
                <w:sz w:val="16"/>
                <w:szCs w:val="16"/>
                <w:color w:val="auto"/>
              </w:rPr>
            </w:pPr>
          </w:p>
        </w:tc>
        <w:tc>
          <w:tcPr>
            <w:tcW w:w="284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3580" w:type="dxa"/>
            <w:vAlign w:val="bottom"/>
          </w:tcPr>
          <w:p>
            <w:pPr>
              <w:spacing w:after="0"/>
              <w:rPr>
                <w:sz w:val="20"/>
                <w:szCs w:val="20"/>
                <w:color w:val="auto"/>
              </w:rPr>
            </w:pPr>
          </w:p>
        </w:tc>
        <w:tc>
          <w:tcPr>
            <w:tcW w:w="28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5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167640</wp:posOffset>
            </wp:positionV>
            <wp:extent cx="160274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27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Reports Second Quarter 2025 Financial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MALMÖ, Sweden, July 23, 2025 – Oatly Group AB (Nasdaq: OTLY) (“Oatly”, the “Company” or the “Group”), the world’s original and largest oat drink company, today announced financial results for the second quarter ended June 30, 2025.</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Jean-Christophe Flatin, Oatly’s CEO, commented, “In the first half of the year, we made good progress on our 2025 priorities. We continue to drive cost efficiencies in our supply chain and overhead structure, and our disciplined execution of our growth playbook has seen success in our Europe &amp; International segment, where we are seeing top line momentum. All of these steps are aimed toward our goal of consistently improved profitability. Our updated guidance reflects slower-than-expected top-line progress in our North America segment, as well as a soft macro-environment in our Greater China business. Importantly, we continue to drive additional cost efficiencies to keep us on-track to deliver on our profitability commitment, enabling us to reaffirm our adjusted EBITDA guidance.”</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 continued, “Additionally, we are conducting a strategic review of our Greater China business, with the goal of accelerating the growth and maximizing the value of the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reconcile revenue as reported to revenue on a constant currency basis by segment for the three and six months ended June 30,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vMerge w:val="restart"/>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118,19</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111,60</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118,193</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2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94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26,927</w:t>
            </w:r>
          </w:p>
        </w:tc>
        <w:tc>
          <w:tcPr>
            <w:tcW w:w="11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87"/>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208,35</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201,71</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208,354</w:t>
            </w:r>
          </w:p>
        </w:tc>
        <w:tc>
          <w:tcPr>
            <w:tcW w:w="220" w:type="dxa"/>
            <w:vAlign w:val="bottom"/>
            <w:vMerge w:val="restart"/>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22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6,642</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520" w:type="dxa"/>
            <w:vAlign w:val="bottom"/>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520" w:type="dxa"/>
            <w:vAlign w:val="bottom"/>
            <w:vMerge w:val="continue"/>
          </w:tcPr>
          <w:p>
            <w:pPr>
              <w:spacing w:after="0"/>
              <w:rPr>
                <w:sz w:val="24"/>
                <w:szCs w:val="24"/>
                <w:color w:val="auto"/>
              </w:rPr>
            </w:pPr>
          </w:p>
        </w:tc>
        <w:tc>
          <w:tcPr>
            <w:tcW w:w="19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Foreign</w:t>
            </w:r>
          </w:p>
        </w:tc>
        <w:tc>
          <w:tcPr>
            <w:tcW w:w="6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gridSpan w:val="2"/>
            <w:vMerge w:val="restart"/>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5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5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225,85</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221,86</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225,858</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215,948</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94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123,07</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123,07</w:t>
            </w: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26"/>
        </w:trPr>
        <w:tc>
          <w:tcPr>
            <w:tcW w:w="2520" w:type="dxa"/>
            <w:vAlign w:val="bottom"/>
            <w:vMerge w:val="continue"/>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123,071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56,955</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56,955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57,195</w:t>
            </w: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87"/>
        </w:trPr>
        <w:tc>
          <w:tcPr>
            <w:tcW w:w="252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405,88</w:t>
            </w:r>
          </w:p>
        </w:tc>
        <w:tc>
          <w:tcPr>
            <w:tcW w:w="200" w:type="dxa"/>
            <w:vAlign w:val="bottom"/>
            <w:tcBorders>
              <w:top w:val="single" w:sz="8" w:color="CFF0F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402,13</w:t>
            </w:r>
          </w:p>
        </w:tc>
        <w:tc>
          <w:tcPr>
            <w:tcW w:w="1120" w:type="dxa"/>
            <w:vAlign w:val="bottom"/>
            <w:tcBorders>
              <w:top w:val="single" w:sz="8" w:color="CFF0FC"/>
            </w:tcBorders>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1120" w:type="dxa"/>
            <w:vAlign w:val="bottom"/>
            <w:tcBorders>
              <w:top w:val="single" w:sz="8" w:color="CFF0FC"/>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w:t>
            </w:r>
          </w:p>
        </w:tc>
        <w:tc>
          <w:tcPr>
            <w:tcW w:w="960" w:type="dxa"/>
            <w:vAlign w:val="bottom"/>
            <w:tcBorders>
              <w:top w:val="single" w:sz="8" w:color="CFF0FC"/>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w:t>
            </w:r>
          </w:p>
        </w:tc>
        <w:tc>
          <w:tcPr>
            <w:tcW w:w="940" w:type="dxa"/>
            <w:vAlign w:val="bottom"/>
            <w:tcBorders>
              <w:top w:val="single" w:sz="8" w:color="CFF0FC"/>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405,884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3,751</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-2005330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-2005330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-2005330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-2005330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-2005330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-307975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-307975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-307975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-307975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-307975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89" w:lineRule="exact"/>
        <w:rPr>
          <w:sz w:val="20"/>
          <w:szCs w:val="20"/>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revenue of $208.4 million, a 3.0% increase compared to the prior year period, with a constant currency revenue decrease of 0.2% compared to the prior year period.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 the second quarter was 32.5%, which is a 3.3 percentage points increase compared to the prior year period.</w:t>
      </w:r>
    </w:p>
    <w:p>
      <w:pPr>
        <w:spacing w:after="0" w:line="19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net loss attributable to shareholders of the parent was $55.9 million, which is an increase of $25.5 million compared to a net loss attributable to shareholders of the parent of $30.4 million in the prior year period.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Adjusted EBITDA loss was $3.6 million, which is an improvement of $7.4 million compared to the prior year period.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initiated a strategic review of its Greater China business.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refining its 2025 outlook as follows:</w:t>
      </w:r>
    </w:p>
    <w:p>
      <w:pPr>
        <w:sectPr>
          <w:pgSz w:w="11900" w:h="16838" w:orient="portrait"/>
          <w:cols w:equalWidth="0" w:num="1">
            <w:col w:w="11240"/>
          </w:cols>
          <w:pgMar w:left="320" w:top="772"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5" w:name="page6"/>
    <w:bookmarkEnd w:id="5"/>
    <w:p>
      <w:pPr>
        <w:jc w:val="both"/>
        <w:ind w:left="1500" w:hanging="369"/>
        <w:spacing w:after="0" w:line="266"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is now expected to be in the range of approximately flat to +1%, compared to the prior expectation of +2% to +4%, reflecting reduced expectations in the North America segment as well as a softer-than-expected macro-environment in the Greater China segment;</w:t>
      </w:r>
    </w:p>
    <w:p>
      <w:pPr>
        <w:spacing w:after="0" w:line="6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continues to be expected to be in the range of positive $5 million to $15 million;</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now expected to be approximately $20 million, compared to the prior expectation of $30 to $35 million; and</w:t>
      </w:r>
    </w:p>
    <w:p>
      <w:pPr>
        <w:spacing w:after="0" w:line="117" w:lineRule="exact"/>
        <w:rPr>
          <w:rFonts w:ascii="Times New Roman" w:cs="Times New Roman" w:eastAsia="Times New Roman" w:hAnsi="Times New Roman"/>
          <w:sz w:val="18"/>
          <w:szCs w:val="18"/>
          <w:color w:val="auto"/>
        </w:rPr>
      </w:pPr>
    </w:p>
    <w:p>
      <w:pPr>
        <w:ind w:left="1500" w:right="20" w:hanging="369"/>
        <w:spacing w:after="0" w:line="282"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recent foreign exchange rates, the full-year impact of foreign exchange is now expected to be a tailwind to revenue growth by approximately 150 basis, compared to the prior expectation of an approximately 100 basis point headwind.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Results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increased $6.2 million, or 3.0% to $208.4 million for the second quarter ended June 30, 2025, compared to $202.2 million for the prior year period. Excluding a foreign currency exchange tailwind of $6.6 million, revenue for the second quarter was $201.7 million, or a decrease of 0.2% compared to the prior year period. The decrease in constant currency revenue was primarily driven by decline in North America and Greater China, partially offset by strong growth in Europe and International. Sold volume for the second quarter of 2025 increased 2.8% to 140.4 million liters compared to 136.6 million liters in the second quarter of 2024. Produced finished goods volume for the second quarter of 2025 was 142.8 million liters compared to 142.0 million liters for the second quarter of 2024.</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$67.6 million for the second quarter of 2025 compared to $59.0 million for the second quarter of 2024. Gross profit margin was 32.5% in the second quarter of 2025, an increase of 330 basis points compared to the prior year period. The margin improvement compared to the second quarter of 2024 was primarily driven by improvements in supply chain efficiency in Europe &amp; International.</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 the second quarter of 2025 decreased $6.3 million to $4.6 million compared to $10.9 million in the prior year period. The decrease was mainly explained by expenses in the prior year period related to a new product launch issue in the North America segment.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 the second quarter of 2025 decreased $0.2 million to $84.1 million compared to $84.3 million in the prior year period. The Company continued to take actions to reduce overhead expenses, which was partially offset by foreign exchange movements, an increase in branding &amp; advertising investments, and increased customer distribution expenses related to increased sold volume.</w:t>
      </w:r>
    </w:p>
    <w:p>
      <w:pPr>
        <w:spacing w:after="0" w:line="1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Other operating income and (expenses), net for the second quarter of 2025 was an expense of $1.0 million comprised primarily of $1.4 million in costs for the Company’s strategic review of the Greater China segment. Other operating income and (expenses), net for the prior year period was an expense of $2.9 million comprised primarily of non-cash impairment charges related to the Group’s discontinued construction of its production facility in Peterborough, UK.</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Finance income and (expenses), net for the second quarter of 2025 was an expense of $31.9 million comprised primarily of net interest expenses of $14.9 million, fair value losses on Convertible Notes of $8.6 million, and net foreign exchange losses of $7.8 million. The finance income and (expenses), net for the prior year period was an income of $10.4 million comprised primarily of fair value gains on Convertible Notes of $23.9 million, offset by net interest expenses of $13.0 million.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attributable to shareholders of the parent was $55.9 million for the second quarter of 2025 compared to a loss of $30.4 million in the prior year period. The increase in loss was primarily due to fair value losses on Convertible Notes, partially offset by higher gross profit and lower research and development expenses.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loss for the second quarter of 2025 was $3.6 million, compared to a loss of $11.0 million in the prior year period. The improvement in Adjusted EBITDA loss was primarily a result of higher gross profit and lower research and development expenses.</w:t>
      </w:r>
    </w:p>
    <w:p>
      <w:pPr>
        <w:spacing w:after="0" w:line="11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EBITDA, Adjusted EBITDA loss, and Constant Currency Revenue are non-IFRS financial measures defined under “Non-IFRS financial measures”. Please see above revenue at constant currency table and “Reconciliation of IFRS to Non-IFRS Financial measures” at the end of this press release.</w:t>
      </w:r>
    </w:p>
    <w:p>
      <w:pPr>
        <w:spacing w:after="0" w:line="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 Adjusted EBITDA, EBITDA and loss before tax for the Company’s three reportable segments for the periods presented.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118,193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118,648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63,185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26,976</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24,261</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(2,369)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(636)</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(24,819)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(3,563)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(515)</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(2,276)</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(585)</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23,275</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(3,282)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(2,425)</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(27,390)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(9,822)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(31,916)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(54,032)</w:t>
            </w:r>
          </w:p>
        </w:tc>
        <w:tc>
          <w:tcPr>
            <w:tcW w:w="0" w:type="dxa"/>
            <w:vAlign w:val="bottom"/>
          </w:tcPr>
          <w:p>
            <w:pPr>
              <w:spacing w:after="0"/>
              <w:rPr>
                <w:sz w:val="1"/>
                <w:szCs w:val="1"/>
                <w:color w:val="auto"/>
              </w:rPr>
            </w:pPr>
          </w:p>
        </w:tc>
      </w:tr>
      <w:tr>
        <w:trPr>
          <w:trHeight w:val="34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105,541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(1,814)</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107,355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67,819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28,835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(1,814)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12,638</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(428)</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(24,373)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(10,997)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(501)</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(855)</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(1,470)</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(5,677)</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8,359</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(5,235)</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(2,435)</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(27,460)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(26,771)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(12,308)</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(28,690)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225,858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123,071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(1,144)</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227,002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123,071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56,955</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(1,144)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39,797</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(1,240)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(46,833)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(7,294)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(983)</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(1,253)</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39,189</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(3,179)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(1,297)</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(51,945)</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(17,232)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(23,475)</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(63,212)</w:t>
            </w:r>
          </w:p>
        </w:tc>
        <w:tc>
          <w:tcPr>
            <w:tcW w:w="0" w:type="dxa"/>
            <w:vAlign w:val="bottom"/>
          </w:tcPr>
          <w:p>
            <w:pPr>
              <w:spacing w:after="0"/>
              <w:rPr>
                <w:sz w:val="1"/>
                <w:szCs w:val="1"/>
                <w:color w:val="auto"/>
              </w:rPr>
            </w:pPr>
          </w:p>
        </w:tc>
      </w:tr>
      <w:tr>
        <w:trPr>
          <w:trHeight w:val="31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215,948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50,616</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(3,778)</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219,726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134,786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50,616</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(3,778)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27,134</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(3,856)</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(48,257)</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(24,201)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(855)</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(769)</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(1,940)</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(5,677)</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22,477</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(3,480)</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(7,077)</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(54,091)</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(42,171)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(25,321)</w:t>
            </w:r>
          </w:p>
        </w:tc>
        <w:tc>
          <w:tcPr>
            <w:tcW w:w="0" w:type="dxa"/>
            <w:vAlign w:val="bottom"/>
          </w:tcPr>
          <w:p>
            <w:pPr>
              <w:spacing w:after="0"/>
              <w:rPr>
                <w:sz w:val="1"/>
                <w:szCs w:val="1"/>
                <w:color w:val="auto"/>
              </w:rPr>
            </w:pPr>
          </w:p>
        </w:tc>
      </w:tr>
      <w:tr>
        <w:trPr>
          <w:trHeight w:val="220"/>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(74,480)</w:t>
            </w:r>
          </w:p>
        </w:tc>
        <w:tc>
          <w:tcPr>
            <w:tcW w:w="0" w:type="dxa"/>
            <w:vAlign w:val="bottom"/>
          </w:tcPr>
          <w:p>
            <w:pPr>
              <w:spacing w:after="0"/>
              <w:rPr>
                <w:sz w:val="1"/>
                <w:szCs w:val="1"/>
                <w:color w:val="auto"/>
              </w:rPr>
            </w:pPr>
          </w:p>
        </w:tc>
      </w:tr>
    </w:tbl>
    <w:p>
      <w:pPr>
        <w:ind w:left="300" w:hanging="292"/>
        <w:spacing w:after="0"/>
        <w:tabs>
          <w:tab w:leader="none" w:pos="3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consists of general costs not allocated to the segments.</w:t>
      </w:r>
    </w:p>
    <w:p>
      <w:pPr>
        <w:spacing w:after="0" w:line="8"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2025 and 2024 refer to intersegment revenue for sales of products from Europe &amp; International to Greater China.</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(1)Relates primarily to severance costs as the Group adjusts its organizational structure.</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(2)Relates to costs related to the strategic review of the Greater China segment.</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(3)Relates to reversal of previously recognized exit costs related to closure of the Group’s production facility in Singapore.</w:t>
      </w:r>
    </w:p>
    <w:p>
      <w:pPr>
        <w:spacing w:after="0" w:line="18" w:lineRule="exact"/>
        <w:rPr>
          <w:rFonts w:ascii="Times New Roman" w:cs="Times New Roman" w:eastAsia="Times New Roman" w:hAnsi="Times New Roman"/>
          <w:sz w:val="16"/>
          <w:szCs w:val="16"/>
          <w:color w:val="auto"/>
        </w:rPr>
      </w:pPr>
    </w:p>
    <w:p>
      <w:pPr>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(4)Relates primarily to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Peterborough, UK, and reversal of previously recognized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Dallas-Fort Worth, Texas.</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(5)Expenses related to a new product launch issue.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International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Europe &amp; International revenue increased $12.7 million, or 12.0%, to $118.2 million for the second quarter of 2025, compared to $105.5 million in the prior year period. Excluding a foreign currency exchange tailwind of $6.6 million, Europe &amp; International revenue for the second quarter was $111.6 million, or an increase of 5.7%. For the second quarter of 2025, the volume growth was 9.4% primarily driven by growth in the Barista products. The revenue increase from volume growth for the second quarter was offset by a price/mix decline of 3.7%. Approximately 79% of Europe &amp; International revenue was from the retail channel for the second quarter of 2025 compared to 80% in the prior year period. The sold finished goods volume for the three months ended June 30, 2025 and 2024 amounted to 81.1 and 74.2 million liters, respectively.</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Europe &amp; International Adjusted EBITDA increased $11.6 million to $24.3 million for the second quarter of 2025 compared to $12.6 million in the prior year period. The improvement in Adjusted EBITDA was primarily driven by higher gross profit driven by higher revenue and continued supply chain productivity.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8" w:name="page9"/>
    <w:bookmarkEnd w:id="8"/>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North America revenue decreased $4.6 million, or 6.8%, to $63.2 million for the second quarter of 2025, compared to $67.8 million in the prior year period. The sold finished goods volume for the three months ended June 30, 2025 and 2024 amounted to 35.5 million and 38.4 million liters, respectively. The 7.5% volume decrease was primarily due to reductions in sales to the segment’s largest foodservice customer. Approximately 59% of North America revenue was from the retail channel in the second quarter of compared to 52% in the prior year period.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North America Adjusted EBITDA decreased $3.5 million to a loss of $2.4 million compared to a profit of $1.2 million in the prior year period. The reduction in Adjusted EBITDA was primarily due to lower gross profit, largely driven by lower volumes sold and fixed cost absorption, as well as higher selling, general and administrative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Greater China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Greater China revenue decreased $1.9 million, or 6.4%, to $27.0 million for the second quarter of 2025, compared to $28.8 million in the prior year period. Excluding a foreign currency exchange tailwind of $0.1 million, Greater China revenue for the second quarter was $26.9 million, or a decrease of 6.6%. The Greater China segment decline was primarily driven by a reduction in sales in the foodservice channel as the business lapped the initial sell-in of a new customer, which was partially offset by growth in the retail channel. Approximately 62% of Greater China revenue was from the foodservice channel for the second quarter of 2025 compared to 70% in the prior year period. The sold finished goods volume for the three months ended June 30, 2025 and 2024 amounted to 23.7 million and 24.0 million liters, respectively.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Greater China Adjusted EBITDA loss increased $0.2 million to $0.6 million compared to $0.4 million in the prior year period. The increase in Adjusted EBITDA loss was primarily due to lower gross profit, partially offset by a reduction in selling, general and administrative expenses, as the segment continued to right-size its expenses to improve profitability.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Oatly’s corporate expense, which consists of general costs not allocated to the segments, in the second quarter of 2025 was $27.4 million, a decrease of $0.1 million compared to the prior year period. Adjusted EBITDA in the second quarter of 2025 was a loss of $24.8 million compared to a loss of $24.4 million in the prior 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cash and cash equivalents of $67.9 million and total outstanding debt of $449.6 million consisting of Convertible Notes and liabilities to credit institutions. Net cash used in operating activities was $15.0 million for the six months ended June 30, 2025, compared to $86.0 million during the prior year period, which was driven by improved operating results as well as improvements in working capital.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were $10.7 million for the six months ended June 30, 2025, compared to $20.4 million in the prior year period.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was an outflow of $25.7 million for the six months ended June 30, 2025 compared to an outflow of $106.4 million during the prior year period. The improvement in free cash flow was driven by decreased net cash flows used in operating activities and lower capital expenditures.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Free Cash Flow is a non-IFRS liquidity measure defined under “Non-IFRS financial measures.” Please see “Reconciliation of IFRS to Non-IFRS Financial measures” at the end of this press release.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Review of Greater China Business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initiated a strategic review of the Company’s Greater China business. The review will consider a range of options, including a potential carve-out of the Greater China segment, with the goal of accelerating growth and maximizing the value of the business.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continues to operate in the Greater China market, including operating its production facility, and remains committed to its customers, consumers, and employees as it looks to accelerate the growth and maximize the value of the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definitive timetable for completing the strategic review. The Company does not intend to provide further updates unless and until the Board of Directors has approved a specific course of action or determines that additional disclosure is appropriate or required. The Company cautions that there can be no assurances that the process will result in any transaction or strategic change.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Company's outlook continues to include the expected results of the Greater China segment. Based on the Company’s assessment of the current operating environment and the actions it is taking, the Company is refining its 2025 outlook as follows.</w:t>
      </w:r>
    </w:p>
    <w:p>
      <w:pPr>
        <w:spacing w:after="0" w:line="73" w:lineRule="exact"/>
        <w:rPr>
          <w:sz w:val="20"/>
          <w:szCs w:val="20"/>
          <w:color w:val="auto"/>
        </w:rPr>
      </w:pPr>
    </w:p>
    <w:p>
      <w:pPr>
        <w:jc w:val="both"/>
        <w:ind w:left="1500" w:hanging="369"/>
        <w:spacing w:after="0" w:line="266"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is now expected to be in the range of approximately flat to +1%, compared to the prior expectation of +2% to +4%, reflecting reduced expectations in the North America segment as well as a softer-than-expected macro-environment in the Greater China segment;</w:t>
      </w:r>
    </w:p>
    <w:p>
      <w:pPr>
        <w:spacing w:after="0" w:line="6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continues to be expected to be in the range of positive $5 million to $15 million;</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now expected to be approximately $20 million, compared to the prior expectation of $30 to $35 million; and</w:t>
      </w:r>
    </w:p>
    <w:p>
      <w:pPr>
        <w:spacing w:after="0" w:line="117" w:lineRule="exact"/>
        <w:rPr>
          <w:rFonts w:ascii="Times New Roman" w:cs="Times New Roman" w:eastAsia="Times New Roman" w:hAnsi="Times New Roman"/>
          <w:sz w:val="18"/>
          <w:szCs w:val="18"/>
          <w:color w:val="auto"/>
        </w:rPr>
      </w:pPr>
    </w:p>
    <w:p>
      <w:pPr>
        <w:ind w:left="1500" w:right="20" w:hanging="369"/>
        <w:spacing w:after="0" w:line="282"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recent foreign exchange rates, the full-year impact of foreign exchange is now expected to be a tailwind to revenue growth by approximately 150 basis, compared to the prior expectation of an approximately 100 basis point headwind.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outlook is provided in the context of significant macroeconomic uncertainty and other geopolitical uncertainties.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cannot provide a reconciliation of constant currency revenue growth or Adjusted EBITDA guidance to the nearest comparable corresponding IFRS metric without unreasonable efforts due to difficulty in predicting certain items excluded from these non-IFRS measures. The items necessary to reconcile are not within Oatly’s control, may vary greatly between periods and could significantly impact future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Webcast and Supplemental Presentation Details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 will host a conference call and webcast at 8:00 a.m. ET today to discuss these results. The conference call, simultaneous, live webcast and supplemental presentation can be accessed on Oatly’s Investors website at https://investors.oatly.com under “Events.” The webcast will be archived for 30 days.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Oatly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world’s original and largest oat drink company. For over 30 years, we have exclusively focused on developing expertise around oats: a global power crop with inherent properties. Our commitment to oats has resulted in core technical advancements that enabled us to unlock the breadth of the dairy portfolio, including alternatives to milks, ice cream, yogurt, cooking creams, spreads and on-the-go drinks. Headquartered in Malmö, Sweden, the Oatly brand is available in more than 50 countries globally.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www.oatly.com.</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2025, profitability improvement, profitable growth in 2025,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and efficiencies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our history of losses and how we may be unable to achieve or sustain profitability, including due to elevated inflation and increased costs for transportation, energy and materials; how our future business, financial condition and results of operations may be adversely affected by reduced or limited availability of oats and other raw materials and ingredients, which meet our quality standards, that our limited number of suppliers are able to sell us; how a failure to obtain necessary capital when needed on acceptable terms, or at all, may force us to delay, limit, reduce or terminate our product manufacturing and development and other operations; those concerning our cash and cash equivalents maintained at financial institutions, often in balances that exceed federally insured limits; any damage or disruption at our production facilities, which manufacture the primary components of all our products; harm to our brand or reputation due to real or perceived quality, food safety, nutrition or sustainability issues with our products, which could have an adverse effect on our business, reputation, financial condition and results of operations; food safety and food-borne illness incidents or other safety concerns that have led to product recalls and how such events may in the future materially adversely affect our business, financial condition and results of operations by exposing us to lawsuits or regulatory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18"/>
          <w:szCs w:val="18"/>
          <w:color w:val="auto"/>
        </w:rPr>
        <w:t>enforcement actions, increasing our operating costs and reducing demand for our product offerings; how a failure by our suppliers of raw materials or co-manufacturers to comply with food safety, environmental or other laws and regulations, or with the specifications and requirements of our products, may disrupt our supply of products and adversely affect our business; we may not be able to compete successfully in our highly competitive markets; risks from consolidation of customers or the loss of a significant customer; a reduction in sales of our oatmilk varieties, which contribute a significant portion of our revenue, would have an adverse effect on our business, financial condition and results of operations; relying heavily on our co-manufacturing partners; our strategic partnerships with co-manufacturers may not be successful, which could adversely affect our operations and manufacturing strategy; failure by our logistics providers to deliver our products on time, or at all, could result in lost sales; that we may not successfully ramp up operations at any of our facilities, or these facilities may not operate in accordance with our expectations; a failure to effectively expand our processing, manufacturing and production capacity through existing facilities, or a failure to find acceptable co-manufacturing or co-manufacturing partners to help us expand, as we continue to grow and scale our business to a steady operating level; failure to develop and maintain our brand; failure to develop or introduce new products or successfully improve existing products may adversely affect our ability to continue to grow; a failure to cost-effectively acquire new customers and consumers or retain our existing customers and consumers, or a failure to derive revenue from our existing customers consistent with our historical performance; consumer preferences for our products are difficult to predict and may change, and, if we are unable to respond quickly to new trends, our business may be adversely affected; a failure to manage our future growth effectively; impairment charges for long-lived assets and other exit costs in connection with our production facilities, and how we may need to recognize further costs in the future; sustainability risks (including environmental, climate change, uncertainty about future related mandatory disclosure requirements,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 reliance on information technology systems and how any inadequacy, failure or interruption of, or cybersecurity incidents affecting, those systems may harm our reputation and ability to effectively operate our business; how cybersecurity incidents or other technology disruptions could negatively impact our business and our relationships with customers; risks associated with how our customers generally are not obligated to continue purchasing products from us; difficulties as we expand our operations into countries in which we have no prior operating experience; risks associated with the international nature of our business; the successful execution of the strategic review of the Company’s Greater China operations, the outcome of the strategic review and the market reaction thereto; how our operations in China could expose us to substantial business, regulatory, political, financial and economic risks; our strategic reset in Asia may not be successful; if we fail to comply with trade compliance and economic sanctions laws and regulations of the United States, the EU and other applicable international jurisdictions, it could materially adversely affect our reputation and results of operations; packaging costs are volatile and may rise significantly; how fluctuations in our results of operations may impact, and may have a disproportionate effect on, our overall financial condition and results of operations; how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macroeconomic conditions, including rising inflation, interest rates and supply chain constraints; global conflicts, other effects of ongoing wars and conflicts, and increasing geopolitical tensions and changes to international trade policies, treaties and tariffs, including as a result of the emergence of a trade war; the risk that legal claims, government investigations or other regulatory enforcement actions could subject us to civil and criminal penalties; how our operations are subject to U.S., EU, China and other laws and regulations, and there is no assurance that we will be in compliance with all regulations; changes in existing laws or regulations, or the adoption of new laws or regulations, may increase our costs and otherwise adversely affect our business, financial condition and results of operations; how we are subject to stringent environmental regulation and potentially subject to environmental litigation, proceedings and investigations; failure to protect our intellectual property, enforce or defend our intellectual property and other proprietary rights adequately, which may impact our commercial success; if we are unable to remediate material weaknesses, or if other material weaknesses are identified, we may not be able to report our financial results accurately, prevent fraud or file our periodic reports as a public company in a timely manner; how our largest shareholder has significant influence over us, including significant influence over decisions that require the approval of shareholders; and the other important factors discussed under the caption “Risk Factors” in our Annual Report on Form 20-F for the year ended December 31, 2024 filed with the U.S. Securities and Exchange Commission (“SEC”) on March 13, 2025 and our other filings with the 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1" w:name="page12"/>
    <w:bookmarkEnd w:id="11"/>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EBITDA, Adjusted EBITDA, Constant Currency Revenue as non-IFRS financial measures in assessing our operating performance and Free Cash Flow as a non-IFRS liquidity measure, and each in our financial communications: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is defined as 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defined as loss for the period adjusted to exclude, when applicable, income tax expense, finance expenses, finance income, depreciation and amortization expense, share-based compensation expense, restructuring costs, costs related to the strategic review of Greater China business, impacts related to the closure of production facility, discontinued construction of production facilities, expenses related to a new product launch issue and non-controlling interests.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284" w:lineRule="exact"/>
        <w:rPr>
          <w:sz w:val="20"/>
          <w:szCs w:val="20"/>
          <w:color w:val="auto"/>
        </w:rPr>
      </w:pPr>
    </w:p>
    <w:p>
      <w:pPr>
        <w:ind w:left="1020" w:right="1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related to the strategic review of Greater China business that reduce cash available to us;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the closure of production facility,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discontinued construction of production facilities,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expenses related to a new product launch issue that reduced cash available to us;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 Above we have provided a reconciliation of revenue as reported to revenue on a constant currency basis for the periods presented.</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used in operating activities for the periods presented.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Oatly Group AB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+1 866-704-0391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investors@oatly.com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press.us@oatly.com</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operations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7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77"/>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and ADS data)</w:t>
            </w:r>
          </w:p>
        </w:tc>
        <w:tc>
          <w:tcPr>
            <w:tcW w:w="12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208,354</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405,884</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401,350</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(140,729)</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(143,239)</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(275,929)</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(288,496)</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67,625</w:t>
            </w:r>
          </w:p>
        </w:tc>
        <w:tc>
          <w:tcPr>
            <w:tcW w:w="24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58,956</w:t>
            </w:r>
          </w:p>
        </w:tc>
        <w:tc>
          <w:tcPr>
            <w:tcW w:w="26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129,955</w:t>
            </w:r>
          </w:p>
        </w:tc>
        <w:tc>
          <w:tcPr>
            <w:tcW w:w="26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112,854</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(4,605)</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(10,898)</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(8,996)</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(15,540)</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(84,111)</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(84,261)</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(161,609)</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(163,003)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(1,025)</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(2,876)</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(1,803)</w:t>
            </w:r>
          </w:p>
        </w:tc>
      </w:tr>
      <w:tr>
        <w:trPr>
          <w:trHeight w:val="20"/>
        </w:trPr>
        <w:tc>
          <w:tcPr>
            <w:tcW w:w="5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(22,116)</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(39,079)</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(40,707)</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(67,492)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(31,916)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(22,505)</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(6,988)</w:t>
            </w:r>
          </w:p>
        </w:tc>
      </w:tr>
      <w:tr>
        <w:trPr>
          <w:trHeight w:val="20"/>
        </w:trPr>
        <w:tc>
          <w:tcPr>
            <w:tcW w:w="5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(54,032)</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(28,690)</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(63,212)</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(74,480)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(1,914)</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(1,751)</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(5,265)</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(1,805)</w:t>
            </w:r>
          </w:p>
        </w:tc>
      </w:tr>
      <w:tr>
        <w:trPr>
          <w:trHeight w:val="20"/>
        </w:trPr>
        <w:tc>
          <w:tcPr>
            <w:tcW w:w="5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(55,946)</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(30,441)</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(68,477)</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(76,285)</w:t>
            </w:r>
          </w:p>
        </w:tc>
      </w:tr>
      <w:tr>
        <w:trPr>
          <w:trHeight w:val="197"/>
        </w:trPr>
        <w:tc>
          <w:tcPr>
            <w:tcW w:w="5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1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(55,911)</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(30,384)</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(68,341)</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(76,183)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(0.09)</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(0.11)</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54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540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per ADS, attributable to shareholder of the parent</w:t>
            </w: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8"/>
        </w:trPr>
        <w:tc>
          <w:tcPr>
            <w:tcW w:w="5400" w:type="dxa"/>
            <w:vAlign w:val="bottom"/>
            <w:tcBorders>
              <w:bottom w:val="single" w:sz="8" w:color="CFF0FC"/>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 ADS representing 20 ordinary shares):</w:t>
            </w:r>
          </w:p>
        </w:tc>
        <w:tc>
          <w:tcPr>
            <w:tcW w:w="12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5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w:t>
            </w:r>
          </w:p>
        </w:tc>
        <w:tc>
          <w:tcPr>
            <w:tcW w:w="15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15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(2.28)</w:t>
            </w:r>
          </w:p>
        </w:tc>
        <w:tc>
          <w:tcPr>
            <w:tcW w:w="12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(2.56)</w:t>
            </w:r>
          </w:p>
        </w:tc>
      </w:tr>
      <w:tr>
        <w:trPr>
          <w:trHeight w:val="20"/>
        </w:trPr>
        <w:tc>
          <w:tcPr>
            <w:tcW w:w="54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4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2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5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601,195,247</w:t>
            </w: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596,242,505</w:t>
            </w:r>
          </w:p>
        </w:tc>
        <w:tc>
          <w:tcPr>
            <w:tcW w:w="26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599,884,824</w:t>
            </w:r>
          </w:p>
        </w:tc>
        <w:tc>
          <w:tcPr>
            <w:tcW w:w="26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595,654,647</w:t>
            </w:r>
          </w:p>
        </w:tc>
        <w:tc>
          <w:tcPr>
            <w:tcW w:w="1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-1499870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-1482090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-1499870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-1482090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-1499870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-1482090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-513715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-496570</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-513715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-496570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-513715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-496570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-187960</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-170815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-187960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financial position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133,628</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116,208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304,565</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294,199</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43,541</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45,555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45,140</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44,331</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4,698</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4,561</w:t>
            </w:r>
          </w:p>
        </w:tc>
      </w:tr>
      <w:tr>
        <w:trPr>
          <w:trHeight w:val="20"/>
        </w:trPr>
        <w:tc>
          <w:tcPr>
            <w:tcW w:w="660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531,572</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504,854</w:t>
            </w: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1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65,851</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65,602</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102,597</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103,366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5,933</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6,095</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17,968</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15,738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11,203</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67,931</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98,923</w:t>
            </w:r>
          </w:p>
        </w:tc>
      </w:tr>
      <w:tr>
        <w:trPr>
          <w:trHeight w:val="20"/>
        </w:trPr>
        <w:tc>
          <w:tcPr>
            <w:tcW w:w="660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271,483</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299,126</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803,055</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803,980</w:t>
            </w:r>
          </w:p>
        </w:tc>
      </w:tr>
      <w:tr>
        <w:trPr>
          <w:trHeight w:val="197"/>
        </w:trPr>
        <w:tc>
          <w:tcPr>
            <w:tcW w:w="6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1,628,045</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1,628,045</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(222,137)</w:t>
            </w:r>
          </w:p>
        </w:tc>
        <w:tc>
          <w:tcPr>
            <w:tcW w:w="2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(274,160)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(1,310,599)</w:t>
            </w: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(1,249,303)</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95,416</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104,688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1,303</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96,719</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106,123</w:t>
            </w:r>
          </w:p>
        </w:tc>
      </w:tr>
      <w:tr>
        <w:trPr>
          <w:trHeight w:val="210"/>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29,508</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31,724</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115,746</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116,216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9,317</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14,857</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154,571</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162,797</w:t>
            </w:r>
          </w:p>
        </w:tc>
      </w:tr>
      <w:tr>
        <w:trPr>
          <w:trHeight w:val="197"/>
        </w:trPr>
        <w:tc>
          <w:tcPr>
            <w:tcW w:w="6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2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13,473</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13,359</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328,981</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324,395</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4,899</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5,757</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64,688</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60,152</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1,349</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7,568</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7,998</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112,675</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103,719</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18,132</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18,204</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551,765</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535,060</w:t>
            </w:r>
          </w:p>
        </w:tc>
      </w:tr>
      <w:tr>
        <w:trPr>
          <w:trHeight w:val="20"/>
        </w:trPr>
        <w:tc>
          <w:tcPr>
            <w:tcW w:w="660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706,336</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697,857</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803,055</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803,980</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-5382895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-5382895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-4268470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-3977005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-3959860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-2562225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-1722120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-1704975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-316230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16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40" w:type="dxa"/>
            <w:vAlign w:val="bottom"/>
            <w:tcBorders>
              <w:bottom w:val="single" w:sz="8" w:color="auto"/>
            </w:tcBorders>
          </w:tcPr>
          <w:p>
            <w:pPr>
              <w:jc w:val="right"/>
              <w:ind w:right="8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(68,477)</w:t>
            </w:r>
          </w:p>
        </w:tc>
        <w:tc>
          <w:tcPr>
            <w:tcW w:w="8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(76,285)</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6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right-of-use assets and</w:t>
            </w: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23,475</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100" w:type="dxa"/>
            <w:vAlign w:val="bottom"/>
          </w:tcPr>
          <w:p>
            <w:pPr>
              <w:spacing w:after="0"/>
              <w:rPr>
                <w:sz w:val="20"/>
                <w:szCs w:val="20"/>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—Write-downs of inventories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(gain)/loss on trade receivables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—Movements in provisions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(7,670)</w:t>
            </w:r>
          </w:p>
        </w:tc>
        <w:tc>
          <w:tcPr>
            <w:tcW w:w="8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(35,507)</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reversal related to discontinued construction of production facilities</w:t>
            </w:r>
          </w:p>
        </w:tc>
        <w:tc>
          <w:tcPr>
            <w:tcW w:w="3160" w:type="dxa"/>
            <w:vAlign w:val="bottom"/>
            <w:gridSpan w:val="3"/>
            <w:shd w:val="clear" w:color="auto" w:fill="CFF0FC"/>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(11,829)</w:t>
            </w:r>
          </w:p>
        </w:tc>
        <w:tc>
          <w:tcPr>
            <w:tcW w:w="8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(13,002)</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(1,674)</w:t>
            </w:r>
          </w:p>
        </w:tc>
        <w:tc>
          <w:tcPr>
            <w:tcW w:w="8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(3,767)</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in inventories</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(959)</w:t>
            </w:r>
          </w:p>
        </w:tc>
        <w:tc>
          <w:tcPr>
            <w:tcW w:w="8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(14,151)</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 trade receivables, other current receivables, prepaid expenses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—Increase/(decrease) in trade payables, other current liabilities, accrued expenses</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(9,786)</w:t>
            </w:r>
          </w:p>
        </w:tc>
      </w:tr>
      <w:tr>
        <w:trPr>
          <w:trHeight w:val="20"/>
        </w:trPr>
        <w:tc>
          <w:tcPr>
            <w:tcW w:w="6640" w:type="dxa"/>
            <w:vAlign w:val="bottom"/>
            <w:shd w:val="clear" w:color="auto" w:fill="CFF0FC"/>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(15,005)</w:t>
            </w:r>
          </w:p>
        </w:tc>
        <w:tc>
          <w:tcPr>
            <w:tcW w:w="8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(86,013)</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w:t>
            </w:r>
          </w:p>
        </w:tc>
        <w:tc>
          <w:tcPr>
            <w:tcW w:w="8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(9,778)</w:t>
            </w:r>
          </w:p>
        </w:tc>
        <w:tc>
          <w:tcPr>
            <w:tcW w:w="8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(19,647)</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in)/from investing activities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(10,220)</w:t>
            </w: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100" w:type="dxa"/>
            <w:vAlign w:val="bottom"/>
          </w:tcPr>
          <w:p>
            <w:pPr>
              <w:spacing w:after="0"/>
              <w:rPr>
                <w:sz w:val="18"/>
                <w:szCs w:val="18"/>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(1,320)</w:t>
            </w:r>
          </w:p>
        </w:tc>
        <w:tc>
          <w:tcPr>
            <w:tcW w:w="8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(1,360)</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(1,020)</w:t>
            </w:r>
          </w:p>
        </w:tc>
        <w:tc>
          <w:tcPr>
            <w:tcW w:w="8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(4,965)</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(5,811)</w:t>
            </w:r>
          </w:p>
        </w:tc>
        <w:tc>
          <w:tcPr>
            <w:tcW w:w="8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(13,888)</w:t>
            </w:r>
          </w:p>
        </w:tc>
      </w:tr>
      <w:tr>
        <w:trPr>
          <w:trHeight w:val="20"/>
        </w:trPr>
        <w:tc>
          <w:tcPr>
            <w:tcW w:w="664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(8,151)</w:t>
            </w:r>
          </w:p>
        </w:tc>
        <w:tc>
          <w:tcPr>
            <w:tcW w:w="8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(20,213)</w:t>
            </w:r>
          </w:p>
        </w:tc>
      </w:tr>
      <w:tr>
        <w:trPr>
          <w:trHeight w:val="20"/>
        </w:trPr>
        <w:tc>
          <w:tcPr>
            <w:tcW w:w="6640" w:type="dxa"/>
            <w:vAlign w:val="bottom"/>
            <w:shd w:val="clear" w:color="auto" w:fill="CFF0FC"/>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(33,376)</w:t>
            </w:r>
          </w:p>
        </w:tc>
        <w:tc>
          <w:tcPr>
            <w:tcW w:w="8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(105,368)</w:t>
            </w: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22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(1,203)</w:t>
            </w:r>
          </w:p>
        </w:tc>
      </w:tr>
      <w:tr>
        <w:trPr>
          <w:trHeight w:val="250"/>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67,931</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142,728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-2288540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-2288540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-1447800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-599440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Reconciliation of IFRS to Non-IFRS Financial measures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 to loss for the period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2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8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(55,946)</w:t>
            </w: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(30,441)</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(68,477)</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(76,285)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31,916</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(10,389)</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2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23,475</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100" w:type="dxa"/>
            <w:vAlign w:val="bottom"/>
          </w:tcPr>
          <w:p>
            <w:pPr>
              <w:spacing w:after="0"/>
              <w:rPr>
                <w:sz w:val="18"/>
                <w:szCs w:val="18"/>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8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(9,822)</w:t>
            </w: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(26,771)</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(17,232)</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(42,171)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88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880" w:type="dxa"/>
            <w:vAlign w:val="bottom"/>
          </w:tcPr>
          <w:p>
            <w:pPr>
              <w:spacing w:after="0"/>
              <w:rPr>
                <w:sz w:val="18"/>
                <w:szCs w:val="18"/>
                <w:color w:val="auto"/>
              </w:rPr>
            </w:pPr>
          </w:p>
        </w:tc>
        <w:tc>
          <w:tcPr>
            <w:tcW w:w="1720" w:type="dxa"/>
            <w:vAlign w:val="bottom"/>
            <w:gridSpan w:val="3"/>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88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(3,563)</w:t>
            </w:r>
          </w:p>
        </w:tc>
        <w:tc>
          <w:tcPr>
            <w:tcW w:w="9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(10,997)</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(7,294)</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(24,201)</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(1)Relates primarily to severance costs as the Group adjusts its organizational structure.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(2)Relates to costs related to the strategic review of the Greater China segment.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(3)Relates to reversal of previously recognized exit costs related to closure of the Group’s production facility in Singapore.</w:t>
      </w:r>
    </w:p>
    <w:p>
      <w:pPr>
        <w:spacing w:after="0" w:line="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(4)Relates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spacing w:after="0"/>
        <w:rPr>
          <w:sz w:val="20"/>
          <w:szCs w:val="20"/>
          <w:color w:val="auto"/>
        </w:rPr>
      </w:pPr>
      <w:r>
        <w:rPr>
          <w:rFonts w:ascii="Times New Roman" w:cs="Times New Roman" w:eastAsia="Times New Roman" w:hAnsi="Times New Roman"/>
          <w:sz w:val="16"/>
          <w:szCs w:val="16"/>
          <w:color w:val="auto"/>
        </w:rPr>
        <w:t>(5)Expenses related to a new product launch issue.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Flows used in Operating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6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5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(1,447)</w:t>
            </w:r>
          </w:p>
        </w:tc>
        <w:tc>
          <w:tcPr>
            <w:tcW w:w="8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(46,935)</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(15,005)</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(86,013)</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(3,748)</w:t>
            </w:r>
          </w:p>
        </w:tc>
        <w:tc>
          <w:tcPr>
            <w:tcW w:w="8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(14,226)</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(10,699)</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(20,420)</w:t>
            </w:r>
          </w:p>
        </w:tc>
      </w:tr>
      <w:tr>
        <w:trPr>
          <w:trHeight w:val="20"/>
        </w:trPr>
        <w:tc>
          <w:tcPr>
            <w:tcW w:w="4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(5,195)</w:t>
            </w:r>
          </w:p>
        </w:tc>
        <w:tc>
          <w:tcPr>
            <w:tcW w:w="8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(61,161)</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(25,704)</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(106,433)</w:t>
            </w: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-24765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2025-07-23T06:05:06Z</dcterms:created>
  <dcterms:modified xsi:type="dcterms:W3CDTF">2025-07-23T06:05:06Z</dcterms:modified>
</cp:coreProperties>
</file>